
<file path=[Content_Types].xml><?xml version="1.0" encoding="utf-8"?>
<Types xmlns="http://schemas.openxmlformats.org/package/2006/content-types">
  <Default Extension="png" ContentType="image/png"/>
  <Default Extension="wdp" ContentType="image/vnd.ms-photo"/>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CE95E">
      <w:pPr>
        <w:jc w:val="center"/>
        <w:rPr>
          <w:rFonts w:ascii="宋体" w:hAnsi="宋体" w:cs="宋体"/>
          <w:b/>
          <w:bCs/>
          <w:sz w:val="32"/>
          <w:szCs w:val="32"/>
        </w:rPr>
      </w:pPr>
      <w:r>
        <w:rPr>
          <w:rFonts w:ascii="宋体" w:hAnsi="宋体" w:cs="宋体"/>
          <w:b/>
          <w:bCs/>
          <w:sz w:val="32"/>
          <w:szCs w:val="32"/>
        </w:rPr>
        <w:t>中级会计职称</w:t>
      </w:r>
    </w:p>
    <w:p w14:paraId="7A9A0670">
      <w:pPr>
        <w:jc w:val="center"/>
        <w:rPr>
          <w:rFonts w:ascii="宋体" w:hAnsi="宋体" w:cs="宋体"/>
          <w:b/>
          <w:bCs/>
          <w:sz w:val="32"/>
          <w:szCs w:val="32"/>
        </w:rPr>
      </w:pPr>
      <w:r>
        <w:rPr>
          <w:rFonts w:ascii="宋体" w:hAnsi="宋体" w:cs="宋体"/>
          <w:b/>
          <w:bCs/>
          <w:sz w:val="32"/>
          <w:szCs w:val="32"/>
        </w:rPr>
        <w:t>财务管理</w:t>
      </w:r>
    </w:p>
    <w:p w14:paraId="7B568EA4">
      <w:pPr>
        <w:jc w:val="center"/>
        <w:rPr>
          <w:rFonts w:ascii="宋体" w:hAnsi="宋体" w:cs="宋体"/>
          <w:b/>
          <w:bCs/>
          <w:sz w:val="32"/>
          <w:szCs w:val="32"/>
        </w:rPr>
      </w:pPr>
    </w:p>
    <w:p w14:paraId="109F66B4">
      <w:pPr>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【晨读安排】</w:t>
      </w:r>
    </w:p>
    <w:p w14:paraId="3904323A">
      <w:pPr>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7月16日——第一、二章</w:t>
      </w:r>
    </w:p>
    <w:p w14:paraId="78855E79">
      <w:pPr>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7月25日——第三、四章</w:t>
      </w:r>
    </w:p>
    <w:p w14:paraId="4C96AD6F">
      <w:pPr>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8月1日——第五章</w:t>
      </w:r>
    </w:p>
    <w:p w14:paraId="72A11FFA">
      <w:pPr>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8月8日——第六章</w:t>
      </w:r>
    </w:p>
    <w:p w14:paraId="6E671CDE">
      <w:pPr>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8月15日——第七章</w:t>
      </w:r>
    </w:p>
    <w:p w14:paraId="301950FE">
      <w:pPr>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8月22日——第八章</w:t>
      </w:r>
    </w:p>
    <w:p w14:paraId="5617B054">
      <w:pPr>
        <w:jc w:val="left"/>
        <w:rPr>
          <w:rFonts w:hint="default" w:ascii="宋体" w:hAnsi="宋体" w:cs="宋体"/>
          <w:b/>
          <w:bCs/>
          <w:sz w:val="32"/>
          <w:szCs w:val="32"/>
          <w:lang w:val="en-US" w:eastAsia="zh-CN"/>
        </w:rPr>
      </w:pPr>
      <w:r>
        <w:rPr>
          <w:rFonts w:hint="eastAsia" w:ascii="宋体" w:hAnsi="宋体" w:cs="宋体"/>
          <w:b/>
          <w:bCs/>
          <w:sz w:val="32"/>
          <w:szCs w:val="32"/>
          <w:lang w:val="en-US" w:eastAsia="zh-CN"/>
        </w:rPr>
        <w:t>8月29日——第九、十章</w:t>
      </w:r>
    </w:p>
    <w:p w14:paraId="3A444B3B">
      <w:pPr>
        <w:jc w:val="left"/>
        <w:rPr>
          <w:rFonts w:hint="default" w:ascii="宋体" w:hAnsi="宋体" w:cs="宋体"/>
          <w:b/>
          <w:bCs/>
          <w:sz w:val="32"/>
          <w:szCs w:val="32"/>
          <w:lang w:val="en-US" w:eastAsia="zh-CN"/>
        </w:rPr>
      </w:pPr>
    </w:p>
    <w:p w14:paraId="0722713F">
      <w:pPr>
        <w:jc w:val="left"/>
        <w:rPr>
          <w:rFonts w:hint="default" w:ascii="宋体" w:hAnsi="宋体" w:cs="宋体"/>
          <w:b/>
          <w:bCs/>
          <w:sz w:val="32"/>
          <w:szCs w:val="32"/>
          <w:lang w:val="en-US" w:eastAsia="zh-CN"/>
        </w:rPr>
      </w:pPr>
    </w:p>
    <w:p w14:paraId="2BC26349">
      <w:pPr>
        <w:jc w:val="left"/>
        <w:rPr>
          <w:rFonts w:hint="default" w:ascii="宋体" w:hAnsi="宋体" w:cs="宋体"/>
          <w:b/>
          <w:bCs/>
          <w:sz w:val="32"/>
          <w:szCs w:val="32"/>
          <w:lang w:val="en-US" w:eastAsia="zh-CN"/>
        </w:rPr>
      </w:pPr>
    </w:p>
    <w:p w14:paraId="6AA1AE94">
      <w:pPr>
        <w:jc w:val="left"/>
        <w:rPr>
          <w:rFonts w:hint="default" w:ascii="宋体" w:hAnsi="宋体" w:cs="宋体"/>
          <w:b/>
          <w:bCs/>
          <w:sz w:val="32"/>
          <w:szCs w:val="32"/>
          <w:lang w:val="en-US" w:eastAsia="zh-CN"/>
        </w:rPr>
      </w:pPr>
    </w:p>
    <w:p w14:paraId="13F0A110">
      <w:pPr>
        <w:jc w:val="left"/>
        <w:rPr>
          <w:rFonts w:hint="default" w:ascii="宋体" w:hAnsi="宋体" w:cs="宋体"/>
          <w:b/>
          <w:bCs/>
          <w:sz w:val="32"/>
          <w:szCs w:val="32"/>
          <w:lang w:val="en-US" w:eastAsia="zh-CN"/>
        </w:rPr>
      </w:pPr>
    </w:p>
    <w:p w14:paraId="4BDAA8FA">
      <w:pPr>
        <w:jc w:val="left"/>
        <w:rPr>
          <w:rFonts w:hint="default" w:ascii="宋体" w:hAnsi="宋体" w:cs="宋体"/>
          <w:b/>
          <w:bCs/>
          <w:sz w:val="32"/>
          <w:szCs w:val="32"/>
          <w:lang w:val="en-US" w:eastAsia="zh-CN"/>
        </w:rPr>
      </w:pPr>
    </w:p>
    <w:p w14:paraId="782C2E1E">
      <w:pPr>
        <w:jc w:val="left"/>
        <w:rPr>
          <w:rFonts w:hint="default" w:ascii="宋体" w:hAnsi="宋体" w:cs="宋体"/>
          <w:b/>
          <w:bCs/>
          <w:sz w:val="32"/>
          <w:szCs w:val="32"/>
          <w:lang w:val="en-US" w:eastAsia="zh-CN"/>
        </w:rPr>
      </w:pPr>
    </w:p>
    <w:p w14:paraId="0980F0E1">
      <w:pPr>
        <w:jc w:val="left"/>
        <w:rPr>
          <w:rFonts w:hint="default" w:ascii="宋体" w:hAnsi="宋体" w:cs="宋体"/>
          <w:b/>
          <w:bCs/>
          <w:sz w:val="32"/>
          <w:szCs w:val="32"/>
          <w:lang w:val="en-US" w:eastAsia="zh-CN"/>
        </w:rPr>
      </w:pPr>
    </w:p>
    <w:p w14:paraId="06040B6C">
      <w:pPr>
        <w:jc w:val="left"/>
        <w:rPr>
          <w:rFonts w:hint="default" w:ascii="宋体" w:hAnsi="宋体" w:cs="宋体"/>
          <w:b/>
          <w:bCs/>
          <w:sz w:val="32"/>
          <w:szCs w:val="32"/>
          <w:lang w:val="en-US" w:eastAsia="zh-CN"/>
        </w:rPr>
      </w:pPr>
    </w:p>
    <w:p w14:paraId="2B421D3A">
      <w:pPr>
        <w:jc w:val="left"/>
        <w:rPr>
          <w:rFonts w:hint="default" w:ascii="宋体" w:hAnsi="宋体" w:cs="宋体"/>
          <w:b/>
          <w:bCs/>
          <w:sz w:val="32"/>
          <w:szCs w:val="32"/>
          <w:lang w:val="en-US" w:eastAsia="zh-CN"/>
        </w:rPr>
      </w:pPr>
    </w:p>
    <w:p w14:paraId="3D2E2BEC">
      <w:pPr>
        <w:jc w:val="left"/>
        <w:rPr>
          <w:rFonts w:hint="default" w:ascii="宋体" w:hAnsi="宋体" w:cs="宋体"/>
          <w:b/>
          <w:bCs/>
          <w:sz w:val="32"/>
          <w:szCs w:val="32"/>
          <w:lang w:val="en-US" w:eastAsia="zh-CN"/>
        </w:rPr>
      </w:pPr>
      <w:bookmarkStart w:id="0" w:name="_GoBack"/>
      <w:bookmarkEnd w:id="0"/>
    </w:p>
    <w:p w14:paraId="62E2B246">
      <w:pPr>
        <w:jc w:val="left"/>
        <w:rPr>
          <w:rFonts w:hint="default" w:ascii="宋体" w:hAnsi="宋体" w:cs="宋体"/>
          <w:b/>
          <w:bCs/>
          <w:sz w:val="32"/>
          <w:szCs w:val="32"/>
          <w:lang w:val="en-US" w:eastAsia="zh-CN"/>
        </w:rPr>
      </w:pPr>
      <w:r>
        <w:rPr>
          <w:rFonts w:hint="eastAsia" w:ascii="宋体" w:hAnsi="宋体" w:cs="宋体"/>
          <w:b/>
          <w:bCs/>
          <w:sz w:val="32"/>
          <w:szCs w:val="32"/>
          <w:lang w:val="en-US" w:eastAsia="zh-CN"/>
        </w:rPr>
        <w:t>注意：务必在晚上直播课前完成~</w:t>
      </w:r>
    </w:p>
    <w:p w14:paraId="29C97634">
      <w:pPr>
        <w:jc w:val="center"/>
        <w:rPr>
          <w:rFonts w:ascii="宋体" w:hAnsi="宋体" w:cs="宋体"/>
          <w:b/>
          <w:bCs/>
          <w:sz w:val="32"/>
          <w:szCs w:val="32"/>
        </w:rPr>
      </w:pPr>
    </w:p>
    <w:p w14:paraId="504D5C4A">
      <w:pPr>
        <w:overflowPunct w:val="0"/>
        <w:jc w:val="center"/>
        <w:rPr>
          <w:rFonts w:ascii="宋体" w:hAnsi="宋体" w:cs="宋体"/>
          <w:b/>
          <w:bCs/>
        </w:rPr>
      </w:pPr>
      <w:r>
        <w:rPr>
          <w:rFonts w:hint="eastAsia" w:ascii="宋体" w:hAnsi="宋体" w:cs="宋体"/>
          <w:b/>
          <w:bCs/>
        </w:rPr>
        <w:t>第一章  总论</w:t>
      </w:r>
    </w:p>
    <w:p w14:paraId="2D714A0E">
      <w:pPr>
        <w:jc w:val="left"/>
        <w:rPr>
          <w:rFonts w:ascii="宋体" w:hAnsi="宋体" w:cs="宋体"/>
          <w:color w:val="FF0000"/>
        </w:rPr>
      </w:pPr>
      <w:r>
        <w:rPr>
          <w:rFonts w:hint="eastAsia" w:ascii="宋体" w:hAnsi="宋体" w:cs="宋体"/>
          <w:color w:val="FF0000"/>
        </w:rPr>
        <w:t>【考情分析】预测2024年2～4分。</w:t>
      </w:r>
    </w:p>
    <w:p w14:paraId="7CE3A48D">
      <w:pPr>
        <w:jc w:val="left"/>
        <w:rPr>
          <w:rFonts w:hint="eastAsia" w:ascii="宋体" w:hAnsi="宋体" w:cs="宋体"/>
          <w:color w:val="FF0000"/>
        </w:rPr>
      </w:pPr>
      <w:r>
        <w:rPr>
          <w:rFonts w:hint="eastAsia" w:ascii="宋体" w:hAnsi="宋体" w:cs="宋体"/>
          <w:color w:val="FF0000"/>
        </w:rPr>
        <w:t>【知识点1】企业组织形式</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3480"/>
        <w:gridCol w:w="5064"/>
      </w:tblGrid>
      <w:tr w14:paraId="0997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1EF635C6">
            <w:pPr>
              <w:jc w:val="left"/>
              <w:rPr>
                <w:rFonts w:ascii="宋体" w:hAnsi="宋体" w:cs="宋体"/>
              </w:rPr>
            </w:pPr>
            <w:r>
              <w:rPr>
                <w:rFonts w:hint="eastAsia" w:ascii="宋体" w:hAnsi="宋体" w:cs="宋体"/>
              </w:rPr>
              <w:t>组织形式</w:t>
            </w:r>
          </w:p>
        </w:tc>
        <w:tc>
          <w:tcPr>
            <w:tcW w:w="1717" w:type="pct"/>
          </w:tcPr>
          <w:p w14:paraId="43F6A7C6">
            <w:pPr>
              <w:rPr>
                <w:rFonts w:ascii="宋体" w:hAnsi="宋体" w:cs="宋体"/>
              </w:rPr>
            </w:pPr>
            <w:r>
              <w:rPr>
                <w:rFonts w:hint="eastAsia" w:ascii="宋体" w:hAnsi="宋体" w:cs="宋体"/>
              </w:rPr>
              <w:t>形式及投资者</w:t>
            </w:r>
          </w:p>
        </w:tc>
        <w:tc>
          <w:tcPr>
            <w:tcW w:w="2499" w:type="pct"/>
          </w:tcPr>
          <w:p w14:paraId="19F77789">
            <w:pPr>
              <w:rPr>
                <w:rFonts w:ascii="宋体" w:hAnsi="宋体" w:cs="宋体"/>
              </w:rPr>
            </w:pPr>
            <w:r>
              <w:rPr>
                <w:rFonts w:hint="eastAsia" w:ascii="宋体" w:hAnsi="宋体" w:cs="宋体"/>
              </w:rPr>
              <w:t>优缺点</w:t>
            </w:r>
          </w:p>
        </w:tc>
      </w:tr>
      <w:tr w14:paraId="3ECE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045F321F">
            <w:pPr>
              <w:jc w:val="left"/>
              <w:rPr>
                <w:rFonts w:ascii="宋体" w:hAnsi="宋体" w:cs="宋体"/>
              </w:rPr>
            </w:pPr>
            <w:r>
              <w:rPr>
                <w:rFonts w:hint="eastAsia" w:ascii="宋体" w:hAnsi="宋体" w:cs="宋体"/>
              </w:rPr>
              <w:t>个人独资企业</w:t>
            </w:r>
          </w:p>
        </w:tc>
        <w:tc>
          <w:tcPr>
            <w:tcW w:w="1717" w:type="pct"/>
          </w:tcPr>
          <w:p w14:paraId="66446BB2">
            <w:pPr>
              <w:rPr>
                <w:rFonts w:ascii="宋体" w:hAnsi="宋体" w:cs="宋体"/>
              </w:rPr>
            </w:pPr>
            <w:r>
              <w:rPr>
                <w:rFonts w:hint="eastAsia" w:ascii="宋体" w:hAnsi="宋体" w:cs="宋体"/>
              </w:rPr>
              <w:t>一个自然人投资</w:t>
            </w:r>
          </w:p>
        </w:tc>
        <w:tc>
          <w:tcPr>
            <w:tcW w:w="2499" w:type="pct"/>
          </w:tcPr>
          <w:p w14:paraId="484E52CC">
            <w:pPr>
              <w:rPr>
                <w:rFonts w:ascii="宋体" w:hAnsi="宋体" w:cs="宋体"/>
              </w:rPr>
            </w:pPr>
            <w:r>
              <w:rPr>
                <w:rFonts w:hint="eastAsia" w:ascii="宋体" w:hAnsi="宋体" w:cs="宋体"/>
              </w:rPr>
              <w:t>优点：创立容易、经营管理灵活自由、不需要缴纳企业所得税等；</w:t>
            </w:r>
          </w:p>
          <w:p w14:paraId="6F00B441">
            <w:pPr>
              <w:rPr>
                <w:rFonts w:ascii="宋体" w:hAnsi="宋体" w:cs="宋体"/>
              </w:rPr>
            </w:pPr>
            <w:r>
              <w:rPr>
                <w:rFonts w:hint="eastAsia" w:ascii="宋体" w:hAnsi="宋体" w:cs="宋体"/>
              </w:rPr>
              <w:t>缺点：对债务承担无限责任、融资难、股权转移难、生命周期有限。</w:t>
            </w:r>
          </w:p>
        </w:tc>
      </w:tr>
      <w:tr w14:paraId="478C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030F9F35">
            <w:pPr>
              <w:jc w:val="left"/>
              <w:rPr>
                <w:rFonts w:ascii="宋体" w:hAnsi="宋体" w:cs="宋体"/>
              </w:rPr>
            </w:pPr>
            <w:r>
              <w:rPr>
                <w:rFonts w:hint="eastAsia" w:ascii="宋体" w:hAnsi="宋体" w:cs="宋体"/>
              </w:rPr>
              <w:t>合伙企业</w:t>
            </w:r>
          </w:p>
        </w:tc>
        <w:tc>
          <w:tcPr>
            <w:tcW w:w="1717" w:type="pct"/>
          </w:tcPr>
          <w:p w14:paraId="5231813D">
            <w:pPr>
              <w:rPr>
                <w:rFonts w:ascii="宋体" w:hAnsi="宋体" w:cs="宋体"/>
              </w:rPr>
            </w:pPr>
            <w:r>
              <w:rPr>
                <w:rFonts w:hint="eastAsia" w:ascii="宋体" w:hAnsi="宋体" w:cs="宋体"/>
              </w:rPr>
              <w:t>普通合伙企业</w:t>
            </w:r>
          </w:p>
          <w:p w14:paraId="588A3D44">
            <w:pPr>
              <w:rPr>
                <w:rFonts w:ascii="宋体" w:hAnsi="宋体" w:cs="宋体"/>
              </w:rPr>
            </w:pPr>
            <w:r>
              <w:rPr>
                <w:rFonts w:hint="eastAsia" w:ascii="宋体" w:hAnsi="宋体" w:cs="宋体"/>
              </w:rPr>
              <w:t>有限合伙企业（两个以上合伙人）</w:t>
            </w:r>
          </w:p>
        </w:tc>
        <w:tc>
          <w:tcPr>
            <w:tcW w:w="2499" w:type="pct"/>
          </w:tcPr>
          <w:p w14:paraId="4F6816A8">
            <w:pPr>
              <w:rPr>
                <w:rFonts w:ascii="宋体" w:hAnsi="宋体" w:cs="宋体"/>
              </w:rPr>
            </w:pPr>
            <w:r>
              <w:rPr>
                <w:rFonts w:hint="eastAsia" w:ascii="宋体" w:hAnsi="宋体" w:cs="宋体"/>
              </w:rPr>
              <w:t>订立合伙协议，有限合伙人承担有限责任，普通合伙人承担无限连带责任，其余与个人独资企业类似。</w:t>
            </w:r>
          </w:p>
        </w:tc>
      </w:tr>
      <w:tr w14:paraId="6CB5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087AE9A4">
            <w:pPr>
              <w:jc w:val="left"/>
              <w:rPr>
                <w:rFonts w:ascii="宋体" w:hAnsi="宋体" w:cs="宋体"/>
              </w:rPr>
            </w:pPr>
            <w:r>
              <w:rPr>
                <w:rFonts w:hint="eastAsia" w:ascii="宋体" w:hAnsi="宋体" w:cs="宋体"/>
              </w:rPr>
              <w:t>公司制企业</w:t>
            </w:r>
          </w:p>
        </w:tc>
        <w:tc>
          <w:tcPr>
            <w:tcW w:w="1717" w:type="pct"/>
          </w:tcPr>
          <w:p w14:paraId="74EB0C95">
            <w:pPr>
              <w:rPr>
                <w:rFonts w:ascii="宋体" w:hAnsi="宋体" w:cs="宋体"/>
              </w:rPr>
            </w:pPr>
            <w:r>
              <w:rPr>
                <w:rFonts w:hint="eastAsia" w:ascii="宋体" w:hAnsi="宋体" w:cs="宋体"/>
              </w:rPr>
              <w:t>有限责任公司（1人或50人以下）、股份有限公司（设立时1人以上200人以下）个人、法人均可</w:t>
            </w:r>
          </w:p>
        </w:tc>
        <w:tc>
          <w:tcPr>
            <w:tcW w:w="2499" w:type="pct"/>
          </w:tcPr>
          <w:p w14:paraId="740AE9F1">
            <w:pPr>
              <w:rPr>
                <w:rFonts w:ascii="宋体" w:hAnsi="宋体" w:cs="宋体"/>
              </w:rPr>
            </w:pPr>
            <w:r>
              <w:rPr>
                <w:rFonts w:hint="eastAsia" w:ascii="宋体" w:hAnsi="宋体" w:cs="宋体"/>
              </w:rPr>
              <w:t>优点：容易转让所有权、有限债务责任、无限存续期、融资渠道多；</w:t>
            </w:r>
          </w:p>
          <w:p w14:paraId="478419C3">
            <w:pPr>
              <w:rPr>
                <w:rFonts w:ascii="宋体" w:hAnsi="宋体" w:cs="宋体"/>
              </w:rPr>
            </w:pPr>
            <w:r>
              <w:rPr>
                <w:rFonts w:hint="eastAsia" w:ascii="宋体" w:hAnsi="宋体" w:cs="宋体"/>
              </w:rPr>
              <w:t>缺点：组建成本高、存在代理问题、双重课税。</w:t>
            </w:r>
          </w:p>
        </w:tc>
      </w:tr>
    </w:tbl>
    <w:p w14:paraId="00FC665E">
      <w:pPr>
        <w:jc w:val="left"/>
        <w:rPr>
          <w:rFonts w:ascii="宋体" w:hAnsi="宋体" w:cs="宋体"/>
          <w:color w:val="FF0000"/>
        </w:rPr>
      </w:pPr>
      <w:r>
        <w:rPr>
          <w:rFonts w:hint="eastAsia" w:ascii="宋体" w:hAnsi="宋体" w:cs="宋体"/>
          <w:color w:val="FF0000"/>
        </w:rPr>
        <w:t xml:space="preserve">口诀：公司制企业优点：有限债，无限存，转让易、渠道多。 </w:t>
      </w:r>
    </w:p>
    <w:p w14:paraId="71EBC564">
      <w:pPr>
        <w:jc w:val="left"/>
        <w:rPr>
          <w:rFonts w:ascii="宋体" w:hAnsi="宋体" w:cs="宋体"/>
          <w:color w:val="FF0000"/>
        </w:rPr>
      </w:pPr>
      <w:r>
        <w:rPr>
          <w:rFonts w:hint="eastAsia" w:ascii="宋体" w:hAnsi="宋体" w:cs="宋体"/>
          <w:color w:val="FF0000"/>
        </w:rPr>
        <w:t>缺点：代理难、成本高、双课税。</w:t>
      </w:r>
    </w:p>
    <w:p w14:paraId="04216290">
      <w:pPr>
        <w:jc w:val="left"/>
        <w:rPr>
          <w:rFonts w:ascii="宋体" w:hAnsi="宋体" w:cs="宋体"/>
          <w:color w:val="FF0000"/>
        </w:rPr>
      </w:pPr>
      <w:r>
        <w:rPr>
          <w:rFonts w:hint="eastAsia" w:ascii="宋体" w:hAnsi="宋体" w:cs="宋体"/>
          <w:color w:val="FF0000"/>
        </w:rPr>
        <w:t>【知识点2】财务管理目标理论</w:t>
      </w:r>
    </w:p>
    <w:p w14:paraId="12979CEB">
      <w:pPr>
        <w:jc w:val="left"/>
        <w:rPr>
          <w:rFonts w:ascii="宋体" w:hAnsi="宋体" w:cs="宋体"/>
        </w:rPr>
      </w:pPr>
      <w:r>
        <w:rPr>
          <w:rFonts w:hint="eastAsia" w:ascii="宋体" w:hAnsi="宋体" w:cs="宋体"/>
        </w:rPr>
        <w:t>4种财务管理目标理论对比</w:t>
      </w:r>
    </w:p>
    <w:tbl>
      <w:tblPr>
        <w:tblStyle w:val="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95"/>
        <w:gridCol w:w="1885"/>
        <w:gridCol w:w="2031"/>
        <w:gridCol w:w="3324"/>
      </w:tblGrid>
      <w:tr w14:paraId="2074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D5C7A46">
            <w:pPr>
              <w:jc w:val="left"/>
              <w:rPr>
                <w:rFonts w:ascii="宋体" w:hAnsi="宋体" w:cs="宋体"/>
              </w:rPr>
            </w:pPr>
          </w:p>
        </w:tc>
        <w:tc>
          <w:tcPr>
            <w:tcW w:w="787" w:type="pct"/>
          </w:tcPr>
          <w:p w14:paraId="5ECA0F0B">
            <w:pPr>
              <w:rPr>
                <w:rFonts w:ascii="宋体" w:hAnsi="宋体" w:cs="宋体"/>
              </w:rPr>
            </w:pPr>
            <w:r>
              <w:rPr>
                <w:rFonts w:hint="eastAsia" w:ascii="宋体" w:hAnsi="宋体" w:cs="宋体"/>
              </w:rPr>
              <w:t>利润最大化</w:t>
            </w:r>
          </w:p>
        </w:tc>
        <w:tc>
          <w:tcPr>
            <w:tcW w:w="930" w:type="pct"/>
          </w:tcPr>
          <w:p w14:paraId="67C5D254">
            <w:pPr>
              <w:rPr>
                <w:rFonts w:ascii="宋体" w:hAnsi="宋体" w:cs="宋体"/>
              </w:rPr>
            </w:pPr>
            <w:r>
              <w:rPr>
                <w:rFonts w:hint="eastAsia" w:ascii="宋体" w:hAnsi="宋体" w:cs="宋体"/>
              </w:rPr>
              <w:t>股东财富最大化</w:t>
            </w:r>
          </w:p>
        </w:tc>
        <w:tc>
          <w:tcPr>
            <w:tcW w:w="1002" w:type="pct"/>
          </w:tcPr>
          <w:p w14:paraId="4EEB6228">
            <w:pPr>
              <w:rPr>
                <w:rFonts w:ascii="宋体" w:hAnsi="宋体" w:cs="宋体"/>
              </w:rPr>
            </w:pPr>
            <w:r>
              <w:rPr>
                <w:rFonts w:hint="eastAsia" w:ascii="宋体" w:hAnsi="宋体" w:cs="宋体"/>
              </w:rPr>
              <w:t>企业价值最大化</w:t>
            </w:r>
          </w:p>
        </w:tc>
        <w:tc>
          <w:tcPr>
            <w:tcW w:w="1640" w:type="pct"/>
          </w:tcPr>
          <w:p w14:paraId="1972C573">
            <w:pPr>
              <w:rPr>
                <w:rFonts w:ascii="宋体" w:hAnsi="宋体" w:cs="宋体"/>
              </w:rPr>
            </w:pPr>
            <w:r>
              <w:rPr>
                <w:rFonts w:hint="eastAsia" w:ascii="宋体" w:hAnsi="宋体" w:cs="宋体"/>
              </w:rPr>
              <w:t>相关者利益最大化</w:t>
            </w:r>
          </w:p>
        </w:tc>
      </w:tr>
      <w:tr w14:paraId="3E06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B76B989">
            <w:pPr>
              <w:rPr>
                <w:rFonts w:ascii="宋体" w:hAnsi="宋体" w:cs="宋体"/>
              </w:rPr>
            </w:pPr>
            <w:r>
              <w:rPr>
                <w:rFonts w:hint="eastAsia" w:ascii="宋体" w:hAnsi="宋体" w:cs="宋体"/>
              </w:rPr>
              <w:t>资本投入</w:t>
            </w:r>
          </w:p>
        </w:tc>
        <w:tc>
          <w:tcPr>
            <w:tcW w:w="787" w:type="pct"/>
          </w:tcPr>
          <w:p w14:paraId="5E2C49DD">
            <w:pPr>
              <w:rPr>
                <w:rFonts w:ascii="宋体" w:hAnsi="宋体" w:cs="宋体"/>
              </w:rPr>
            </w:pPr>
            <w:r>
              <w:rPr>
                <w:rFonts w:hint="eastAsia" w:ascii="宋体" w:hAnsi="宋体" w:cs="宋体"/>
              </w:rPr>
              <w:t>没有考虑</w:t>
            </w:r>
          </w:p>
        </w:tc>
        <w:tc>
          <w:tcPr>
            <w:tcW w:w="930" w:type="pct"/>
          </w:tcPr>
          <w:p w14:paraId="284F0900">
            <w:pPr>
              <w:rPr>
                <w:rFonts w:ascii="宋体" w:hAnsi="宋体" w:cs="宋体"/>
              </w:rPr>
            </w:pPr>
            <w:r>
              <w:rPr>
                <w:rFonts w:hint="eastAsia" w:ascii="宋体" w:hAnsi="宋体" w:cs="宋体"/>
              </w:rPr>
              <w:t>考虑</w:t>
            </w:r>
          </w:p>
        </w:tc>
        <w:tc>
          <w:tcPr>
            <w:tcW w:w="1002" w:type="pct"/>
          </w:tcPr>
          <w:p w14:paraId="24F53103">
            <w:pPr>
              <w:rPr>
                <w:rFonts w:ascii="宋体" w:hAnsi="宋体" w:cs="宋体"/>
              </w:rPr>
            </w:pPr>
            <w:r>
              <w:rPr>
                <w:rFonts w:hint="eastAsia" w:ascii="宋体" w:hAnsi="宋体" w:cs="宋体"/>
              </w:rPr>
              <w:t>考虑</w:t>
            </w:r>
          </w:p>
        </w:tc>
        <w:tc>
          <w:tcPr>
            <w:tcW w:w="1640" w:type="pct"/>
          </w:tcPr>
          <w:p w14:paraId="4FD8751C">
            <w:pPr>
              <w:rPr>
                <w:rFonts w:ascii="宋体" w:hAnsi="宋体" w:cs="宋体"/>
              </w:rPr>
            </w:pPr>
            <w:r>
              <w:rPr>
                <w:rFonts w:hint="eastAsia" w:ascii="宋体" w:hAnsi="宋体" w:cs="宋体"/>
              </w:rPr>
              <w:t>——</w:t>
            </w:r>
          </w:p>
        </w:tc>
      </w:tr>
      <w:tr w14:paraId="28B8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8146A37">
            <w:pPr>
              <w:rPr>
                <w:rFonts w:ascii="宋体" w:hAnsi="宋体" w:cs="宋体"/>
              </w:rPr>
            </w:pPr>
            <w:r>
              <w:rPr>
                <w:rFonts w:hint="eastAsia" w:ascii="宋体" w:hAnsi="宋体" w:cs="宋体"/>
              </w:rPr>
              <w:t>时间价值</w:t>
            </w:r>
          </w:p>
        </w:tc>
        <w:tc>
          <w:tcPr>
            <w:tcW w:w="787" w:type="pct"/>
          </w:tcPr>
          <w:p w14:paraId="658B6F01">
            <w:pPr>
              <w:rPr>
                <w:rFonts w:ascii="宋体" w:hAnsi="宋体" w:cs="宋体"/>
              </w:rPr>
            </w:pPr>
            <w:r>
              <w:rPr>
                <w:rFonts w:hint="eastAsia" w:ascii="宋体" w:hAnsi="宋体" w:cs="宋体"/>
              </w:rPr>
              <w:t>没有考虑</w:t>
            </w:r>
          </w:p>
        </w:tc>
        <w:tc>
          <w:tcPr>
            <w:tcW w:w="930" w:type="pct"/>
          </w:tcPr>
          <w:p w14:paraId="7919C6EB">
            <w:pPr>
              <w:rPr>
                <w:rFonts w:ascii="宋体" w:hAnsi="宋体" w:cs="宋体"/>
              </w:rPr>
            </w:pPr>
            <w:r>
              <w:rPr>
                <w:rFonts w:hint="eastAsia" w:ascii="宋体" w:hAnsi="宋体" w:cs="宋体"/>
              </w:rPr>
              <w:t>考虑</w:t>
            </w:r>
          </w:p>
        </w:tc>
        <w:tc>
          <w:tcPr>
            <w:tcW w:w="1002" w:type="pct"/>
          </w:tcPr>
          <w:p w14:paraId="2315F094">
            <w:pPr>
              <w:rPr>
                <w:rFonts w:ascii="宋体" w:hAnsi="宋体" w:cs="宋体"/>
              </w:rPr>
            </w:pPr>
            <w:r>
              <w:rPr>
                <w:rFonts w:hint="eastAsia" w:ascii="宋体" w:hAnsi="宋体" w:cs="宋体"/>
              </w:rPr>
              <w:t>考虑</w:t>
            </w:r>
          </w:p>
        </w:tc>
        <w:tc>
          <w:tcPr>
            <w:tcW w:w="1640" w:type="pct"/>
          </w:tcPr>
          <w:p w14:paraId="7B10F9FF">
            <w:pPr>
              <w:rPr>
                <w:rFonts w:ascii="宋体" w:hAnsi="宋体" w:cs="宋体"/>
              </w:rPr>
            </w:pPr>
            <w:r>
              <w:rPr>
                <w:rFonts w:hint="eastAsia" w:ascii="宋体" w:hAnsi="宋体" w:cs="宋体"/>
              </w:rPr>
              <w:t>考虑</w:t>
            </w:r>
          </w:p>
        </w:tc>
      </w:tr>
      <w:tr w14:paraId="0DE5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5345F02">
            <w:pPr>
              <w:rPr>
                <w:rFonts w:ascii="宋体" w:hAnsi="宋体" w:cs="宋体"/>
              </w:rPr>
            </w:pPr>
            <w:r>
              <w:rPr>
                <w:rFonts w:hint="eastAsia" w:ascii="宋体" w:hAnsi="宋体" w:cs="宋体"/>
              </w:rPr>
              <w:t>风险因素</w:t>
            </w:r>
          </w:p>
        </w:tc>
        <w:tc>
          <w:tcPr>
            <w:tcW w:w="787" w:type="pct"/>
          </w:tcPr>
          <w:p w14:paraId="220E0F5F">
            <w:pPr>
              <w:rPr>
                <w:rFonts w:ascii="宋体" w:hAnsi="宋体" w:cs="宋体"/>
              </w:rPr>
            </w:pPr>
            <w:r>
              <w:rPr>
                <w:rFonts w:hint="eastAsia" w:ascii="宋体" w:hAnsi="宋体" w:cs="宋体"/>
              </w:rPr>
              <w:t>没有考虑</w:t>
            </w:r>
          </w:p>
        </w:tc>
        <w:tc>
          <w:tcPr>
            <w:tcW w:w="930" w:type="pct"/>
          </w:tcPr>
          <w:p w14:paraId="3AFD7A24">
            <w:pPr>
              <w:rPr>
                <w:rFonts w:ascii="宋体" w:hAnsi="宋体" w:cs="宋体"/>
              </w:rPr>
            </w:pPr>
            <w:r>
              <w:rPr>
                <w:rFonts w:hint="eastAsia" w:ascii="宋体" w:hAnsi="宋体" w:cs="宋体"/>
              </w:rPr>
              <w:t>考虑</w:t>
            </w:r>
          </w:p>
        </w:tc>
        <w:tc>
          <w:tcPr>
            <w:tcW w:w="1002" w:type="pct"/>
          </w:tcPr>
          <w:p w14:paraId="0D0DC9E6">
            <w:pPr>
              <w:rPr>
                <w:rFonts w:ascii="宋体" w:hAnsi="宋体" w:cs="宋体"/>
              </w:rPr>
            </w:pPr>
            <w:r>
              <w:rPr>
                <w:rFonts w:hint="eastAsia" w:ascii="宋体" w:hAnsi="宋体" w:cs="宋体"/>
              </w:rPr>
              <w:t>考虑</w:t>
            </w:r>
          </w:p>
        </w:tc>
        <w:tc>
          <w:tcPr>
            <w:tcW w:w="1640" w:type="pct"/>
          </w:tcPr>
          <w:p w14:paraId="2F6425B2">
            <w:pPr>
              <w:rPr>
                <w:rFonts w:ascii="宋体" w:hAnsi="宋体" w:cs="宋体"/>
              </w:rPr>
            </w:pPr>
            <w:r>
              <w:rPr>
                <w:rFonts w:hint="eastAsia" w:ascii="宋体" w:hAnsi="宋体" w:cs="宋体"/>
              </w:rPr>
              <w:t>考虑</w:t>
            </w:r>
          </w:p>
        </w:tc>
      </w:tr>
      <w:tr w14:paraId="744F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006CCE5C">
            <w:pPr>
              <w:rPr>
                <w:rFonts w:ascii="宋体" w:hAnsi="宋体" w:cs="宋体"/>
              </w:rPr>
            </w:pPr>
            <w:r>
              <w:rPr>
                <w:rFonts w:hint="eastAsia" w:ascii="宋体" w:hAnsi="宋体" w:cs="宋体"/>
              </w:rPr>
              <w:t>其他</w:t>
            </w:r>
          </w:p>
        </w:tc>
        <w:tc>
          <w:tcPr>
            <w:tcW w:w="787" w:type="pct"/>
          </w:tcPr>
          <w:p w14:paraId="5F26BD74">
            <w:pPr>
              <w:rPr>
                <w:rFonts w:ascii="宋体" w:hAnsi="宋体" w:cs="宋体"/>
              </w:rPr>
            </w:pPr>
            <w:r>
              <w:rPr>
                <w:rFonts w:hint="eastAsia" w:ascii="宋体" w:hAnsi="宋体" w:cs="宋体"/>
              </w:rPr>
              <w:t>——</w:t>
            </w:r>
          </w:p>
        </w:tc>
        <w:tc>
          <w:tcPr>
            <w:tcW w:w="930" w:type="pct"/>
          </w:tcPr>
          <w:p w14:paraId="09F52255">
            <w:pPr>
              <w:rPr>
                <w:rFonts w:ascii="宋体" w:hAnsi="宋体" w:cs="宋体"/>
              </w:rPr>
            </w:pPr>
            <w:r>
              <w:rPr>
                <w:rFonts w:hint="eastAsia" w:ascii="宋体" w:hAnsi="宋体" w:cs="宋体"/>
              </w:rPr>
              <w:t>——</w:t>
            </w:r>
          </w:p>
        </w:tc>
        <w:tc>
          <w:tcPr>
            <w:tcW w:w="1002" w:type="pct"/>
          </w:tcPr>
          <w:p w14:paraId="529490EB">
            <w:pPr>
              <w:rPr>
                <w:rFonts w:ascii="宋体" w:hAnsi="宋体" w:cs="宋体"/>
              </w:rPr>
            </w:pPr>
            <w:r>
              <w:rPr>
                <w:rFonts w:hint="eastAsia" w:ascii="宋体" w:hAnsi="宋体" w:cs="宋体"/>
              </w:rPr>
              <w:t>——</w:t>
            </w:r>
          </w:p>
        </w:tc>
        <w:tc>
          <w:tcPr>
            <w:tcW w:w="1640" w:type="pct"/>
          </w:tcPr>
          <w:p w14:paraId="12C3E2D4">
            <w:pPr>
              <w:rPr>
                <w:rFonts w:ascii="宋体" w:hAnsi="宋体" w:cs="宋体"/>
              </w:rPr>
            </w:pPr>
            <w:r>
              <w:rPr>
                <w:rFonts w:hint="eastAsia" w:ascii="宋体" w:hAnsi="宋体" w:cs="宋体"/>
              </w:rPr>
              <w:t>综合考虑不同利益相关者，但要强调股东的首要地位</w:t>
            </w:r>
          </w:p>
        </w:tc>
      </w:tr>
    </w:tbl>
    <w:p w14:paraId="3DA0FA02">
      <w:pPr>
        <w:jc w:val="left"/>
        <w:rPr>
          <w:rFonts w:ascii="宋体" w:hAnsi="宋体" w:cs="宋体"/>
          <w:color w:val="FF0000"/>
        </w:rPr>
      </w:pPr>
      <w:r>
        <w:rPr>
          <w:rFonts w:hint="eastAsia" w:ascii="宋体" w:hAnsi="宋体" w:cs="宋体"/>
          <w:color w:val="FF0000"/>
        </w:rPr>
        <w:t>【知识点3】财务管理目标与利益冲突</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8110"/>
      </w:tblGrid>
      <w:tr w14:paraId="5F7C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DC83617">
            <w:pPr>
              <w:jc w:val="center"/>
              <w:rPr>
                <w:rFonts w:ascii="宋体" w:hAnsi="宋体" w:cs="宋体"/>
              </w:rPr>
            </w:pPr>
            <w:r>
              <w:rPr>
                <w:rFonts w:hint="eastAsia" w:ascii="宋体" w:hAnsi="宋体" w:cs="宋体"/>
              </w:rPr>
              <w:t>利益冲突</w:t>
            </w:r>
          </w:p>
        </w:tc>
        <w:tc>
          <w:tcPr>
            <w:tcW w:w="4001" w:type="pct"/>
          </w:tcPr>
          <w:p w14:paraId="077A41AB">
            <w:pPr>
              <w:jc w:val="left"/>
              <w:rPr>
                <w:rFonts w:ascii="宋体" w:hAnsi="宋体" w:cs="宋体"/>
              </w:rPr>
            </w:pPr>
            <w:r>
              <w:rPr>
                <w:rFonts w:hint="eastAsia" w:ascii="宋体" w:hAnsi="宋体" w:cs="宋体"/>
              </w:rPr>
              <w:t>解决途径</w:t>
            </w:r>
          </w:p>
        </w:tc>
      </w:tr>
      <w:tr w14:paraId="75E8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5FDBADD">
            <w:pPr>
              <w:jc w:val="center"/>
              <w:rPr>
                <w:rFonts w:ascii="宋体" w:hAnsi="宋体" w:cs="宋体"/>
              </w:rPr>
            </w:pPr>
            <w:r>
              <w:rPr>
                <w:rFonts w:hint="eastAsia" w:ascii="宋体" w:hAnsi="宋体" w:cs="宋体"/>
              </w:rPr>
              <w:t>股东与经营者</w:t>
            </w:r>
          </w:p>
        </w:tc>
        <w:tc>
          <w:tcPr>
            <w:tcW w:w="4001" w:type="pct"/>
          </w:tcPr>
          <w:p w14:paraId="0FB756E6">
            <w:pPr>
              <w:jc w:val="left"/>
              <w:rPr>
                <w:rFonts w:ascii="宋体" w:hAnsi="宋体" w:cs="宋体"/>
              </w:rPr>
            </w:pPr>
            <w:r>
              <w:rPr>
                <w:rFonts w:hint="eastAsia" w:ascii="宋体" w:hAnsi="宋体" w:cs="宋体"/>
              </w:rPr>
              <w:t>（1）解聘：通过所有者约束经营者；</w:t>
            </w:r>
          </w:p>
          <w:p w14:paraId="01067B30">
            <w:pPr>
              <w:jc w:val="left"/>
              <w:rPr>
                <w:rFonts w:ascii="宋体" w:hAnsi="宋体" w:cs="宋体"/>
              </w:rPr>
            </w:pPr>
            <w:r>
              <w:rPr>
                <w:rFonts w:hint="eastAsia" w:ascii="宋体" w:hAnsi="宋体" w:cs="宋体"/>
              </w:rPr>
              <w:t>（2）接收：通过市场约束经营者；</w:t>
            </w:r>
          </w:p>
          <w:p w14:paraId="510A4BC4">
            <w:pPr>
              <w:jc w:val="left"/>
              <w:rPr>
                <w:rFonts w:ascii="宋体" w:hAnsi="宋体" w:cs="宋体"/>
              </w:rPr>
            </w:pPr>
            <w:r>
              <w:rPr>
                <w:rFonts w:hint="eastAsia" w:ascii="宋体" w:hAnsi="宋体" w:cs="宋体"/>
              </w:rPr>
              <w:t>（3）激励：如股票期权、绩效股</w:t>
            </w:r>
          </w:p>
        </w:tc>
      </w:tr>
      <w:tr w14:paraId="7195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25379FB5">
            <w:pPr>
              <w:jc w:val="center"/>
              <w:rPr>
                <w:rFonts w:ascii="宋体" w:hAnsi="宋体" w:cs="宋体"/>
              </w:rPr>
            </w:pPr>
            <w:r>
              <w:rPr>
                <w:rFonts w:hint="eastAsia" w:ascii="宋体" w:hAnsi="宋体" w:cs="宋体"/>
              </w:rPr>
              <w:t>股东与债权人</w:t>
            </w:r>
          </w:p>
        </w:tc>
        <w:tc>
          <w:tcPr>
            <w:tcW w:w="4001" w:type="pct"/>
          </w:tcPr>
          <w:p w14:paraId="65535894">
            <w:pPr>
              <w:jc w:val="left"/>
              <w:rPr>
                <w:rFonts w:ascii="宋体" w:hAnsi="宋体" w:cs="宋体"/>
              </w:rPr>
            </w:pPr>
            <w:r>
              <w:rPr>
                <w:rFonts w:hint="eastAsia" w:ascii="宋体" w:hAnsi="宋体" w:cs="宋体"/>
              </w:rPr>
              <w:t>（1）限制性借债；</w:t>
            </w:r>
          </w:p>
          <w:p w14:paraId="7A509A30">
            <w:pPr>
              <w:jc w:val="left"/>
              <w:rPr>
                <w:rFonts w:ascii="宋体" w:hAnsi="宋体" w:cs="宋体"/>
              </w:rPr>
            </w:pPr>
            <w:r>
              <w:rPr>
                <w:rFonts w:hint="eastAsia" w:ascii="宋体" w:hAnsi="宋体" w:cs="宋体"/>
              </w:rPr>
              <w:t>（2）债权人发现企业有侵蚀其债权价值的意图时，收回债权或不再给予新借款</w:t>
            </w:r>
          </w:p>
        </w:tc>
      </w:tr>
      <w:tr w14:paraId="66E0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D45EED9">
            <w:pPr>
              <w:jc w:val="left"/>
              <w:rPr>
                <w:rFonts w:ascii="宋体" w:hAnsi="宋体" w:cs="宋体"/>
              </w:rPr>
            </w:pPr>
            <w:r>
              <w:rPr>
                <w:rFonts w:hint="eastAsia" w:ascii="宋体" w:hAnsi="宋体" w:cs="宋体"/>
              </w:rPr>
              <w:t>大股东与中小股东</w:t>
            </w:r>
          </w:p>
        </w:tc>
        <w:tc>
          <w:tcPr>
            <w:tcW w:w="4001" w:type="pct"/>
          </w:tcPr>
          <w:p w14:paraId="45FCDDF2">
            <w:pPr>
              <w:jc w:val="left"/>
              <w:rPr>
                <w:rFonts w:ascii="宋体" w:hAnsi="宋体" w:cs="宋体"/>
              </w:rPr>
            </w:pPr>
            <w:r>
              <w:rPr>
                <w:rFonts w:hint="eastAsia" w:ascii="宋体" w:hAnsi="宋体" w:cs="宋体"/>
              </w:rPr>
              <w:t>（1）完善上市公司的治理结构，使股东大会、董事会和监事会三者有效运行，形成相互制约的机制；</w:t>
            </w:r>
          </w:p>
          <w:p w14:paraId="146965E2">
            <w:pPr>
              <w:jc w:val="left"/>
              <w:rPr>
                <w:rFonts w:ascii="宋体" w:hAnsi="宋体" w:cs="宋体"/>
              </w:rPr>
            </w:pPr>
            <w:r>
              <w:rPr>
                <w:rFonts w:hint="eastAsia" w:ascii="宋体" w:hAnsi="宋体" w:cs="宋体"/>
              </w:rPr>
              <w:t>（2）规范上市公司的信息披露制度，保证信息的完整性、真实性和及时性</w:t>
            </w:r>
          </w:p>
        </w:tc>
      </w:tr>
    </w:tbl>
    <w:p w14:paraId="5E218268">
      <w:pPr>
        <w:jc w:val="left"/>
        <w:rPr>
          <w:rFonts w:ascii="宋体" w:hAnsi="宋体" w:cs="宋体"/>
          <w:color w:val="FF0000"/>
        </w:rPr>
      </w:pPr>
      <w:r>
        <w:rPr>
          <w:rFonts w:hint="eastAsia" w:ascii="宋体" w:hAnsi="宋体" w:cs="宋体"/>
          <w:color w:val="FF0000"/>
        </w:rPr>
        <w:t>【知识点4】财务管理体制一般模式——集权与分权的优缺点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930"/>
        <w:gridCol w:w="4340"/>
      </w:tblGrid>
      <w:tr w14:paraId="5C35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5012D9C6">
            <w:pPr>
              <w:jc w:val="left"/>
              <w:rPr>
                <w:rFonts w:ascii="宋体" w:hAnsi="宋体" w:cs="宋体"/>
              </w:rPr>
            </w:pPr>
          </w:p>
        </w:tc>
        <w:tc>
          <w:tcPr>
            <w:tcW w:w="2432" w:type="pct"/>
          </w:tcPr>
          <w:p w14:paraId="775280B7">
            <w:pPr>
              <w:overflowPunct w:val="0"/>
              <w:rPr>
                <w:rFonts w:ascii="宋体" w:hAnsi="宋体" w:cs="宋体"/>
              </w:rPr>
            </w:pPr>
            <w:r>
              <w:rPr>
                <w:rFonts w:hint="eastAsia" w:ascii="宋体" w:hAnsi="宋体" w:cs="宋体"/>
              </w:rPr>
              <w:t>集权</w:t>
            </w:r>
          </w:p>
        </w:tc>
        <w:tc>
          <w:tcPr>
            <w:tcW w:w="2141" w:type="pct"/>
          </w:tcPr>
          <w:p w14:paraId="2E1E070A">
            <w:pPr>
              <w:overflowPunct w:val="0"/>
              <w:rPr>
                <w:rFonts w:ascii="宋体" w:hAnsi="宋体" w:cs="宋体"/>
              </w:rPr>
            </w:pPr>
            <w:r>
              <w:rPr>
                <w:rFonts w:hint="eastAsia" w:ascii="宋体" w:hAnsi="宋体" w:cs="宋体"/>
              </w:rPr>
              <w:t>分权</w:t>
            </w:r>
          </w:p>
        </w:tc>
      </w:tr>
      <w:tr w14:paraId="32A5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46D2DF25">
            <w:pPr>
              <w:overflowPunct w:val="0"/>
              <w:rPr>
                <w:rFonts w:ascii="宋体" w:hAnsi="宋体" w:cs="宋体"/>
              </w:rPr>
            </w:pPr>
            <w:r>
              <w:rPr>
                <w:rFonts w:hint="eastAsia" w:ascii="宋体" w:hAnsi="宋体" w:cs="宋体"/>
              </w:rPr>
              <w:t>优点</w:t>
            </w:r>
          </w:p>
        </w:tc>
        <w:tc>
          <w:tcPr>
            <w:tcW w:w="2432" w:type="pct"/>
          </w:tcPr>
          <w:p w14:paraId="4026E060">
            <w:pPr>
              <w:rPr>
                <w:rFonts w:ascii="宋体" w:hAnsi="宋体" w:cs="宋体"/>
              </w:rPr>
            </w:pPr>
            <w:r>
              <w:rPr>
                <w:rFonts w:hint="eastAsia" w:ascii="宋体" w:hAnsi="宋体" w:cs="宋体"/>
              </w:rPr>
              <w:t>可以充分展现其一体化管理优势；整合内部优化配置资源；有利于实行内部调拨价格，有利于内部采取避税措施及防范汇率风险。</w:t>
            </w:r>
          </w:p>
        </w:tc>
        <w:tc>
          <w:tcPr>
            <w:tcW w:w="2141" w:type="pct"/>
          </w:tcPr>
          <w:p w14:paraId="63FBDBD5">
            <w:pPr>
              <w:rPr>
                <w:rFonts w:ascii="宋体" w:hAnsi="宋体" w:cs="宋体"/>
              </w:rPr>
            </w:pPr>
            <w:r>
              <w:rPr>
                <w:rFonts w:hint="eastAsia" w:ascii="宋体" w:hAnsi="宋体" w:cs="宋体"/>
              </w:rPr>
              <w:t>决策迅速，适应性强；分散经营风险，提高人员素质</w:t>
            </w:r>
          </w:p>
        </w:tc>
      </w:tr>
      <w:tr w14:paraId="236E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4863F129">
            <w:pPr>
              <w:overflowPunct w:val="0"/>
              <w:rPr>
                <w:rFonts w:ascii="宋体" w:hAnsi="宋体" w:cs="宋体"/>
              </w:rPr>
            </w:pPr>
            <w:r>
              <w:rPr>
                <w:rFonts w:hint="eastAsia" w:ascii="宋体" w:hAnsi="宋体" w:cs="宋体"/>
              </w:rPr>
              <w:t>缺点</w:t>
            </w:r>
          </w:p>
        </w:tc>
        <w:tc>
          <w:tcPr>
            <w:tcW w:w="2432" w:type="pct"/>
          </w:tcPr>
          <w:p w14:paraId="222891C9">
            <w:pPr>
              <w:rPr>
                <w:rFonts w:ascii="宋体" w:hAnsi="宋体" w:cs="宋体"/>
              </w:rPr>
            </w:pPr>
            <w:r>
              <w:rPr>
                <w:rFonts w:hint="eastAsia" w:ascii="宋体" w:hAnsi="宋体" w:cs="宋体"/>
              </w:rPr>
              <w:t>集权过度会使所属单位缺乏主动性、积极性、丧失活力；失去适应市场的弹性，丧失市场机会</w:t>
            </w:r>
          </w:p>
        </w:tc>
        <w:tc>
          <w:tcPr>
            <w:tcW w:w="2141" w:type="pct"/>
          </w:tcPr>
          <w:p w14:paraId="4C7AD478">
            <w:pPr>
              <w:rPr>
                <w:rFonts w:ascii="宋体" w:hAnsi="宋体" w:cs="宋体"/>
              </w:rPr>
            </w:pPr>
            <w:r>
              <w:rPr>
                <w:rFonts w:hint="eastAsia" w:ascii="宋体" w:hAnsi="宋体" w:cs="宋体"/>
              </w:rPr>
              <w:t>缺乏全局观念和整体意识，导致资金管理分散，资金成本增大，费用失控，利润分配无序</w:t>
            </w:r>
          </w:p>
        </w:tc>
      </w:tr>
    </w:tbl>
    <w:p w14:paraId="7AA1417A">
      <w:pPr>
        <w:jc w:val="left"/>
        <w:rPr>
          <w:rFonts w:ascii="宋体" w:hAnsi="宋体" w:cs="宋体"/>
          <w:color w:val="FF0000"/>
        </w:rPr>
      </w:pPr>
      <w:r>
        <w:rPr>
          <w:rFonts w:hint="eastAsia" w:ascii="宋体" w:hAnsi="宋体" w:cs="宋体"/>
          <w:color w:val="FF0000"/>
        </w:rPr>
        <w:t>【知识点5】影响企业财务管理体制集权与分权选择的因素</w:t>
      </w:r>
    </w:p>
    <w:tbl>
      <w:tblPr>
        <w:tblStyle w:val="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447"/>
        <w:gridCol w:w="1447"/>
        <w:gridCol w:w="2322"/>
        <w:gridCol w:w="1161"/>
        <w:gridCol w:w="1159"/>
        <w:gridCol w:w="1148"/>
      </w:tblGrid>
      <w:tr w14:paraId="02E9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Pr>
          <w:p w14:paraId="20B2EF9F">
            <w:pPr>
              <w:rPr>
                <w:rFonts w:ascii="宋体" w:hAnsi="宋体" w:cs="宋体"/>
              </w:rPr>
            </w:pPr>
            <w:r>
              <w:rPr>
                <w:rFonts w:hint="eastAsia" w:ascii="宋体" w:hAnsi="宋体" w:cs="宋体"/>
              </w:rPr>
              <w:t>考虑因素</w:t>
            </w:r>
          </w:p>
        </w:tc>
        <w:tc>
          <w:tcPr>
            <w:tcW w:w="714" w:type="pct"/>
          </w:tcPr>
          <w:p w14:paraId="429155BA">
            <w:pPr>
              <w:rPr>
                <w:rFonts w:ascii="宋体" w:hAnsi="宋体" w:cs="宋体"/>
              </w:rPr>
            </w:pPr>
            <w:r>
              <w:rPr>
                <w:rFonts w:hint="eastAsia" w:ascii="宋体" w:hAnsi="宋体" w:cs="宋体"/>
              </w:rPr>
              <w:t>生命周期</w:t>
            </w:r>
          </w:p>
        </w:tc>
        <w:tc>
          <w:tcPr>
            <w:tcW w:w="714" w:type="pct"/>
          </w:tcPr>
          <w:p w14:paraId="0A4AE1DB">
            <w:pPr>
              <w:rPr>
                <w:rFonts w:ascii="宋体" w:hAnsi="宋体" w:cs="宋体"/>
              </w:rPr>
            </w:pPr>
            <w:r>
              <w:rPr>
                <w:rFonts w:hint="eastAsia" w:ascii="宋体" w:hAnsi="宋体" w:cs="宋体"/>
              </w:rPr>
              <w:t>企业战略</w:t>
            </w:r>
          </w:p>
        </w:tc>
        <w:tc>
          <w:tcPr>
            <w:tcW w:w="1146" w:type="pct"/>
          </w:tcPr>
          <w:p w14:paraId="47283A31">
            <w:pPr>
              <w:rPr>
                <w:rFonts w:ascii="宋体" w:hAnsi="宋体" w:cs="宋体"/>
              </w:rPr>
            </w:pPr>
            <w:r>
              <w:rPr>
                <w:rFonts w:hint="eastAsia" w:ascii="宋体" w:hAnsi="宋体" w:cs="宋体"/>
              </w:rPr>
              <w:t>市场环境</w:t>
            </w:r>
          </w:p>
        </w:tc>
        <w:tc>
          <w:tcPr>
            <w:tcW w:w="573" w:type="pct"/>
          </w:tcPr>
          <w:p w14:paraId="1F1B0DD0">
            <w:pPr>
              <w:rPr>
                <w:rFonts w:ascii="宋体" w:hAnsi="宋体" w:cs="宋体"/>
              </w:rPr>
            </w:pPr>
            <w:r>
              <w:rPr>
                <w:rFonts w:hint="eastAsia" w:ascii="宋体" w:hAnsi="宋体" w:cs="宋体"/>
              </w:rPr>
              <w:t>企业规模</w:t>
            </w:r>
          </w:p>
        </w:tc>
        <w:tc>
          <w:tcPr>
            <w:tcW w:w="572" w:type="pct"/>
          </w:tcPr>
          <w:p w14:paraId="40B335F8">
            <w:pPr>
              <w:rPr>
                <w:rFonts w:ascii="宋体" w:hAnsi="宋体" w:cs="宋体"/>
              </w:rPr>
            </w:pPr>
            <w:r>
              <w:rPr>
                <w:rFonts w:hint="eastAsia" w:ascii="宋体" w:hAnsi="宋体" w:cs="宋体"/>
              </w:rPr>
              <w:t>管理水平</w:t>
            </w:r>
          </w:p>
        </w:tc>
        <w:tc>
          <w:tcPr>
            <w:tcW w:w="566" w:type="pct"/>
          </w:tcPr>
          <w:p w14:paraId="3AF68D84">
            <w:pPr>
              <w:rPr>
                <w:rFonts w:ascii="宋体" w:hAnsi="宋体" w:cs="宋体"/>
              </w:rPr>
            </w:pPr>
            <w:r>
              <w:rPr>
                <w:rFonts w:hint="eastAsia" w:ascii="宋体" w:hAnsi="宋体" w:cs="宋体"/>
              </w:rPr>
              <w:t>信息网络</w:t>
            </w:r>
          </w:p>
        </w:tc>
      </w:tr>
      <w:tr w14:paraId="722D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Pr>
          <w:p w14:paraId="18EF6EE5">
            <w:pPr>
              <w:rPr>
                <w:rFonts w:ascii="宋体" w:hAnsi="宋体" w:cs="宋体"/>
              </w:rPr>
            </w:pPr>
            <w:r>
              <w:rPr>
                <w:rFonts w:hint="eastAsia" w:ascii="宋体" w:hAnsi="宋体" w:cs="宋体"/>
              </w:rPr>
              <w:t>集权</w:t>
            </w:r>
          </w:p>
        </w:tc>
        <w:tc>
          <w:tcPr>
            <w:tcW w:w="714" w:type="pct"/>
          </w:tcPr>
          <w:p w14:paraId="6994AD8A">
            <w:pPr>
              <w:rPr>
                <w:rFonts w:ascii="宋体" w:hAnsi="宋体" w:cs="宋体"/>
              </w:rPr>
            </w:pPr>
            <w:r>
              <w:rPr>
                <w:rFonts w:hint="eastAsia" w:ascii="宋体" w:hAnsi="宋体" w:cs="宋体"/>
              </w:rPr>
              <w:t>初创期</w:t>
            </w:r>
          </w:p>
        </w:tc>
        <w:tc>
          <w:tcPr>
            <w:tcW w:w="714" w:type="pct"/>
          </w:tcPr>
          <w:p w14:paraId="2448E486">
            <w:pPr>
              <w:rPr>
                <w:rFonts w:ascii="宋体" w:hAnsi="宋体" w:cs="宋体"/>
              </w:rPr>
            </w:pPr>
            <w:r>
              <w:rPr>
                <w:rFonts w:hint="eastAsia" w:ascii="宋体" w:hAnsi="宋体" w:cs="宋体"/>
              </w:rPr>
              <w:t>纵向一体化</w:t>
            </w:r>
          </w:p>
        </w:tc>
        <w:tc>
          <w:tcPr>
            <w:tcW w:w="1146" w:type="pct"/>
          </w:tcPr>
          <w:p w14:paraId="5E37EA69">
            <w:pPr>
              <w:rPr>
                <w:rFonts w:ascii="宋体" w:hAnsi="宋体" w:cs="宋体"/>
              </w:rPr>
            </w:pPr>
            <w:r>
              <w:rPr>
                <w:rFonts w:hint="eastAsia" w:ascii="宋体" w:hAnsi="宋体" w:cs="宋体"/>
              </w:rPr>
              <w:t>市场稳定</w:t>
            </w:r>
          </w:p>
        </w:tc>
        <w:tc>
          <w:tcPr>
            <w:tcW w:w="573" w:type="pct"/>
          </w:tcPr>
          <w:p w14:paraId="60679F1F">
            <w:pPr>
              <w:rPr>
                <w:rFonts w:ascii="宋体" w:hAnsi="宋体" w:cs="宋体"/>
              </w:rPr>
            </w:pPr>
            <w:r>
              <w:rPr>
                <w:rFonts w:hint="eastAsia" w:ascii="宋体" w:hAnsi="宋体" w:cs="宋体"/>
              </w:rPr>
              <w:t>小</w:t>
            </w:r>
          </w:p>
        </w:tc>
        <w:tc>
          <w:tcPr>
            <w:tcW w:w="572" w:type="pct"/>
          </w:tcPr>
          <w:p w14:paraId="2A812FE6">
            <w:pPr>
              <w:rPr>
                <w:rFonts w:ascii="宋体" w:hAnsi="宋体" w:cs="宋体"/>
              </w:rPr>
            </w:pPr>
            <w:r>
              <w:rPr>
                <w:rFonts w:hint="eastAsia" w:ascii="宋体" w:hAnsi="宋体" w:cs="宋体"/>
              </w:rPr>
              <w:t>高</w:t>
            </w:r>
          </w:p>
        </w:tc>
        <w:tc>
          <w:tcPr>
            <w:tcW w:w="566" w:type="pct"/>
          </w:tcPr>
          <w:p w14:paraId="72017066">
            <w:pPr>
              <w:rPr>
                <w:rFonts w:ascii="宋体" w:hAnsi="宋体" w:cs="宋体"/>
              </w:rPr>
            </w:pPr>
            <w:r>
              <w:rPr>
                <w:rFonts w:hint="eastAsia" w:ascii="宋体" w:hAnsi="宋体" w:cs="宋体"/>
              </w:rPr>
              <w:t>高</w:t>
            </w:r>
          </w:p>
        </w:tc>
      </w:tr>
      <w:tr w14:paraId="6D04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Pr>
          <w:p w14:paraId="31A99CE1">
            <w:pPr>
              <w:rPr>
                <w:rFonts w:ascii="宋体" w:hAnsi="宋体" w:cs="宋体"/>
              </w:rPr>
            </w:pPr>
            <w:r>
              <w:rPr>
                <w:rFonts w:hint="eastAsia" w:ascii="宋体" w:hAnsi="宋体" w:cs="宋体"/>
              </w:rPr>
              <w:t>分权</w:t>
            </w:r>
          </w:p>
        </w:tc>
        <w:tc>
          <w:tcPr>
            <w:tcW w:w="714" w:type="pct"/>
          </w:tcPr>
          <w:p w14:paraId="70ABFB58">
            <w:pPr>
              <w:rPr>
                <w:rFonts w:ascii="宋体" w:hAnsi="宋体" w:cs="宋体"/>
              </w:rPr>
            </w:pPr>
            <w:r>
              <w:rPr>
                <w:rFonts w:hint="eastAsia" w:ascii="宋体" w:hAnsi="宋体" w:cs="宋体"/>
              </w:rPr>
              <w:t>稳定增长</w:t>
            </w:r>
          </w:p>
        </w:tc>
        <w:tc>
          <w:tcPr>
            <w:tcW w:w="714" w:type="pct"/>
          </w:tcPr>
          <w:p w14:paraId="49089882">
            <w:pPr>
              <w:rPr>
                <w:rFonts w:ascii="宋体" w:hAnsi="宋体" w:cs="宋体"/>
              </w:rPr>
            </w:pPr>
            <w:r>
              <w:rPr>
                <w:rFonts w:hint="eastAsia" w:ascii="宋体" w:hAnsi="宋体" w:cs="宋体"/>
              </w:rPr>
              <w:t>多元化</w:t>
            </w:r>
          </w:p>
        </w:tc>
        <w:tc>
          <w:tcPr>
            <w:tcW w:w="1146" w:type="pct"/>
          </w:tcPr>
          <w:p w14:paraId="34EB88C4">
            <w:pPr>
              <w:rPr>
                <w:rFonts w:ascii="宋体" w:hAnsi="宋体" w:cs="宋体"/>
              </w:rPr>
            </w:pPr>
            <w:r>
              <w:rPr>
                <w:rFonts w:hint="eastAsia" w:ascii="宋体" w:hAnsi="宋体" w:cs="宋体"/>
              </w:rPr>
              <w:t>复杂多变，不确定性高</w:t>
            </w:r>
          </w:p>
        </w:tc>
        <w:tc>
          <w:tcPr>
            <w:tcW w:w="573" w:type="pct"/>
          </w:tcPr>
          <w:p w14:paraId="26B54AF1">
            <w:pPr>
              <w:rPr>
                <w:rFonts w:ascii="宋体" w:hAnsi="宋体" w:cs="宋体"/>
              </w:rPr>
            </w:pPr>
            <w:r>
              <w:rPr>
                <w:rFonts w:hint="eastAsia" w:ascii="宋体" w:hAnsi="宋体" w:cs="宋体"/>
              </w:rPr>
              <w:t>大</w:t>
            </w:r>
          </w:p>
        </w:tc>
        <w:tc>
          <w:tcPr>
            <w:tcW w:w="572" w:type="pct"/>
          </w:tcPr>
          <w:p w14:paraId="706AC9B5">
            <w:pPr>
              <w:rPr>
                <w:rFonts w:ascii="宋体" w:hAnsi="宋体" w:cs="宋体"/>
              </w:rPr>
            </w:pPr>
            <w:r>
              <w:rPr>
                <w:rFonts w:hint="eastAsia" w:ascii="宋体" w:hAnsi="宋体" w:cs="宋体"/>
              </w:rPr>
              <w:t>低</w:t>
            </w:r>
          </w:p>
        </w:tc>
        <w:tc>
          <w:tcPr>
            <w:tcW w:w="566" w:type="pct"/>
          </w:tcPr>
          <w:p w14:paraId="530D32DC">
            <w:pPr>
              <w:rPr>
                <w:rFonts w:ascii="宋体" w:hAnsi="宋体" w:cs="宋体"/>
              </w:rPr>
            </w:pPr>
            <w:r>
              <w:rPr>
                <w:rFonts w:hint="eastAsia" w:ascii="宋体" w:hAnsi="宋体" w:cs="宋体"/>
              </w:rPr>
              <w:t>低</w:t>
            </w:r>
          </w:p>
        </w:tc>
      </w:tr>
    </w:tbl>
    <w:p w14:paraId="5D12D5DA">
      <w:pPr>
        <w:jc w:val="left"/>
        <w:rPr>
          <w:rFonts w:ascii="宋体" w:hAnsi="宋体" w:cs="宋体"/>
          <w:color w:val="FF0000"/>
        </w:rPr>
      </w:pPr>
      <w:r>
        <w:rPr>
          <w:rFonts w:hint="eastAsia" w:ascii="宋体" w:hAnsi="宋体" w:cs="宋体"/>
          <w:color w:val="FF0000"/>
        </w:rPr>
        <w:t>【知识点6】企业财务管理体制的设计原则</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7674"/>
      </w:tblGrid>
      <w:tr w14:paraId="459A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75D50862">
            <w:pPr>
              <w:rPr>
                <w:rFonts w:ascii="宋体" w:hAnsi="宋体" w:cs="宋体"/>
              </w:rPr>
            </w:pPr>
            <w:r>
              <w:rPr>
                <w:rFonts w:hint="eastAsia" w:ascii="宋体" w:hAnsi="宋体" w:cs="宋体"/>
              </w:rPr>
              <w:t>企业组织体系</w:t>
            </w:r>
          </w:p>
        </w:tc>
        <w:tc>
          <w:tcPr>
            <w:tcW w:w="3786" w:type="pct"/>
          </w:tcPr>
          <w:p w14:paraId="1ECB1B5B">
            <w:pPr>
              <w:rPr>
                <w:rFonts w:ascii="宋体" w:hAnsi="宋体" w:cs="宋体"/>
              </w:rPr>
            </w:pPr>
            <w:r>
              <w:rPr>
                <w:rFonts w:hint="eastAsia" w:ascii="宋体" w:hAnsi="宋体" w:cs="宋体"/>
              </w:rPr>
              <w:t>特点</w:t>
            </w:r>
          </w:p>
        </w:tc>
      </w:tr>
      <w:tr w14:paraId="448D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56B4E690">
            <w:pPr>
              <w:rPr>
                <w:rFonts w:ascii="宋体" w:hAnsi="宋体" w:cs="宋体"/>
              </w:rPr>
            </w:pPr>
            <w:r>
              <w:rPr>
                <w:rFonts w:hint="eastAsia" w:ascii="宋体" w:hAnsi="宋体" w:cs="宋体"/>
              </w:rPr>
              <w:t>U型组织</w:t>
            </w:r>
          </w:p>
        </w:tc>
        <w:tc>
          <w:tcPr>
            <w:tcW w:w="3786" w:type="pct"/>
          </w:tcPr>
          <w:p w14:paraId="64732EEC">
            <w:pPr>
              <w:rPr>
                <w:rFonts w:ascii="宋体" w:hAnsi="宋体" w:cs="宋体"/>
              </w:rPr>
            </w:pPr>
            <w:r>
              <w:rPr>
                <w:rFonts w:hint="eastAsia" w:ascii="宋体" w:hAnsi="宋体" w:cs="宋体"/>
              </w:rPr>
              <w:t>集权控制，无中间层管理，子公司自主权较小</w:t>
            </w:r>
          </w:p>
        </w:tc>
      </w:tr>
      <w:tr w14:paraId="1BC9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1CC33323">
            <w:pPr>
              <w:rPr>
                <w:rFonts w:ascii="宋体" w:hAnsi="宋体" w:cs="宋体"/>
              </w:rPr>
            </w:pPr>
            <w:r>
              <w:rPr>
                <w:rFonts w:hint="eastAsia" w:ascii="宋体" w:hAnsi="宋体" w:cs="宋体"/>
              </w:rPr>
              <w:t>H型组织（控股公司）</w:t>
            </w:r>
          </w:p>
        </w:tc>
        <w:tc>
          <w:tcPr>
            <w:tcW w:w="3786" w:type="pct"/>
          </w:tcPr>
          <w:p w14:paraId="7E0E437A">
            <w:pPr>
              <w:rPr>
                <w:rFonts w:ascii="宋体" w:hAnsi="宋体" w:cs="宋体"/>
              </w:rPr>
            </w:pPr>
            <w:r>
              <w:rPr>
                <w:rFonts w:hint="eastAsia" w:ascii="宋体" w:hAnsi="宋体" w:cs="宋体"/>
              </w:rPr>
              <w:t>控股公司体制，过度分权，各子公司保持较大的独立性，不断演化后，现代企业可分权也可集权</w:t>
            </w:r>
          </w:p>
        </w:tc>
      </w:tr>
      <w:tr w14:paraId="0D44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1B42F99B">
            <w:pPr>
              <w:rPr>
                <w:rFonts w:ascii="宋体" w:hAnsi="宋体" w:cs="宋体"/>
              </w:rPr>
            </w:pPr>
            <w:r>
              <w:rPr>
                <w:rFonts w:hint="eastAsia" w:ascii="宋体" w:hAnsi="宋体" w:cs="宋体"/>
              </w:rPr>
              <w:t>M型组织（事业部）</w:t>
            </w:r>
          </w:p>
        </w:tc>
        <w:tc>
          <w:tcPr>
            <w:tcW w:w="3786" w:type="pct"/>
          </w:tcPr>
          <w:p w14:paraId="4476C5B9">
            <w:pPr>
              <w:rPr>
                <w:rFonts w:ascii="宋体" w:hAnsi="宋体" w:cs="宋体"/>
              </w:rPr>
            </w:pPr>
            <w:r>
              <w:rPr>
                <w:rFonts w:hint="eastAsia" w:ascii="宋体" w:hAnsi="宋体" w:cs="宋体"/>
              </w:rPr>
              <w:t>事业部体制，集权程度高，事业部有一定经营自主权。按照企业所经营的事业设立若干事业部</w:t>
            </w:r>
          </w:p>
        </w:tc>
      </w:tr>
    </w:tbl>
    <w:p w14:paraId="4F1B6D0A">
      <w:pPr>
        <w:jc w:val="left"/>
        <w:rPr>
          <w:rFonts w:ascii="宋体" w:hAnsi="宋体" w:cs="宋体"/>
          <w:color w:val="FF0000"/>
        </w:rPr>
      </w:pPr>
      <w:r>
        <w:rPr>
          <w:rFonts w:hint="eastAsia" w:ascii="宋体" w:hAnsi="宋体" w:cs="宋体"/>
          <w:color w:val="FF0000"/>
        </w:rPr>
        <w:t>【知识点7】 分权型财务管理体制的实践</w:t>
      </w:r>
    </w:p>
    <w:p w14:paraId="7104D5A5">
      <w:pPr>
        <w:jc w:val="left"/>
        <w:rPr>
          <w:rFonts w:ascii="宋体" w:hAnsi="宋体" w:cs="宋体"/>
        </w:rPr>
      </w:pPr>
      <w:r>
        <w:rPr>
          <w:rFonts w:hint="eastAsia" w:ascii="宋体" w:hAnsi="宋体" w:cs="宋体"/>
        </w:rPr>
        <w:t>（1）分散经营自主权；</w:t>
      </w:r>
    </w:p>
    <w:p w14:paraId="74DA1B54">
      <w:pPr>
        <w:jc w:val="left"/>
        <w:rPr>
          <w:rFonts w:ascii="宋体" w:hAnsi="宋体" w:cs="宋体"/>
        </w:rPr>
      </w:pPr>
      <w:r>
        <w:rPr>
          <w:rFonts w:hint="eastAsia" w:ascii="宋体" w:hAnsi="宋体" w:cs="宋体"/>
        </w:rPr>
        <w:t>（2）分散人员管理权；</w:t>
      </w:r>
    </w:p>
    <w:p w14:paraId="0D19A556">
      <w:pPr>
        <w:jc w:val="left"/>
        <w:rPr>
          <w:rFonts w:ascii="宋体" w:hAnsi="宋体" w:cs="宋体"/>
        </w:rPr>
      </w:pPr>
      <w:r>
        <w:rPr>
          <w:rFonts w:hint="eastAsia" w:ascii="宋体" w:hAnsi="宋体" w:cs="宋体"/>
        </w:rPr>
        <w:t>（3）分散业务定价权；</w:t>
      </w:r>
    </w:p>
    <w:p w14:paraId="454416FF">
      <w:pPr>
        <w:jc w:val="left"/>
        <w:rPr>
          <w:rFonts w:ascii="宋体" w:hAnsi="宋体" w:cs="宋体"/>
        </w:rPr>
      </w:pPr>
      <w:r>
        <w:rPr>
          <w:rFonts w:hint="eastAsia" w:ascii="宋体" w:hAnsi="宋体" w:cs="宋体"/>
        </w:rPr>
        <w:t>（4）分散费用开支审批权。</w:t>
      </w:r>
    </w:p>
    <w:p w14:paraId="20629BBA">
      <w:pPr>
        <w:jc w:val="left"/>
        <w:rPr>
          <w:rFonts w:ascii="宋体" w:hAnsi="宋体" w:cs="宋体"/>
        </w:rPr>
      </w:pPr>
      <w:r>
        <w:rPr>
          <w:rFonts w:hint="eastAsia" w:ascii="宋体" w:hAnsi="宋体" w:cs="宋体"/>
        </w:rPr>
        <w:t>记忆方法：人员经营业务需要费用开支</w:t>
      </w:r>
    </w:p>
    <w:p w14:paraId="3F98A7B4">
      <w:pPr>
        <w:jc w:val="left"/>
        <w:rPr>
          <w:rFonts w:ascii="宋体" w:hAnsi="宋体" w:cs="宋体"/>
          <w:color w:val="FF0000"/>
        </w:rPr>
      </w:pPr>
      <w:r>
        <w:rPr>
          <w:rFonts w:hint="eastAsia" w:ascii="宋体" w:hAnsi="宋体" w:cs="宋体"/>
          <w:color w:val="FF0000"/>
        </w:rPr>
        <w:t>【知识点8】财务管理环境构成</w:t>
      </w:r>
    </w:p>
    <w:p w14:paraId="02D93B75">
      <w:pPr>
        <w:jc w:val="left"/>
        <w:rPr>
          <w:rFonts w:ascii="宋体" w:hAnsi="宋体" w:cs="宋体"/>
        </w:rPr>
      </w:pPr>
      <w:r>
        <w:rPr>
          <w:rFonts w:hint="eastAsia" w:ascii="宋体" w:hAnsi="宋体" w:cs="宋体"/>
        </w:rPr>
        <w:t>1）技术环境</w:t>
      </w:r>
    </w:p>
    <w:p w14:paraId="49852E77">
      <w:pPr>
        <w:jc w:val="left"/>
        <w:rPr>
          <w:rFonts w:ascii="宋体" w:hAnsi="宋体" w:cs="宋体"/>
        </w:rPr>
      </w:pPr>
      <w:r>
        <w:rPr>
          <w:rFonts w:hint="eastAsia" w:ascii="宋体" w:hAnsi="宋体" w:cs="宋体"/>
        </w:rPr>
        <w:t>2）经济环境</w:t>
      </w:r>
    </w:p>
    <w:p w14:paraId="39A88642">
      <w:pPr>
        <w:jc w:val="left"/>
        <w:rPr>
          <w:rFonts w:ascii="宋体" w:hAnsi="宋体" w:cs="宋体"/>
        </w:rPr>
      </w:pPr>
      <w:r>
        <w:rPr>
          <w:rFonts w:hint="eastAsia" w:ascii="宋体" w:hAnsi="宋体" w:cs="宋体"/>
        </w:rPr>
        <w:t>3）金融环境</w:t>
      </w:r>
    </w:p>
    <w:p w14:paraId="555C04B7">
      <w:pPr>
        <w:jc w:val="left"/>
        <w:rPr>
          <w:rFonts w:ascii="宋体" w:hAnsi="宋体" w:cs="宋体"/>
        </w:rPr>
      </w:pPr>
      <w:r>
        <w:rPr>
          <w:rFonts w:hint="eastAsia" w:ascii="宋体" w:hAnsi="宋体" w:cs="宋体"/>
        </w:rPr>
        <w:t>4）法律环境</w:t>
      </w:r>
    </w:p>
    <w:p w14:paraId="74DCD14C">
      <w:pPr>
        <w:jc w:val="left"/>
        <w:rPr>
          <w:rFonts w:ascii="宋体" w:hAnsi="宋体" w:cs="宋体"/>
          <w:color w:val="FF0000"/>
        </w:rPr>
      </w:pPr>
      <w:r>
        <w:rPr>
          <w:rFonts w:hint="eastAsia" w:ascii="宋体" w:hAnsi="宋体" w:cs="宋体"/>
          <w:color w:val="FF0000"/>
        </w:rPr>
        <w:t>【知识点9】经济环境——通货膨胀</w:t>
      </w:r>
    </w:p>
    <w:p w14:paraId="1EB5C9A5">
      <w:pPr>
        <w:jc w:val="left"/>
        <w:rPr>
          <w:rFonts w:ascii="宋体" w:hAnsi="宋体" w:cs="宋体"/>
        </w:rPr>
      </w:pPr>
      <w:r>
        <w:rPr>
          <w:rFonts w:hint="eastAsia" w:ascii="宋体" w:hAnsi="宋体" w:cs="宋体"/>
          <w:color w:val="FF0000"/>
        </w:rPr>
        <w:t>1.影响因素：</w:t>
      </w:r>
      <w:r>
        <w:rPr>
          <w:rFonts w:hint="eastAsia" w:ascii="宋体" w:hAnsi="宋体" w:cs="宋体"/>
        </w:rPr>
        <w:t>物价上涨；利率升高；资金供应紧张</w:t>
      </w:r>
    </w:p>
    <w:p w14:paraId="4FA02183">
      <w:pPr>
        <w:jc w:val="left"/>
        <w:rPr>
          <w:rFonts w:ascii="宋体" w:hAnsi="宋体" w:cs="宋体"/>
          <w:color w:val="FF0000"/>
        </w:rPr>
      </w:pPr>
      <w:r>
        <w:rPr>
          <w:rFonts w:hint="eastAsia" w:ascii="宋体" w:hAnsi="宋体" w:cs="宋体"/>
          <w:color w:val="FF0000"/>
        </w:rPr>
        <w:t>2.应对措施</w:t>
      </w:r>
    </w:p>
    <w:p w14:paraId="67DC608D">
      <w:pPr>
        <w:jc w:val="left"/>
        <w:rPr>
          <w:rFonts w:ascii="宋体" w:hAnsi="宋体" w:cs="宋体"/>
        </w:rPr>
      </w:pPr>
      <w:r>
        <w:rPr>
          <w:rFonts w:hint="eastAsia" w:ascii="宋体" w:hAnsi="宋体" w:cs="宋体"/>
        </w:rPr>
        <w:t>期初（外部采取策略）</w:t>
      </w:r>
    </w:p>
    <w:p w14:paraId="6EA05CCF">
      <w:pPr>
        <w:jc w:val="left"/>
        <w:rPr>
          <w:rFonts w:ascii="宋体" w:hAnsi="宋体" w:cs="宋体"/>
        </w:rPr>
      </w:pPr>
      <w:r>
        <w:rPr>
          <w:rFonts w:hint="eastAsia" w:ascii="宋体" w:hAnsi="宋体" w:cs="宋体"/>
        </w:rPr>
        <w:t>（1）进行投资可避免风险，实现资本保值；</w:t>
      </w:r>
    </w:p>
    <w:p w14:paraId="793E295B">
      <w:pPr>
        <w:jc w:val="left"/>
        <w:rPr>
          <w:rFonts w:ascii="宋体" w:hAnsi="宋体" w:cs="宋体"/>
        </w:rPr>
      </w:pPr>
      <w:r>
        <w:rPr>
          <w:rFonts w:hint="eastAsia" w:ascii="宋体" w:hAnsi="宋体" w:cs="宋体"/>
        </w:rPr>
        <w:t>（2）签订长期购货合同，减少物价上涨造成的损失；</w:t>
      </w:r>
    </w:p>
    <w:p w14:paraId="4E7EB201">
      <w:pPr>
        <w:jc w:val="left"/>
        <w:rPr>
          <w:rFonts w:ascii="宋体" w:hAnsi="宋体" w:cs="宋体"/>
        </w:rPr>
      </w:pPr>
      <w:r>
        <w:rPr>
          <w:rFonts w:hint="eastAsia" w:ascii="宋体" w:hAnsi="宋体" w:cs="宋体"/>
        </w:rPr>
        <w:t>（3）取得长期负债，保持资本成本的稳定</w:t>
      </w:r>
    </w:p>
    <w:p w14:paraId="20CBF76C">
      <w:pPr>
        <w:jc w:val="left"/>
        <w:rPr>
          <w:rFonts w:ascii="宋体" w:hAnsi="宋体" w:cs="宋体"/>
        </w:rPr>
      </w:pPr>
      <w:r>
        <w:rPr>
          <w:rFonts w:hint="eastAsia" w:ascii="宋体" w:hAnsi="宋体" w:cs="宋体"/>
        </w:rPr>
        <w:t xml:space="preserve"> 持续期（内部采取策略）</w:t>
      </w:r>
    </w:p>
    <w:p w14:paraId="77E9796F">
      <w:pPr>
        <w:jc w:val="left"/>
        <w:rPr>
          <w:rFonts w:ascii="宋体" w:hAnsi="宋体" w:cs="宋体"/>
        </w:rPr>
      </w:pPr>
      <w:r>
        <w:rPr>
          <w:rFonts w:hint="eastAsia" w:ascii="宋体" w:hAnsi="宋体" w:cs="宋体"/>
        </w:rPr>
        <w:t>（1）采用比较严格的信用条件，减少企业债权；</w:t>
      </w:r>
    </w:p>
    <w:p w14:paraId="3194A6AE">
      <w:pPr>
        <w:jc w:val="left"/>
        <w:rPr>
          <w:rFonts w:ascii="宋体" w:hAnsi="宋体" w:cs="宋体"/>
        </w:rPr>
      </w:pPr>
      <w:r>
        <w:rPr>
          <w:rFonts w:hint="eastAsia" w:ascii="宋体" w:hAnsi="宋体" w:cs="宋体"/>
        </w:rPr>
        <w:t>（2）调整财务政策，防止和减少企业资本流失等等</w:t>
      </w:r>
    </w:p>
    <w:p w14:paraId="11CCD74E">
      <w:pPr>
        <w:jc w:val="left"/>
        <w:rPr>
          <w:rFonts w:ascii="宋体" w:hAnsi="宋体" w:cs="宋体"/>
          <w:color w:val="FF0000"/>
        </w:rPr>
      </w:pPr>
      <w:r>
        <w:rPr>
          <w:rFonts w:hint="eastAsia" w:ascii="宋体" w:hAnsi="宋体" w:cs="宋体"/>
          <w:color w:val="FF0000"/>
        </w:rPr>
        <w:t>【知识点10】金融市场分类</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7"/>
        <w:gridCol w:w="5068"/>
      </w:tblGrid>
      <w:tr w14:paraId="4BCA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708CF76">
            <w:pPr>
              <w:jc w:val="center"/>
              <w:rPr>
                <w:rFonts w:ascii="宋体" w:hAnsi="宋体" w:cs="宋体"/>
              </w:rPr>
            </w:pPr>
            <w:r>
              <w:rPr>
                <w:rFonts w:hint="eastAsia" w:ascii="宋体" w:hAnsi="宋体" w:cs="宋体"/>
              </w:rPr>
              <w:t>期限</w:t>
            </w:r>
          </w:p>
        </w:tc>
        <w:tc>
          <w:tcPr>
            <w:tcW w:w="2500" w:type="pct"/>
          </w:tcPr>
          <w:p w14:paraId="151F7801">
            <w:pPr>
              <w:jc w:val="left"/>
              <w:rPr>
                <w:rFonts w:ascii="宋体" w:hAnsi="宋体" w:cs="宋体"/>
              </w:rPr>
            </w:pPr>
            <w:r>
              <w:rPr>
                <w:rFonts w:hint="eastAsia" w:ascii="宋体" w:hAnsi="宋体" w:cs="宋体"/>
              </w:rPr>
              <w:t>货币市场（短期）、资本市场（长期）</w:t>
            </w:r>
          </w:p>
        </w:tc>
      </w:tr>
      <w:tr w14:paraId="01E6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57DE2DF1">
            <w:pPr>
              <w:jc w:val="center"/>
              <w:rPr>
                <w:rFonts w:ascii="宋体" w:hAnsi="宋体" w:cs="宋体"/>
              </w:rPr>
            </w:pPr>
            <w:r>
              <w:rPr>
                <w:rFonts w:hint="eastAsia" w:ascii="宋体" w:hAnsi="宋体" w:cs="宋体"/>
              </w:rPr>
              <w:t>功能</w:t>
            </w:r>
          </w:p>
        </w:tc>
        <w:tc>
          <w:tcPr>
            <w:tcW w:w="2500" w:type="pct"/>
          </w:tcPr>
          <w:p w14:paraId="461941AE">
            <w:pPr>
              <w:jc w:val="left"/>
              <w:rPr>
                <w:rFonts w:ascii="宋体" w:hAnsi="宋体" w:cs="宋体"/>
              </w:rPr>
            </w:pPr>
            <w:r>
              <w:rPr>
                <w:rFonts w:hint="eastAsia" w:ascii="宋体" w:hAnsi="宋体" w:cs="宋体"/>
              </w:rPr>
              <w:t xml:space="preserve">发行（一级）市场、流通（二级）市场 </w:t>
            </w:r>
          </w:p>
        </w:tc>
      </w:tr>
      <w:tr w14:paraId="7D27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6EF51F65">
            <w:pPr>
              <w:jc w:val="center"/>
              <w:rPr>
                <w:rFonts w:ascii="宋体" w:hAnsi="宋体" w:cs="宋体"/>
              </w:rPr>
            </w:pPr>
            <w:r>
              <w:rPr>
                <w:rFonts w:hint="eastAsia" w:ascii="宋体" w:hAnsi="宋体" w:cs="宋体"/>
              </w:rPr>
              <w:t>融资对象</w:t>
            </w:r>
          </w:p>
        </w:tc>
        <w:tc>
          <w:tcPr>
            <w:tcW w:w="2500" w:type="pct"/>
          </w:tcPr>
          <w:p w14:paraId="7459F68D">
            <w:pPr>
              <w:jc w:val="left"/>
              <w:rPr>
                <w:rFonts w:ascii="宋体" w:hAnsi="宋体" w:cs="宋体"/>
              </w:rPr>
            </w:pPr>
            <w:r>
              <w:rPr>
                <w:rFonts w:hint="eastAsia" w:ascii="宋体" w:hAnsi="宋体" w:cs="宋体"/>
              </w:rPr>
              <w:t xml:space="preserve">资本市场、外汇市场、黄金市场 </w:t>
            </w:r>
          </w:p>
        </w:tc>
      </w:tr>
      <w:tr w14:paraId="50F4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6F1EDE5">
            <w:pPr>
              <w:jc w:val="center"/>
              <w:rPr>
                <w:rFonts w:ascii="宋体" w:hAnsi="宋体" w:cs="宋体"/>
              </w:rPr>
            </w:pPr>
            <w:r>
              <w:rPr>
                <w:rFonts w:hint="eastAsia" w:ascii="宋体" w:hAnsi="宋体" w:cs="宋体"/>
              </w:rPr>
              <w:t>金融工具属性</w:t>
            </w:r>
          </w:p>
        </w:tc>
        <w:tc>
          <w:tcPr>
            <w:tcW w:w="2500" w:type="pct"/>
          </w:tcPr>
          <w:p w14:paraId="378915BE">
            <w:pPr>
              <w:jc w:val="left"/>
              <w:rPr>
                <w:rFonts w:ascii="宋体" w:hAnsi="宋体" w:cs="宋体"/>
              </w:rPr>
            </w:pPr>
            <w:r>
              <w:rPr>
                <w:rFonts w:hint="eastAsia" w:ascii="宋体" w:hAnsi="宋体" w:cs="宋体"/>
              </w:rPr>
              <w:t xml:space="preserve">基础性金融市场、金融衍生品市场 </w:t>
            </w:r>
          </w:p>
        </w:tc>
      </w:tr>
      <w:tr w14:paraId="499D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0D469957">
            <w:pPr>
              <w:jc w:val="center"/>
              <w:rPr>
                <w:rFonts w:ascii="宋体" w:hAnsi="宋体" w:cs="宋体"/>
              </w:rPr>
            </w:pPr>
            <w:r>
              <w:rPr>
                <w:rFonts w:hint="eastAsia" w:ascii="宋体" w:hAnsi="宋体" w:cs="宋体"/>
              </w:rPr>
              <w:t>地理范围</w:t>
            </w:r>
          </w:p>
        </w:tc>
        <w:tc>
          <w:tcPr>
            <w:tcW w:w="2500" w:type="pct"/>
          </w:tcPr>
          <w:p w14:paraId="38707421">
            <w:pPr>
              <w:jc w:val="left"/>
              <w:rPr>
                <w:rFonts w:ascii="宋体" w:hAnsi="宋体" w:cs="宋体"/>
              </w:rPr>
            </w:pPr>
            <w:r>
              <w:rPr>
                <w:rFonts w:hint="eastAsia" w:ascii="宋体" w:hAnsi="宋体" w:cs="宋体"/>
              </w:rPr>
              <w:t xml:space="preserve">地方性、全国性、国际性 </w:t>
            </w:r>
          </w:p>
        </w:tc>
      </w:tr>
    </w:tbl>
    <w:p w14:paraId="4AFA7E75">
      <w:pPr>
        <w:jc w:val="left"/>
        <w:rPr>
          <w:rFonts w:ascii="宋体" w:hAnsi="宋体" w:cs="宋体"/>
          <w:color w:val="FF0000"/>
        </w:rPr>
      </w:pPr>
      <w:r>
        <w:rPr>
          <w:rFonts w:hint="eastAsia" w:ascii="宋体" w:hAnsi="宋体" w:cs="宋体"/>
          <w:color w:val="FF0000"/>
        </w:rPr>
        <w:t>【知识点11】货币市场与资本市场</w:t>
      </w:r>
    </w:p>
    <w:p w14:paraId="1EBBDA44">
      <w:pPr>
        <w:jc w:val="left"/>
        <w:rPr>
          <w:rFonts w:ascii="宋体" w:hAnsi="宋体" w:cs="宋体"/>
        </w:rPr>
      </w:pPr>
      <w:r>
        <w:rPr>
          <w:rFonts w:ascii="宋体" w:hAnsi="宋体" w:cs="宋体"/>
        </w:rPr>
        <w:drawing>
          <wp:inline distT="0" distB="0" distL="0" distR="0">
            <wp:extent cx="5495290" cy="3293110"/>
            <wp:effectExtent l="0" t="0" r="3810" b="0"/>
            <wp:docPr id="869813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13749"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524108" cy="3310789"/>
                    </a:xfrm>
                    <a:prstGeom prst="rect">
                      <a:avLst/>
                    </a:prstGeom>
                  </pic:spPr>
                </pic:pic>
              </a:graphicData>
            </a:graphic>
          </wp:inline>
        </w:drawing>
      </w:r>
    </w:p>
    <w:p w14:paraId="4C013883">
      <w:pPr>
        <w:jc w:val="left"/>
        <w:rPr>
          <w:rFonts w:ascii="宋体" w:hAnsi="宋体" w:cs="宋体"/>
          <w:color w:val="FF0000"/>
        </w:rPr>
      </w:pPr>
      <w:r>
        <w:rPr>
          <w:rFonts w:hint="eastAsia" w:ascii="宋体" w:hAnsi="宋体" w:cs="宋体"/>
          <w:color w:val="FF0000"/>
        </w:rPr>
        <w:t>【知识点12】期货市场</w:t>
      </w:r>
    </w:p>
    <w:p w14:paraId="49CCE038">
      <w:pPr>
        <w:jc w:val="left"/>
        <w:rPr>
          <w:rFonts w:ascii="宋体" w:hAnsi="宋体" w:cs="宋体"/>
        </w:rPr>
      </w:pPr>
      <w:r>
        <w:rPr>
          <w:rFonts w:hint="eastAsia" w:ascii="宋体" w:hAnsi="宋体" w:cs="宋体"/>
        </w:rPr>
        <w:t>期货市场主要包括商品期货市场和金融期货市场。期货市场具有规避风险、发现价格、风险投资的功能</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690"/>
      </w:tblGrid>
      <w:tr w14:paraId="1F62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3" w:type="pct"/>
          </w:tcPr>
          <w:p w14:paraId="1F7E3B38">
            <w:pPr>
              <w:jc w:val="left"/>
              <w:rPr>
                <w:rFonts w:ascii="宋体" w:hAnsi="宋体" w:cs="宋体"/>
              </w:rPr>
            </w:pPr>
            <w:r>
              <w:rPr>
                <w:rFonts w:hint="eastAsia" w:ascii="宋体" w:hAnsi="宋体" w:cs="宋体"/>
              </w:rPr>
              <w:t>商品期货</w:t>
            </w:r>
          </w:p>
        </w:tc>
        <w:tc>
          <w:tcPr>
            <w:tcW w:w="4287" w:type="pct"/>
          </w:tcPr>
          <w:p w14:paraId="575F4767">
            <w:pPr>
              <w:jc w:val="left"/>
              <w:rPr>
                <w:rFonts w:ascii="宋体" w:hAnsi="宋体" w:cs="宋体"/>
              </w:rPr>
            </w:pPr>
            <w:r>
              <w:rPr>
                <w:rFonts w:hint="eastAsia" w:ascii="宋体" w:hAnsi="宋体" w:cs="宋体"/>
              </w:rPr>
              <w:t>期货交易的起源种类，包括农产品期货和经济作物、畜产品、有色金属、贵金属和能源等大宗初级产品。</w:t>
            </w:r>
          </w:p>
        </w:tc>
      </w:tr>
      <w:tr w14:paraId="72C3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7AAEFCA0">
            <w:pPr>
              <w:jc w:val="left"/>
              <w:rPr>
                <w:rFonts w:ascii="宋体" w:hAnsi="宋体" w:cs="宋体"/>
              </w:rPr>
            </w:pPr>
            <w:r>
              <w:rPr>
                <w:rFonts w:hint="eastAsia" w:ascii="宋体" w:hAnsi="宋体" w:cs="宋体"/>
              </w:rPr>
              <w:t>金融期货</w:t>
            </w:r>
          </w:p>
        </w:tc>
        <w:tc>
          <w:tcPr>
            <w:tcW w:w="4287" w:type="pct"/>
          </w:tcPr>
          <w:p w14:paraId="4DE2DEDA">
            <w:pPr>
              <w:jc w:val="left"/>
              <w:rPr>
                <w:rFonts w:ascii="宋体" w:hAnsi="宋体" w:cs="宋体"/>
              </w:rPr>
            </w:pPr>
            <w:r>
              <w:rPr>
                <w:rFonts w:hint="eastAsia" w:ascii="宋体" w:hAnsi="宋体" w:cs="宋体"/>
              </w:rPr>
              <w:t>包括外汇期货、利率期货、股指期货和股票期货。</w:t>
            </w:r>
          </w:p>
        </w:tc>
      </w:tr>
    </w:tbl>
    <w:p w14:paraId="14C586D7">
      <w:pPr>
        <w:jc w:val="left"/>
        <w:rPr>
          <w:rFonts w:hint="eastAsia" w:ascii="宋体" w:hAnsi="宋体" w:cs="宋体"/>
        </w:rPr>
      </w:pPr>
    </w:p>
    <w:p w14:paraId="7F675372">
      <w:pPr>
        <w:overflowPunct w:val="0"/>
        <w:jc w:val="center"/>
        <w:rPr>
          <w:rFonts w:ascii="宋体" w:hAnsi="宋体" w:cs="宋体"/>
          <w:b/>
          <w:bCs/>
        </w:rPr>
      </w:pPr>
      <w:r>
        <w:rPr>
          <w:rFonts w:hint="eastAsia" w:ascii="宋体" w:hAnsi="宋体" w:cs="宋体"/>
          <w:b/>
          <w:bCs/>
        </w:rPr>
        <w:t>第二章  财务管理基础</w:t>
      </w:r>
    </w:p>
    <w:p w14:paraId="79423E50">
      <w:pPr>
        <w:jc w:val="left"/>
        <w:rPr>
          <w:rFonts w:ascii="宋体" w:hAnsi="宋体" w:cs="宋体"/>
        </w:rPr>
      </w:pPr>
      <w:r>
        <w:rPr>
          <w:rFonts w:hint="eastAsia" w:ascii="宋体" w:hAnsi="宋体" w:cs="宋体"/>
          <w:color w:val="FF0000"/>
        </w:rPr>
        <w:t>【考情分析】</w:t>
      </w:r>
      <w:r>
        <w:rPr>
          <w:rFonts w:hint="eastAsia" w:ascii="宋体" w:hAnsi="宋体" w:cs="宋体"/>
        </w:rPr>
        <w:t>预测2024年分值在7～10分左右。</w:t>
      </w:r>
    </w:p>
    <w:p w14:paraId="2F9AD40B">
      <w:pPr>
        <w:jc w:val="left"/>
        <w:rPr>
          <w:rFonts w:ascii="宋体" w:hAnsi="宋体" w:cs="宋体"/>
          <w:color w:val="FF0000"/>
        </w:rPr>
      </w:pPr>
      <w:r>
        <w:rPr>
          <w:rFonts w:hint="eastAsia" w:ascii="宋体" w:hAnsi="宋体" w:cs="宋体"/>
          <w:color w:val="FF0000"/>
        </w:rPr>
        <w:t>【知识点1】货币时间价值——复利</w:t>
      </w:r>
    </w:p>
    <w:p w14:paraId="4FD9CE75">
      <w:pPr>
        <w:jc w:val="left"/>
        <w:rPr>
          <w:rFonts w:ascii="宋体" w:hAnsi="宋体" w:cs="宋体"/>
        </w:rPr>
      </w:pPr>
      <w:r>
        <w:rPr>
          <w:rFonts w:hint="eastAsia" w:ascii="宋体" w:hAnsi="宋体" w:cs="宋体"/>
        </w:rPr>
        <w:t xml:space="preserve"> 货币时间价值是指在没有风险</w:t>
      </w:r>
    </w:p>
    <w:p w14:paraId="1FA97ACB">
      <w:pPr>
        <w:jc w:val="left"/>
        <w:rPr>
          <w:rFonts w:ascii="宋体" w:hAnsi="宋体" w:cs="宋体"/>
        </w:rPr>
      </w:pPr>
      <w:r>
        <w:rPr>
          <w:rFonts w:hint="eastAsia" w:ascii="宋体" w:hAnsi="宋体" w:cs="宋体"/>
        </w:rPr>
        <w:t>也没有通货膨胀情况下，货币经历一定时间的投资和再投资所增加的价值。——相对数表示（纯利率）</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4060"/>
        <w:gridCol w:w="4776"/>
      </w:tblGrid>
      <w:tr w14:paraId="105C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DC59A6C">
            <w:pPr>
              <w:jc w:val="left"/>
              <w:rPr>
                <w:rFonts w:ascii="宋体" w:hAnsi="宋体" w:cs="宋体"/>
              </w:rPr>
            </w:pPr>
          </w:p>
        </w:tc>
        <w:tc>
          <w:tcPr>
            <w:tcW w:w="2003" w:type="pct"/>
          </w:tcPr>
          <w:p w14:paraId="05094640">
            <w:pPr>
              <w:rPr>
                <w:rFonts w:ascii="宋体" w:hAnsi="宋体" w:cs="宋体"/>
              </w:rPr>
            </w:pPr>
            <w:r>
              <w:rPr>
                <w:rFonts w:hint="eastAsia" w:ascii="宋体" w:hAnsi="宋体" w:cs="宋体"/>
              </w:rPr>
              <w:t>公式</w:t>
            </w:r>
          </w:p>
        </w:tc>
        <w:tc>
          <w:tcPr>
            <w:tcW w:w="2356" w:type="pct"/>
          </w:tcPr>
          <w:p w14:paraId="2AEF6AAB">
            <w:pPr>
              <w:rPr>
                <w:rFonts w:ascii="宋体" w:hAnsi="宋体" w:cs="宋体"/>
              </w:rPr>
            </w:pPr>
            <w:r>
              <w:rPr>
                <w:rFonts w:hint="eastAsia" w:ascii="宋体" w:hAnsi="宋体" w:cs="宋体"/>
              </w:rPr>
              <w:t>特殊事项</w:t>
            </w:r>
          </w:p>
        </w:tc>
      </w:tr>
      <w:tr w14:paraId="6A99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ACA1CE3">
            <w:pPr>
              <w:rPr>
                <w:rFonts w:ascii="宋体" w:hAnsi="宋体" w:cs="宋体"/>
              </w:rPr>
            </w:pPr>
            <w:r>
              <w:rPr>
                <w:rFonts w:hint="eastAsia" w:ascii="宋体" w:hAnsi="宋体" w:cs="宋体"/>
              </w:rPr>
              <w:t>复利终值</w:t>
            </w:r>
          </w:p>
        </w:tc>
        <w:tc>
          <w:tcPr>
            <w:tcW w:w="2003" w:type="pct"/>
          </w:tcPr>
          <w:p w14:paraId="0E2246B4">
            <w:pPr>
              <w:rPr>
                <w:rFonts w:hint="eastAsia" w:ascii="宋体" w:hAnsi="宋体" w:cs="宋体"/>
              </w:rPr>
            </w:pPr>
            <w:r>
              <w:rPr>
                <w:rFonts w:ascii="宋体" w:hAnsi="宋体" w:cs="宋体"/>
              </w:rPr>
              <w:t>F＝P×（1＋i）</w:t>
            </w:r>
            <w:r>
              <w:rPr>
                <w:rFonts w:ascii="宋体" w:hAnsi="宋体" w:cs="宋体"/>
                <w:vertAlign w:val="superscript"/>
              </w:rPr>
              <w:t>n</w:t>
            </w:r>
            <w:r>
              <w:rPr>
                <w:rFonts w:ascii="宋体" w:hAnsi="宋体" w:cs="宋体"/>
              </w:rPr>
              <w:t>＝P×（F/P，i，n）</w:t>
            </w:r>
          </w:p>
        </w:tc>
        <w:tc>
          <w:tcPr>
            <w:tcW w:w="2356" w:type="pct"/>
            <w:vMerge w:val="restart"/>
          </w:tcPr>
          <w:p w14:paraId="122FD0CE">
            <w:pPr>
              <w:jc w:val="left"/>
              <w:rPr>
                <w:rFonts w:ascii="宋体" w:hAnsi="宋体" w:cs="宋体"/>
              </w:rPr>
            </w:pPr>
            <w:r>
              <w:rPr>
                <w:rFonts w:hint="eastAsia" w:ascii="宋体" w:hAnsi="宋体" w:cs="宋体"/>
              </w:rPr>
              <w:t>（1）复利终值和复利现值互为逆运算；</w:t>
            </w:r>
          </w:p>
          <w:p w14:paraId="05221FDD">
            <w:pPr>
              <w:jc w:val="left"/>
              <w:rPr>
                <w:rFonts w:ascii="宋体" w:hAnsi="宋体" w:cs="宋体"/>
              </w:rPr>
            </w:pPr>
            <w:r>
              <w:rPr>
                <w:rFonts w:ascii="宋体" w:hAnsi="宋体" w:cs="宋体"/>
              </w:rPr>
              <w:t>（2）复利终值系数（1＋i）</w:t>
            </w:r>
            <w:r>
              <w:rPr>
                <w:rFonts w:ascii="宋体" w:hAnsi="宋体" w:cs="宋体"/>
                <w:vertAlign w:val="superscript"/>
              </w:rPr>
              <w:t>n</w:t>
            </w:r>
            <w:r>
              <w:rPr>
                <w:rFonts w:ascii="宋体" w:hAnsi="宋体" w:cs="宋体"/>
              </w:rPr>
              <w:t>和复利现值系数1/（1＋i）</w:t>
            </w:r>
            <w:r>
              <w:rPr>
                <w:rFonts w:ascii="宋体" w:hAnsi="宋体" w:cs="宋体"/>
                <w:vertAlign w:val="superscript"/>
              </w:rPr>
              <w:t>n</w:t>
            </w:r>
            <w:r>
              <w:rPr>
                <w:rFonts w:ascii="宋体" w:hAnsi="宋体" w:cs="宋体"/>
              </w:rPr>
              <w:t>互为倒数。</w:t>
            </w:r>
          </w:p>
        </w:tc>
      </w:tr>
      <w:tr w14:paraId="0ED4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F0DEFCF">
            <w:pPr>
              <w:rPr>
                <w:rFonts w:ascii="宋体" w:hAnsi="宋体" w:cs="宋体"/>
              </w:rPr>
            </w:pPr>
            <w:r>
              <w:rPr>
                <w:rFonts w:hint="eastAsia" w:ascii="宋体" w:hAnsi="宋体" w:cs="宋体"/>
              </w:rPr>
              <w:t>复利现值</w:t>
            </w:r>
          </w:p>
        </w:tc>
        <w:tc>
          <w:tcPr>
            <w:tcW w:w="2003" w:type="pct"/>
          </w:tcPr>
          <w:p w14:paraId="6F43D13D">
            <w:pPr>
              <w:rPr>
                <w:rFonts w:hint="eastAsia" w:ascii="宋体" w:hAnsi="宋体" w:cs="宋体"/>
              </w:rPr>
            </w:pPr>
            <w:r>
              <w:rPr>
                <w:rFonts w:ascii="宋体" w:hAnsi="宋体" w:cs="宋体"/>
              </w:rPr>
              <w:t>P=F/（1＋i）</w:t>
            </w:r>
            <w:r>
              <w:rPr>
                <w:rFonts w:ascii="宋体" w:hAnsi="宋体" w:cs="宋体"/>
                <w:vertAlign w:val="superscript"/>
              </w:rPr>
              <w:t>n</w:t>
            </w:r>
            <w:r>
              <w:rPr>
                <w:rFonts w:ascii="宋体" w:hAnsi="宋体" w:cs="宋体"/>
              </w:rPr>
              <w:t xml:space="preserve"> ＝F×（P/F，i，n）</w:t>
            </w:r>
          </w:p>
        </w:tc>
        <w:tc>
          <w:tcPr>
            <w:tcW w:w="2356" w:type="pct"/>
            <w:vMerge w:val="continue"/>
          </w:tcPr>
          <w:p w14:paraId="1380022A">
            <w:pPr>
              <w:jc w:val="left"/>
              <w:rPr>
                <w:rFonts w:ascii="宋体" w:hAnsi="宋体" w:cs="宋体"/>
              </w:rPr>
            </w:pPr>
          </w:p>
        </w:tc>
      </w:tr>
    </w:tbl>
    <w:p w14:paraId="6D46EDB5">
      <w:pPr>
        <w:jc w:val="left"/>
        <w:rPr>
          <w:rFonts w:hint="eastAsia" w:ascii="宋体" w:hAnsi="宋体" w:cs="宋体"/>
          <w:color w:val="FF0000"/>
        </w:rPr>
      </w:pPr>
      <w:r>
        <w:rPr>
          <w:rFonts w:hint="eastAsia" w:ascii="宋体" w:hAnsi="宋体" w:cs="宋体"/>
          <w:color w:val="FF0000"/>
        </w:rPr>
        <w:t>【知识点2】货币时间价值——年金现值</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7964"/>
      </w:tblGrid>
      <w:tr w14:paraId="095C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1BC9A0C5">
            <w:pPr>
              <w:jc w:val="center"/>
              <w:rPr>
                <w:rFonts w:ascii="宋体" w:hAnsi="宋体" w:cs="宋体"/>
              </w:rPr>
            </w:pPr>
            <w:r>
              <w:rPr>
                <w:rFonts w:hint="eastAsia" w:ascii="宋体" w:hAnsi="宋体" w:cs="宋体"/>
              </w:rPr>
              <w:t>项目</w:t>
            </w:r>
          </w:p>
        </w:tc>
        <w:tc>
          <w:tcPr>
            <w:tcW w:w="3929" w:type="pct"/>
          </w:tcPr>
          <w:p w14:paraId="0E55DD19">
            <w:pPr>
              <w:jc w:val="center"/>
              <w:rPr>
                <w:rFonts w:ascii="宋体" w:hAnsi="宋体" w:cs="宋体"/>
              </w:rPr>
            </w:pPr>
            <w:r>
              <w:rPr>
                <w:rFonts w:hint="eastAsia" w:ascii="宋体" w:hAnsi="宋体" w:cs="宋体"/>
              </w:rPr>
              <w:t>公式</w:t>
            </w:r>
          </w:p>
        </w:tc>
      </w:tr>
      <w:tr w14:paraId="152F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3B961313">
            <w:pPr>
              <w:jc w:val="center"/>
              <w:rPr>
                <w:rFonts w:ascii="宋体" w:hAnsi="宋体" w:cs="宋体"/>
              </w:rPr>
            </w:pPr>
            <w:r>
              <w:rPr>
                <w:rFonts w:hint="eastAsia" w:ascii="宋体" w:hAnsi="宋体" w:cs="宋体"/>
              </w:rPr>
              <w:t>普通年金现值</w:t>
            </w:r>
          </w:p>
        </w:tc>
        <w:tc>
          <w:tcPr>
            <w:tcW w:w="3929" w:type="pct"/>
          </w:tcPr>
          <w:p w14:paraId="20D7EC93">
            <w:pPr>
              <w:jc w:val="left"/>
              <w:rPr>
                <w:rFonts w:ascii="宋体" w:hAnsi="宋体" w:cs="宋体"/>
              </w:rPr>
            </w:pPr>
            <w:r>
              <w:rPr>
                <w:rFonts w:hint="eastAsia" w:ascii="宋体" w:hAnsi="宋体" w:cs="宋体"/>
              </w:rPr>
              <w:t>P=A*</w:t>
            </w:r>
            <w:r>
              <w:rPr>
                <w:rFonts w:ascii="宋体" w:hAnsi="宋体" w:cs="宋体"/>
              </w:rPr>
              <w:drawing>
                <wp:inline distT="0" distB="0" distL="0" distR="0">
                  <wp:extent cx="635000" cy="412750"/>
                  <wp:effectExtent l="0" t="0" r="12700" b="6350"/>
                  <wp:docPr id="62898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84153" name="Picture 1"/>
                          <pic:cNvPicPr>
                            <a:picLocks noChangeAspect="1" noChangeArrowheads="1"/>
                          </pic:cNvPicPr>
                        </pic:nvPicPr>
                        <pic:blipFill>
                          <a:blip r:embed="rId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642965" cy="418437"/>
                          </a:xfrm>
                          <a:prstGeom prst="rect">
                            <a:avLst/>
                          </a:prstGeom>
                          <a:noFill/>
                        </pic:spPr>
                      </pic:pic>
                    </a:graphicData>
                  </a:graphic>
                </wp:inline>
              </w:drawing>
            </w:r>
            <w:r>
              <w:rPr>
                <w:rFonts w:hint="eastAsia" w:ascii="宋体" w:hAnsi="宋体" w:cs="宋体"/>
              </w:rPr>
              <w:t>=A*（P/A,i,n）</w:t>
            </w:r>
          </w:p>
        </w:tc>
      </w:tr>
      <w:tr w14:paraId="589A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13C57721">
            <w:pPr>
              <w:jc w:val="center"/>
              <w:rPr>
                <w:rFonts w:ascii="宋体" w:hAnsi="宋体" w:cs="宋体"/>
              </w:rPr>
            </w:pPr>
            <w:r>
              <w:rPr>
                <w:rFonts w:hint="eastAsia" w:ascii="宋体" w:hAnsi="宋体" w:cs="宋体"/>
              </w:rPr>
              <w:t>年资本回收额</w:t>
            </w:r>
          </w:p>
        </w:tc>
        <w:tc>
          <w:tcPr>
            <w:tcW w:w="3929" w:type="pct"/>
          </w:tcPr>
          <w:p w14:paraId="035C9C14">
            <w:pPr>
              <w:jc w:val="left"/>
              <w:rPr>
                <w:rFonts w:hint="eastAsia" w:ascii="宋体" w:hAnsi="宋体" w:cs="宋体"/>
              </w:rPr>
            </w:pPr>
            <w:r>
              <w:rPr>
                <w:rFonts w:ascii="宋体" w:hAnsi="宋体" w:cs="宋体"/>
              </w:rPr>
              <w:drawing>
                <wp:inline distT="0" distB="0" distL="0" distR="0">
                  <wp:extent cx="1444625" cy="270510"/>
                  <wp:effectExtent l="0" t="0" r="3175" b="15240"/>
                  <wp:docPr id="727681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81958" name="Picture 2"/>
                          <pic:cNvPicPr>
                            <a:picLocks noChangeAspect="1" noChangeArrowheads="1"/>
                          </pic:cNvPicPr>
                        </pic:nvPicPr>
                        <pic:blipFill>
                          <a:blip r:embed="rId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1528505" cy="286159"/>
                          </a:xfrm>
                          <a:prstGeom prst="rect">
                            <a:avLst/>
                          </a:prstGeom>
                          <a:noFill/>
                        </pic:spPr>
                      </pic:pic>
                    </a:graphicData>
                  </a:graphic>
                </wp:inline>
              </w:drawing>
            </w:r>
          </w:p>
          <w:p w14:paraId="65305CEE">
            <w:pPr>
              <w:jc w:val="left"/>
              <w:rPr>
                <w:rFonts w:ascii="宋体" w:hAnsi="宋体" w:cs="宋体"/>
              </w:rPr>
            </w:pPr>
            <w:r>
              <w:rPr>
                <w:rFonts w:hint="eastAsia" w:ascii="宋体" w:hAnsi="宋体" w:cs="宋体"/>
                <w:color w:val="FF0000"/>
              </w:rPr>
              <w:t>资本回收系数是年金现值系数的倒数</w:t>
            </w:r>
          </w:p>
        </w:tc>
      </w:tr>
      <w:tr w14:paraId="3898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29228463">
            <w:pPr>
              <w:jc w:val="center"/>
              <w:rPr>
                <w:rFonts w:ascii="宋体" w:hAnsi="宋体" w:cs="宋体"/>
              </w:rPr>
            </w:pPr>
            <w:r>
              <w:rPr>
                <w:rFonts w:hint="eastAsia" w:ascii="宋体" w:hAnsi="宋体" w:cs="宋体"/>
              </w:rPr>
              <w:t>预付年金现值</w:t>
            </w:r>
          </w:p>
        </w:tc>
        <w:tc>
          <w:tcPr>
            <w:tcW w:w="3929" w:type="pct"/>
          </w:tcPr>
          <w:p w14:paraId="4C21D6B1">
            <w:pPr>
              <w:rPr>
                <w:rFonts w:ascii="宋体" w:hAnsi="宋体" w:cs="宋体"/>
              </w:rPr>
            </w:pPr>
            <w:r>
              <w:rPr>
                <w:rFonts w:hint="eastAsia" w:ascii="宋体" w:hAnsi="宋体" w:cs="宋体"/>
              </w:rPr>
              <w:t>P=A*（P/A,i,n）*（1+i）</w:t>
            </w:r>
          </w:p>
        </w:tc>
      </w:tr>
      <w:tr w14:paraId="0A89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2C38F126">
            <w:pPr>
              <w:jc w:val="center"/>
              <w:rPr>
                <w:rFonts w:ascii="宋体" w:hAnsi="宋体" w:cs="宋体"/>
              </w:rPr>
            </w:pPr>
            <w:r>
              <w:rPr>
                <w:rFonts w:hint="eastAsia" w:ascii="宋体" w:hAnsi="宋体" w:cs="宋体"/>
              </w:rPr>
              <w:t>递延年金现值</w:t>
            </w:r>
          </w:p>
        </w:tc>
        <w:tc>
          <w:tcPr>
            <w:tcW w:w="3929" w:type="pct"/>
          </w:tcPr>
          <w:p w14:paraId="114D5A50">
            <w:pPr>
              <w:rPr>
                <w:rFonts w:ascii="宋体" w:hAnsi="宋体" w:cs="宋体"/>
              </w:rPr>
            </w:pPr>
            <w:r>
              <w:rPr>
                <w:rFonts w:hint="eastAsia" w:ascii="宋体" w:hAnsi="宋体" w:cs="宋体"/>
              </w:rPr>
              <w:t>P=A*（P/A, i, n）*（P/F, i, m）</w:t>
            </w:r>
          </w:p>
        </w:tc>
      </w:tr>
      <w:tr w14:paraId="3E59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1EB673F9">
            <w:pPr>
              <w:jc w:val="center"/>
              <w:rPr>
                <w:rFonts w:ascii="宋体" w:hAnsi="宋体" w:cs="宋体"/>
              </w:rPr>
            </w:pPr>
            <w:r>
              <w:rPr>
                <w:rFonts w:hint="eastAsia" w:ascii="宋体" w:hAnsi="宋体" w:cs="宋体"/>
              </w:rPr>
              <w:t>永续年金现值</w:t>
            </w:r>
          </w:p>
        </w:tc>
        <w:tc>
          <w:tcPr>
            <w:tcW w:w="3929" w:type="pct"/>
          </w:tcPr>
          <w:p w14:paraId="2893E701">
            <w:pPr>
              <w:rPr>
                <w:rFonts w:ascii="宋体" w:hAnsi="宋体" w:cs="宋体"/>
              </w:rPr>
            </w:pPr>
            <w:r>
              <w:rPr>
                <w:rFonts w:hint="eastAsia" w:ascii="宋体" w:hAnsi="宋体" w:cs="宋体"/>
              </w:rPr>
              <w:drawing>
                <wp:inline distT="0" distB="0" distL="114300" distR="114300">
                  <wp:extent cx="524510" cy="384175"/>
                  <wp:effectExtent l="0" t="0" r="8890" b="1587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533837" cy="390941"/>
                          </a:xfrm>
                          <a:prstGeom prst="rect">
                            <a:avLst/>
                          </a:prstGeom>
                          <a:noFill/>
                          <a:ln>
                            <a:noFill/>
                          </a:ln>
                          <a:effectLst/>
                        </pic:spPr>
                      </pic:pic>
                    </a:graphicData>
                  </a:graphic>
                </wp:inline>
              </w:drawing>
            </w:r>
          </w:p>
        </w:tc>
      </w:tr>
    </w:tbl>
    <w:p w14:paraId="20FDEC54">
      <w:pPr>
        <w:jc w:val="left"/>
        <w:rPr>
          <w:rFonts w:ascii="宋体" w:hAnsi="宋体" w:cs="宋体"/>
        </w:rPr>
      </w:pPr>
      <w:r>
        <w:rPr>
          <w:rFonts w:hint="eastAsia" w:ascii="宋体" w:hAnsi="宋体" w:cs="宋体"/>
        </w:rPr>
        <w:t>【知识点3】货币时间价值——年金终值</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7"/>
        <w:gridCol w:w="5068"/>
      </w:tblGrid>
      <w:tr w14:paraId="2A82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0EF453BA">
            <w:pPr>
              <w:jc w:val="center"/>
              <w:rPr>
                <w:rFonts w:ascii="宋体" w:hAnsi="宋体" w:cs="宋体"/>
              </w:rPr>
            </w:pPr>
            <w:r>
              <w:rPr>
                <w:rFonts w:hint="eastAsia" w:ascii="宋体" w:hAnsi="宋体" w:cs="宋体"/>
              </w:rPr>
              <w:t>普通年金终值</w:t>
            </w:r>
          </w:p>
        </w:tc>
        <w:tc>
          <w:tcPr>
            <w:tcW w:w="2500" w:type="pct"/>
          </w:tcPr>
          <w:p w14:paraId="773CF5EF">
            <w:pPr>
              <w:rPr>
                <w:rFonts w:ascii="宋体" w:hAnsi="宋体" w:cs="宋体"/>
              </w:rPr>
            </w:pPr>
            <w:r>
              <w:rPr>
                <w:rFonts w:ascii="宋体" w:hAnsi="宋体" w:cs="宋体"/>
              </w:rPr>
              <w:drawing>
                <wp:inline distT="0" distB="0" distL="0" distR="0">
                  <wp:extent cx="796290" cy="307975"/>
                  <wp:effectExtent l="0" t="0" r="3810" b="15875"/>
                  <wp:docPr id="112869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0498" name="Picture 1"/>
                          <pic:cNvPicPr>
                            <a:picLocks noChangeAspect="1" noChangeArrowheads="1"/>
                          </pic:cNvPicPr>
                        </pic:nvPicPr>
                        <pic:blipFill>
                          <a:blip r:embed="rId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818145" cy="316452"/>
                          </a:xfrm>
                          <a:prstGeom prst="rect">
                            <a:avLst/>
                          </a:prstGeom>
                          <a:noFill/>
                        </pic:spPr>
                      </pic:pic>
                    </a:graphicData>
                  </a:graphic>
                </wp:inline>
              </w:drawing>
            </w:r>
            <w:r>
              <w:rPr>
                <w:rFonts w:hint="eastAsia" w:ascii="宋体" w:hAnsi="宋体" w:cs="宋体"/>
              </w:rPr>
              <w:t>=A*（F/A,i,n）</w:t>
            </w:r>
          </w:p>
        </w:tc>
      </w:tr>
      <w:tr w14:paraId="50D7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16C8B54">
            <w:pPr>
              <w:jc w:val="center"/>
              <w:rPr>
                <w:rFonts w:ascii="宋体" w:hAnsi="宋体" w:cs="宋体"/>
              </w:rPr>
            </w:pPr>
            <w:r>
              <w:rPr>
                <w:rFonts w:hint="eastAsia" w:ascii="宋体" w:hAnsi="宋体" w:cs="宋体"/>
              </w:rPr>
              <w:t>年偿债基金</w:t>
            </w:r>
          </w:p>
        </w:tc>
        <w:tc>
          <w:tcPr>
            <w:tcW w:w="2500" w:type="pct"/>
          </w:tcPr>
          <w:p w14:paraId="1BC1C6CA">
            <w:pPr>
              <w:jc w:val="left"/>
              <w:rPr>
                <w:rFonts w:ascii="宋体" w:hAnsi="宋体" w:cs="宋体"/>
              </w:rPr>
            </w:pPr>
            <w:r>
              <w:rPr>
                <w:rFonts w:ascii="宋体" w:hAnsi="宋体" w:cs="宋体"/>
              </w:rPr>
              <w:drawing>
                <wp:inline distT="0" distB="0" distL="0" distR="0">
                  <wp:extent cx="2000250" cy="330200"/>
                  <wp:effectExtent l="0" t="0" r="0" b="12700"/>
                  <wp:docPr id="1107384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84366" name="Picture 2"/>
                          <pic:cNvPicPr>
                            <a:picLocks noChangeAspect="1" noChangeArrowheads="1"/>
                          </pic:cNvPicPr>
                        </pic:nvPicPr>
                        <pic:blipFill>
                          <a:blip r:embed="rId9">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074274" cy="342924"/>
                          </a:xfrm>
                          <a:prstGeom prst="rect">
                            <a:avLst/>
                          </a:prstGeom>
                          <a:noFill/>
                        </pic:spPr>
                      </pic:pic>
                    </a:graphicData>
                  </a:graphic>
                </wp:inline>
              </w:drawing>
            </w:r>
          </w:p>
        </w:tc>
      </w:tr>
      <w:tr w14:paraId="792C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7235A54">
            <w:pPr>
              <w:jc w:val="center"/>
              <w:rPr>
                <w:rFonts w:ascii="宋体" w:hAnsi="宋体" w:cs="宋体"/>
              </w:rPr>
            </w:pPr>
            <w:r>
              <w:rPr>
                <w:rFonts w:hint="eastAsia" w:ascii="宋体" w:hAnsi="宋体" w:cs="宋体"/>
              </w:rPr>
              <w:t>预付年金终值</w:t>
            </w:r>
          </w:p>
        </w:tc>
        <w:tc>
          <w:tcPr>
            <w:tcW w:w="2500" w:type="pct"/>
          </w:tcPr>
          <w:p w14:paraId="68154358">
            <w:pPr>
              <w:jc w:val="left"/>
              <w:rPr>
                <w:rFonts w:ascii="宋体" w:hAnsi="宋体" w:cs="宋体"/>
              </w:rPr>
            </w:pPr>
            <w:r>
              <w:rPr>
                <w:rFonts w:hint="eastAsia" w:ascii="宋体" w:hAnsi="宋体" w:cs="宋体"/>
              </w:rPr>
              <w:t>F= A*（F/A,i,n）*（1+i）</w:t>
            </w:r>
          </w:p>
        </w:tc>
      </w:tr>
      <w:tr w14:paraId="393C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5DB0DED">
            <w:pPr>
              <w:jc w:val="center"/>
              <w:rPr>
                <w:rFonts w:ascii="宋体" w:hAnsi="宋体" w:cs="宋体"/>
              </w:rPr>
            </w:pPr>
            <w:r>
              <w:rPr>
                <w:rFonts w:hint="eastAsia" w:ascii="宋体" w:hAnsi="宋体" w:cs="宋体"/>
              </w:rPr>
              <w:t>递延年金终值</w:t>
            </w:r>
          </w:p>
        </w:tc>
        <w:tc>
          <w:tcPr>
            <w:tcW w:w="2500" w:type="pct"/>
          </w:tcPr>
          <w:p w14:paraId="5261B8C9">
            <w:pPr>
              <w:rPr>
                <w:rFonts w:ascii="宋体" w:hAnsi="宋体" w:cs="宋体"/>
              </w:rPr>
            </w:pPr>
            <w:r>
              <w:rPr>
                <w:rFonts w:hint="eastAsia" w:ascii="宋体" w:hAnsi="宋体" w:cs="宋体"/>
              </w:rPr>
              <w:t>F=A*（F/A,i,n）</w:t>
            </w:r>
          </w:p>
        </w:tc>
      </w:tr>
      <w:tr w14:paraId="49A3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3F98C92">
            <w:pPr>
              <w:jc w:val="center"/>
              <w:rPr>
                <w:rFonts w:ascii="宋体" w:hAnsi="宋体" w:cs="宋体"/>
              </w:rPr>
            </w:pPr>
            <w:r>
              <w:rPr>
                <w:rFonts w:hint="eastAsia" w:ascii="宋体" w:hAnsi="宋体" w:cs="宋体"/>
              </w:rPr>
              <w:t>永续年金终值</w:t>
            </w:r>
          </w:p>
        </w:tc>
        <w:tc>
          <w:tcPr>
            <w:tcW w:w="2500" w:type="pct"/>
          </w:tcPr>
          <w:p w14:paraId="3BD4E8DC">
            <w:pPr>
              <w:jc w:val="left"/>
              <w:rPr>
                <w:rFonts w:ascii="宋体" w:hAnsi="宋体" w:cs="宋体"/>
              </w:rPr>
            </w:pPr>
            <w:r>
              <w:rPr>
                <w:rFonts w:hint="eastAsia" w:ascii="宋体" w:hAnsi="宋体" w:cs="宋体"/>
              </w:rPr>
              <w:t>无</w:t>
            </w:r>
          </w:p>
        </w:tc>
      </w:tr>
    </w:tbl>
    <w:p w14:paraId="07BBBD9A">
      <w:pPr>
        <w:jc w:val="left"/>
        <w:rPr>
          <w:rFonts w:ascii="宋体" w:hAnsi="宋体" w:cs="宋体"/>
          <w:color w:val="FF0000"/>
        </w:rPr>
      </w:pPr>
      <w:r>
        <w:rPr>
          <w:rFonts w:hint="eastAsia" w:ascii="宋体" w:hAnsi="宋体" w:cs="宋体"/>
          <w:color w:val="FF0000"/>
        </w:rPr>
        <w:t xml:space="preserve">【知识点4】货币时间价值应用   </w:t>
      </w:r>
    </w:p>
    <w:p w14:paraId="5FC98F69">
      <w:pPr>
        <w:jc w:val="left"/>
        <w:rPr>
          <w:rFonts w:ascii="宋体" w:hAnsi="宋体" w:cs="宋体"/>
        </w:rPr>
      </w:pPr>
      <w:r>
        <w:rPr>
          <w:rFonts w:hint="eastAsia" w:ascii="宋体" w:hAnsi="宋体" w:cs="宋体"/>
        </w:rPr>
        <w:t>第六章净现值、现值指数、年金净流量、内含收益率、动态回收期、债券内在价值及收益率、股票内在价值的计算；第五章公司价值法决策最优资本结构。</w:t>
      </w:r>
    </w:p>
    <w:p w14:paraId="58EFE3A6">
      <w:pPr>
        <w:jc w:val="left"/>
        <w:rPr>
          <w:rFonts w:ascii="宋体" w:hAnsi="宋体" w:cs="宋体"/>
        </w:rPr>
      </w:pPr>
      <w:r>
        <w:rPr>
          <w:rFonts w:hint="eastAsia" w:ascii="宋体" w:hAnsi="宋体" w:cs="宋体"/>
        </w:rPr>
        <w:t>【知识点5】利率总结</w:t>
      </w:r>
    </w:p>
    <w:p w14:paraId="0B25A0A8">
      <w:pPr>
        <w:jc w:val="left"/>
        <w:rPr>
          <w:rFonts w:ascii="宋体" w:hAnsi="宋体" w:cs="宋体"/>
        </w:rPr>
      </w:pPr>
      <w:r>
        <w:rPr>
          <w:rFonts w:ascii="宋体" w:hAnsi="宋体" w:cs="宋体"/>
        </w:rPr>
        <w:drawing>
          <wp:inline distT="0" distB="0" distL="0" distR="0">
            <wp:extent cx="4010025" cy="1579245"/>
            <wp:effectExtent l="0" t="0" r="9525" b="1905"/>
            <wp:docPr id="1308196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6426"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2609" cy="1592432"/>
                    </a:xfrm>
                    <a:prstGeom prst="rect">
                      <a:avLst/>
                    </a:prstGeom>
                  </pic:spPr>
                </pic:pic>
              </a:graphicData>
            </a:graphic>
          </wp:inline>
        </w:drawing>
      </w:r>
    </w:p>
    <w:p w14:paraId="19868E00">
      <w:pPr>
        <w:jc w:val="left"/>
        <w:rPr>
          <w:rFonts w:ascii="宋体" w:hAnsi="宋体" w:cs="宋体"/>
          <w:color w:val="FF0000"/>
        </w:rPr>
      </w:pPr>
      <w:r>
        <w:rPr>
          <w:rFonts w:hint="eastAsia" w:ascii="宋体" w:hAnsi="宋体" w:cs="宋体"/>
          <w:color w:val="FF0000"/>
        </w:rPr>
        <w:t>【知识点6】利率计算方法</w:t>
      </w:r>
    </w:p>
    <w:p w14:paraId="440ADDE1">
      <w:pPr>
        <w:jc w:val="left"/>
        <w:rPr>
          <w:rFonts w:ascii="宋体" w:hAnsi="宋体" w:cs="宋体"/>
        </w:rPr>
      </w:pPr>
      <w:r>
        <w:rPr>
          <w:rFonts w:hint="eastAsia" w:ascii="宋体" w:hAnsi="宋体" w:cs="宋体"/>
        </w:rPr>
        <w:t>内插法的运用（贴现法计算资本成本率、项目内含收益率、债券投资、股票投资内部收益率计算）</w:t>
      </w:r>
    </w:p>
    <w:p w14:paraId="2B439D5A">
      <w:pPr>
        <w:jc w:val="left"/>
        <w:rPr>
          <w:rFonts w:ascii="宋体" w:hAnsi="宋体" w:cs="宋体"/>
        </w:rPr>
      </w:pPr>
      <w:r>
        <w:rPr>
          <w:rFonts w:hint="eastAsia" w:ascii="宋体" w:hAnsi="宋体" w:cs="宋体"/>
          <w:color w:val="FF0000"/>
        </w:rPr>
        <w:t>【提示】</w:t>
      </w:r>
      <w:r>
        <w:rPr>
          <w:rFonts w:hint="eastAsia" w:ascii="宋体" w:hAnsi="宋体" w:cs="宋体"/>
        </w:rPr>
        <w:t>利率差之比等于折现率差之比</w:t>
      </w:r>
    </w:p>
    <w:p w14:paraId="34F8444D">
      <w:pPr>
        <w:jc w:val="left"/>
        <w:rPr>
          <w:rFonts w:ascii="宋体" w:hAnsi="宋体" w:cs="宋体"/>
          <w:color w:val="FF0000"/>
        </w:rPr>
      </w:pPr>
      <w:r>
        <w:rPr>
          <w:rFonts w:hint="eastAsia" w:ascii="宋体" w:hAnsi="宋体" w:cs="宋体"/>
          <w:color w:val="FF0000"/>
        </w:rPr>
        <w:t>【知识点7】实际利率计算</w:t>
      </w:r>
    </w:p>
    <w:p w14:paraId="2E427D0D">
      <w:pPr>
        <w:jc w:val="left"/>
        <w:rPr>
          <w:rFonts w:ascii="宋体" w:hAnsi="宋体" w:cs="宋体"/>
          <w:color w:val="FF0000"/>
        </w:rPr>
      </w:pPr>
      <w:r>
        <w:rPr>
          <w:rFonts w:hint="eastAsia" w:ascii="宋体" w:hAnsi="宋体" w:cs="宋体"/>
          <w:color w:val="FF0000"/>
        </w:rPr>
        <w:t>（一）一年内计息多次-实际利率与名义利率的换算</w:t>
      </w:r>
    </w:p>
    <w:p w14:paraId="24999B81">
      <w:pPr>
        <w:jc w:val="left"/>
        <w:rPr>
          <w:rFonts w:ascii="宋体" w:hAnsi="宋体" w:cs="宋体"/>
          <w:color w:val="FF0000"/>
        </w:rPr>
      </w:pPr>
      <w:r>
        <w:rPr>
          <w:rFonts w:ascii="宋体" w:hAnsi="宋体" w:cs="宋体"/>
          <w:color w:val="FF0000"/>
        </w:rPr>
        <w:drawing>
          <wp:inline distT="0" distB="0" distL="0" distR="0">
            <wp:extent cx="1819275" cy="372110"/>
            <wp:effectExtent l="0" t="0" r="0" b="6985"/>
            <wp:docPr id="10414491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49177" name="图片 2"/>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931452" cy="395240"/>
                    </a:xfrm>
                    <a:prstGeom prst="rect">
                      <a:avLst/>
                    </a:prstGeom>
                  </pic:spPr>
                </pic:pic>
              </a:graphicData>
            </a:graphic>
          </wp:inline>
        </w:drawing>
      </w:r>
    </w:p>
    <w:p w14:paraId="7AAA21FF">
      <w:pPr>
        <w:jc w:val="left"/>
        <w:rPr>
          <w:rFonts w:ascii="宋体" w:hAnsi="宋体" w:cs="宋体"/>
          <w:color w:val="FF0000"/>
        </w:rPr>
      </w:pPr>
      <w:r>
        <w:rPr>
          <w:rFonts w:hint="eastAsia" w:ascii="宋体" w:hAnsi="宋体" w:cs="宋体"/>
          <w:color w:val="FF0000"/>
        </w:rPr>
        <w:t>【提示】r/m是计息期利率，m次方是计息次数</w:t>
      </w:r>
    </w:p>
    <w:p w14:paraId="31FCEC33">
      <w:pPr>
        <w:jc w:val="left"/>
        <w:rPr>
          <w:rFonts w:ascii="宋体" w:hAnsi="宋体" w:cs="宋体"/>
          <w:color w:val="FF0000"/>
        </w:rPr>
      </w:pPr>
      <w:r>
        <w:rPr>
          <w:rFonts w:hint="eastAsia" w:ascii="宋体" w:hAnsi="宋体" w:cs="宋体"/>
          <w:color w:val="FF0000"/>
        </w:rPr>
        <w:t>（二）通货膨胀情况下的名义利率与实际利率</w:t>
      </w:r>
    </w:p>
    <w:p w14:paraId="07FFE539">
      <w:pPr>
        <w:jc w:val="left"/>
        <w:rPr>
          <w:rFonts w:ascii="宋体" w:hAnsi="宋体" w:cs="宋体"/>
        </w:rPr>
      </w:pPr>
      <w:r>
        <w:rPr>
          <w:rFonts w:hint="eastAsia" w:ascii="宋体" w:hAnsi="宋体" w:cs="宋体"/>
        </w:rPr>
        <w:t>1+名义利率=（1+实际利率）×（1+通货膨胀率）</w:t>
      </w:r>
    </w:p>
    <w:p w14:paraId="60759114">
      <w:pPr>
        <w:jc w:val="left"/>
        <w:rPr>
          <w:rFonts w:ascii="宋体" w:hAnsi="宋体" w:cs="宋体"/>
        </w:rPr>
      </w:pPr>
      <w:r>
        <w:rPr>
          <w:rFonts w:hint="eastAsia" w:ascii="宋体" w:hAnsi="宋体" w:cs="宋体"/>
          <w:color w:val="FF0000"/>
        </w:rPr>
        <w:t>【提示】</w:t>
      </w:r>
      <w:r>
        <w:rPr>
          <w:rFonts w:hint="eastAsia" w:ascii="宋体" w:hAnsi="宋体" w:cs="宋体"/>
        </w:rPr>
        <w:t>存在通货膨胀的条件下，实际利率低于名义利率，不存在通货膨胀条件下，实际利率等于名义利率。</w:t>
      </w:r>
    </w:p>
    <w:p w14:paraId="49A176EF">
      <w:pPr>
        <w:jc w:val="left"/>
        <w:rPr>
          <w:rFonts w:ascii="宋体" w:hAnsi="宋体" w:cs="宋体"/>
          <w:color w:val="FF0000"/>
        </w:rPr>
      </w:pPr>
      <w:r>
        <w:rPr>
          <w:rFonts w:hint="eastAsia" w:ascii="宋体" w:hAnsi="宋体" w:cs="宋体"/>
          <w:color w:val="FF0000"/>
        </w:rPr>
        <w:t>【知识点8】风险与收益总结</w:t>
      </w:r>
    </w:p>
    <w:p w14:paraId="050134E5">
      <w:pPr>
        <w:jc w:val="left"/>
        <w:rPr>
          <w:rFonts w:ascii="宋体" w:hAnsi="宋体" w:cs="宋体"/>
        </w:rPr>
      </w:pPr>
      <w:r>
        <w:rPr>
          <w:rFonts w:ascii="宋体" w:hAnsi="宋体" w:cs="宋体"/>
        </w:rPr>
        <w:drawing>
          <wp:inline distT="0" distB="0" distL="0" distR="0">
            <wp:extent cx="3904615" cy="1937385"/>
            <wp:effectExtent l="0" t="0" r="635" b="0"/>
            <wp:docPr id="13808500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5004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0810" cy="1945190"/>
                    </a:xfrm>
                    <a:prstGeom prst="rect">
                      <a:avLst/>
                    </a:prstGeom>
                  </pic:spPr>
                </pic:pic>
              </a:graphicData>
            </a:graphic>
          </wp:inline>
        </w:drawing>
      </w:r>
    </w:p>
    <w:p w14:paraId="7AA9A8BC">
      <w:pPr>
        <w:jc w:val="left"/>
        <w:rPr>
          <w:rFonts w:ascii="宋体" w:hAnsi="宋体" w:cs="宋体"/>
          <w:color w:val="FF0000"/>
        </w:rPr>
      </w:pPr>
      <w:r>
        <w:rPr>
          <w:rFonts w:hint="eastAsia" w:ascii="宋体" w:hAnsi="宋体" w:cs="宋体"/>
          <w:color w:val="FF0000"/>
        </w:rPr>
        <w:t>【知识点9】收益率（加权）</w:t>
      </w:r>
    </w:p>
    <w:p w14:paraId="657A2369">
      <w:pPr>
        <w:jc w:val="left"/>
        <w:rPr>
          <w:rFonts w:ascii="宋体" w:hAnsi="宋体" w:cs="宋体"/>
        </w:rPr>
      </w:pPr>
      <w:r>
        <w:rPr>
          <w:rFonts w:hint="eastAsia" w:ascii="宋体" w:hAnsi="宋体" w:cs="宋体"/>
        </w:rPr>
        <w:t>（一）单项资产预期收益率（权重：随机事件出现的概率；期望值：和可能发生的收益率）</w:t>
      </w:r>
    </w:p>
    <w:p w14:paraId="29A44171">
      <w:pPr>
        <w:jc w:val="left"/>
        <w:rPr>
          <w:rFonts w:ascii="宋体" w:hAnsi="宋体" w:cs="宋体"/>
        </w:rPr>
      </w:pPr>
      <w:r>
        <w:rPr>
          <w:rFonts w:hint="eastAsia" w:ascii="宋体" w:hAnsi="宋体" w:cs="宋体"/>
        </w:rPr>
        <w:t>（二）组合预期收益率（权重：单项资产的投资比例；期望值：单项资产的收益率）</w:t>
      </w:r>
    </w:p>
    <w:p w14:paraId="1EA4E6B0">
      <w:pPr>
        <w:jc w:val="left"/>
        <w:rPr>
          <w:rFonts w:ascii="宋体" w:hAnsi="宋体" w:cs="宋体"/>
          <w:color w:val="FF0000"/>
        </w:rPr>
      </w:pPr>
      <w:r>
        <w:rPr>
          <w:rFonts w:hint="eastAsia" w:ascii="宋体" w:hAnsi="宋体" w:cs="宋体"/>
          <w:color w:val="FF0000"/>
        </w:rPr>
        <w:t>【知识点10】单项资产的风险衡量</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8544"/>
      </w:tblGrid>
      <w:tr w14:paraId="6A10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61D12FFB">
            <w:pPr>
              <w:jc w:val="left"/>
              <w:rPr>
                <w:rFonts w:ascii="宋体" w:hAnsi="宋体" w:cs="宋体"/>
              </w:rPr>
            </w:pPr>
            <w:r>
              <w:rPr>
                <w:rFonts w:hint="eastAsia" w:ascii="宋体" w:hAnsi="宋体" w:cs="宋体"/>
              </w:rPr>
              <w:t>方差和标准差</w:t>
            </w:r>
          </w:p>
        </w:tc>
        <w:tc>
          <w:tcPr>
            <w:tcW w:w="4215" w:type="pct"/>
          </w:tcPr>
          <w:p w14:paraId="61AC196B">
            <w:pPr>
              <w:jc w:val="left"/>
              <w:rPr>
                <w:rFonts w:ascii="宋体" w:hAnsi="宋体" w:cs="宋体"/>
              </w:rPr>
            </w:pPr>
            <w:r>
              <w:rPr>
                <w:rFonts w:hint="eastAsia" w:ascii="宋体" w:hAnsi="宋体" w:cs="宋体"/>
              </w:rPr>
              <w:t>衡量整体风险的绝对值。预期收益率相同时，指标越大，风险越大，不适合比较预期收益率不同的资产的风险大小</w:t>
            </w:r>
          </w:p>
        </w:tc>
      </w:tr>
      <w:tr w14:paraId="5F6E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restart"/>
          </w:tcPr>
          <w:p w14:paraId="1F0A2B2A">
            <w:pPr>
              <w:jc w:val="left"/>
              <w:rPr>
                <w:rFonts w:ascii="宋体" w:hAnsi="宋体" w:cs="宋体"/>
              </w:rPr>
            </w:pPr>
            <w:r>
              <w:rPr>
                <w:rFonts w:hint="eastAsia" w:ascii="宋体" w:hAnsi="宋体" w:cs="宋体"/>
              </w:rPr>
              <w:t>标准差率</w:t>
            </w:r>
          </w:p>
        </w:tc>
        <w:tc>
          <w:tcPr>
            <w:tcW w:w="4215" w:type="pct"/>
          </w:tcPr>
          <w:p w14:paraId="35E505E4">
            <w:pPr>
              <w:jc w:val="left"/>
              <w:rPr>
                <w:rFonts w:ascii="宋体" w:hAnsi="宋体" w:cs="宋体"/>
              </w:rPr>
            </w:pPr>
            <w:r>
              <w:rPr>
                <w:rFonts w:hint="eastAsia" w:ascii="宋体" w:hAnsi="宋体" w:cs="宋体"/>
              </w:rPr>
              <w:t>标准差率＝标准差/期望值</w:t>
            </w:r>
          </w:p>
        </w:tc>
      </w:tr>
      <w:tr w14:paraId="4FD4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104DC5AD">
            <w:pPr>
              <w:jc w:val="left"/>
              <w:rPr>
                <w:rFonts w:ascii="宋体" w:hAnsi="宋体" w:cs="宋体"/>
              </w:rPr>
            </w:pPr>
          </w:p>
        </w:tc>
        <w:tc>
          <w:tcPr>
            <w:tcW w:w="4215" w:type="pct"/>
          </w:tcPr>
          <w:p w14:paraId="7759BDB9">
            <w:pPr>
              <w:jc w:val="left"/>
              <w:rPr>
                <w:rFonts w:ascii="宋体" w:hAnsi="宋体" w:cs="宋体"/>
              </w:rPr>
            </w:pPr>
            <w:r>
              <w:rPr>
                <w:rFonts w:hint="eastAsia" w:ascii="宋体" w:hAnsi="宋体" w:cs="宋体"/>
              </w:rPr>
              <w:t>标准差率是标准差同期望值之比，是一个相对指标，以相对数反映决策方案的风险程度。在期望值不同的情况下，标准差率越大，风险越大；反之，标准差率越小，风险越小。</w:t>
            </w:r>
          </w:p>
        </w:tc>
      </w:tr>
    </w:tbl>
    <w:p w14:paraId="7F4CED3D">
      <w:pPr>
        <w:jc w:val="left"/>
        <w:rPr>
          <w:rFonts w:hint="eastAsia" w:ascii="宋体" w:hAnsi="宋体" w:cs="宋体"/>
        </w:rPr>
      </w:pPr>
    </w:p>
    <w:p w14:paraId="6D6F1209">
      <w:pPr>
        <w:overflowPunct w:val="0"/>
        <w:jc w:val="center"/>
        <w:rPr>
          <w:rFonts w:ascii="宋体" w:hAnsi="宋体" w:cs="宋体"/>
          <w:b/>
          <w:bCs/>
        </w:rPr>
      </w:pPr>
      <w:r>
        <w:rPr>
          <w:rFonts w:hint="eastAsia" w:ascii="宋体" w:hAnsi="宋体" w:cs="宋体"/>
          <w:b/>
          <w:bCs/>
        </w:rPr>
        <w:t>第二章  财务管理基础</w:t>
      </w:r>
    </w:p>
    <w:p w14:paraId="40100EE1">
      <w:pPr>
        <w:jc w:val="left"/>
        <w:rPr>
          <w:rFonts w:ascii="宋体" w:hAnsi="宋体" w:cs="宋体"/>
          <w:color w:val="FF0000"/>
        </w:rPr>
      </w:pPr>
      <w:r>
        <w:rPr>
          <w:rFonts w:hint="eastAsia" w:ascii="宋体" w:hAnsi="宋体" w:cs="宋体"/>
          <w:color w:val="FF0000"/>
        </w:rPr>
        <w:t>【知识点11】风险对策</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836"/>
      </w:tblGrid>
      <w:tr w14:paraId="4850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075F8064">
            <w:pPr>
              <w:jc w:val="left"/>
              <w:rPr>
                <w:rFonts w:ascii="宋体" w:hAnsi="宋体" w:cs="宋体"/>
              </w:rPr>
            </w:pPr>
            <w:r>
              <w:rPr>
                <w:rFonts w:hint="eastAsia" w:ascii="宋体" w:hAnsi="宋体" w:cs="宋体"/>
              </w:rPr>
              <w:t>风险策略</w:t>
            </w:r>
          </w:p>
        </w:tc>
        <w:tc>
          <w:tcPr>
            <w:tcW w:w="4359" w:type="pct"/>
          </w:tcPr>
          <w:p w14:paraId="06A6109E">
            <w:pPr>
              <w:jc w:val="left"/>
              <w:rPr>
                <w:rFonts w:ascii="宋体" w:hAnsi="宋体" w:cs="宋体"/>
              </w:rPr>
            </w:pPr>
            <w:r>
              <w:rPr>
                <w:rFonts w:hint="eastAsia" w:ascii="宋体" w:hAnsi="宋体" w:cs="宋体"/>
              </w:rPr>
              <w:t>含义</w:t>
            </w:r>
          </w:p>
        </w:tc>
      </w:tr>
      <w:tr w14:paraId="0353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00BF2C0A">
            <w:pPr>
              <w:jc w:val="left"/>
              <w:rPr>
                <w:rFonts w:ascii="宋体" w:hAnsi="宋体" w:cs="宋体"/>
              </w:rPr>
            </w:pPr>
            <w:r>
              <w:rPr>
                <w:rFonts w:hint="eastAsia" w:ascii="宋体" w:hAnsi="宋体" w:cs="宋体"/>
              </w:rPr>
              <w:t>风险规避</w:t>
            </w:r>
          </w:p>
        </w:tc>
        <w:tc>
          <w:tcPr>
            <w:tcW w:w="4359" w:type="pct"/>
          </w:tcPr>
          <w:p w14:paraId="488EF57F">
            <w:pPr>
              <w:jc w:val="left"/>
              <w:rPr>
                <w:rFonts w:ascii="宋体" w:hAnsi="宋体" w:cs="宋体"/>
              </w:rPr>
            </w:pPr>
            <w:r>
              <w:rPr>
                <w:rFonts w:hint="eastAsia" w:ascii="宋体" w:hAnsi="宋体" w:cs="宋体"/>
              </w:rPr>
              <w:t>收益不能抵消损失，应当放弃该资产，规避风险。拒绝与不守信用的厂商业务往来；放弃明显导致亏损的投资项目。</w:t>
            </w:r>
          </w:p>
        </w:tc>
      </w:tr>
      <w:tr w14:paraId="66E9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146F92C">
            <w:pPr>
              <w:jc w:val="left"/>
              <w:rPr>
                <w:rFonts w:ascii="宋体" w:hAnsi="宋体" w:cs="宋体"/>
              </w:rPr>
            </w:pPr>
            <w:r>
              <w:rPr>
                <w:rFonts w:hint="eastAsia" w:ascii="宋体" w:hAnsi="宋体" w:cs="宋体"/>
              </w:rPr>
              <w:t>风险承担</w:t>
            </w:r>
          </w:p>
        </w:tc>
        <w:tc>
          <w:tcPr>
            <w:tcW w:w="4359" w:type="pct"/>
          </w:tcPr>
          <w:p w14:paraId="4FAA3356">
            <w:pPr>
              <w:jc w:val="left"/>
              <w:rPr>
                <w:rFonts w:ascii="宋体" w:hAnsi="宋体" w:cs="宋体"/>
              </w:rPr>
            </w:pPr>
            <w:r>
              <w:rPr>
                <w:rFonts w:hint="eastAsia" w:ascii="宋体" w:hAnsi="宋体" w:cs="宋体"/>
              </w:rPr>
              <w:t>指企业对所面临的风险采取接受的态度，从而承担风险带来的后果。</w:t>
            </w:r>
          </w:p>
        </w:tc>
      </w:tr>
      <w:tr w14:paraId="0BA3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0854C2AD">
            <w:pPr>
              <w:jc w:val="left"/>
              <w:rPr>
                <w:rFonts w:ascii="宋体" w:hAnsi="宋体" w:cs="宋体"/>
              </w:rPr>
            </w:pPr>
            <w:r>
              <w:rPr>
                <w:rFonts w:hint="eastAsia" w:ascii="宋体" w:hAnsi="宋体" w:cs="宋体"/>
              </w:rPr>
              <w:t>风险转移</w:t>
            </w:r>
          </w:p>
        </w:tc>
        <w:tc>
          <w:tcPr>
            <w:tcW w:w="4359" w:type="pct"/>
          </w:tcPr>
          <w:p w14:paraId="10A79573">
            <w:pPr>
              <w:jc w:val="left"/>
              <w:rPr>
                <w:rFonts w:ascii="宋体" w:hAnsi="宋体" w:cs="宋体"/>
              </w:rPr>
            </w:pPr>
            <w:r>
              <w:rPr>
                <w:rFonts w:hint="eastAsia" w:ascii="宋体" w:hAnsi="宋体" w:cs="宋体"/>
              </w:rPr>
              <w:t>企业应以一定代价，采取某种方式转移风险。采取措施将风险转嫁给他人承担，向专业保险公司投保；采取合资、联营、联合开发；通过技术转让、租赁经营和业务外包等实现风险转移</w:t>
            </w:r>
          </w:p>
        </w:tc>
      </w:tr>
      <w:tr w14:paraId="556F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20835BB">
            <w:pPr>
              <w:jc w:val="left"/>
              <w:rPr>
                <w:rFonts w:ascii="宋体" w:hAnsi="宋体" w:cs="宋体"/>
              </w:rPr>
            </w:pPr>
            <w:r>
              <w:rPr>
                <w:rFonts w:hint="eastAsia" w:ascii="宋体" w:hAnsi="宋体" w:cs="宋体"/>
              </w:rPr>
              <w:t>风险转换</w:t>
            </w:r>
          </w:p>
        </w:tc>
        <w:tc>
          <w:tcPr>
            <w:tcW w:w="4359" w:type="pct"/>
          </w:tcPr>
          <w:p w14:paraId="34AB3069">
            <w:pPr>
              <w:jc w:val="left"/>
              <w:rPr>
                <w:rFonts w:ascii="宋体" w:hAnsi="宋体" w:cs="宋体"/>
              </w:rPr>
            </w:pPr>
            <w:r>
              <w:rPr>
                <w:rFonts w:hint="eastAsia" w:ascii="宋体" w:hAnsi="宋体" w:cs="宋体"/>
              </w:rPr>
              <w:t>企业通过战略调整等手段将企业面临的风险转换成另一个风险。如放松交易客户信用标准，而增加了应收账款</w:t>
            </w:r>
          </w:p>
        </w:tc>
      </w:tr>
      <w:tr w14:paraId="666C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145D2B1">
            <w:pPr>
              <w:jc w:val="left"/>
              <w:rPr>
                <w:rFonts w:ascii="宋体" w:hAnsi="宋体" w:cs="宋体"/>
              </w:rPr>
            </w:pPr>
            <w:r>
              <w:rPr>
                <w:rFonts w:hint="eastAsia" w:ascii="宋体" w:hAnsi="宋体" w:cs="宋体"/>
              </w:rPr>
              <w:t>风险对冲</w:t>
            </w:r>
          </w:p>
        </w:tc>
        <w:tc>
          <w:tcPr>
            <w:tcW w:w="4359" w:type="pct"/>
          </w:tcPr>
          <w:p w14:paraId="582E02C2">
            <w:pPr>
              <w:jc w:val="left"/>
              <w:rPr>
                <w:rFonts w:ascii="宋体" w:hAnsi="宋体" w:cs="宋体"/>
              </w:rPr>
            </w:pPr>
            <w:r>
              <w:rPr>
                <w:rFonts w:hint="eastAsia" w:ascii="宋体" w:hAnsi="宋体" w:cs="宋体"/>
              </w:rPr>
              <w:t>引入多个风险因素或承担多个风险，使得这些风险能互相对冲，如基金（资产组合）。</w:t>
            </w:r>
          </w:p>
        </w:tc>
      </w:tr>
      <w:tr w14:paraId="3BFE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E9A0CF9">
            <w:pPr>
              <w:jc w:val="left"/>
              <w:rPr>
                <w:rFonts w:ascii="宋体" w:hAnsi="宋体" w:cs="宋体"/>
              </w:rPr>
            </w:pPr>
            <w:r>
              <w:rPr>
                <w:rFonts w:hint="eastAsia" w:ascii="宋体" w:hAnsi="宋体" w:cs="宋体"/>
              </w:rPr>
              <w:t>风险补偿</w:t>
            </w:r>
          </w:p>
        </w:tc>
        <w:tc>
          <w:tcPr>
            <w:tcW w:w="4359" w:type="pct"/>
          </w:tcPr>
          <w:p w14:paraId="2A06F74B">
            <w:pPr>
              <w:jc w:val="left"/>
              <w:rPr>
                <w:rFonts w:ascii="宋体" w:hAnsi="宋体" w:cs="宋体"/>
              </w:rPr>
            </w:pPr>
            <w:r>
              <w:rPr>
                <w:rFonts w:hint="eastAsia" w:ascii="宋体" w:hAnsi="宋体" w:cs="宋体"/>
              </w:rPr>
              <w:t>企业对风险可能造成的损失采取适当的措施进行补偿，形式包括财务补偿、人力补偿、物资补偿。常见的财务补偿包括企业自身的风险准备金或应急资本等。</w:t>
            </w:r>
          </w:p>
        </w:tc>
      </w:tr>
      <w:tr w14:paraId="4913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3952B7B">
            <w:pPr>
              <w:jc w:val="left"/>
              <w:rPr>
                <w:rFonts w:ascii="宋体" w:hAnsi="宋体" w:cs="宋体"/>
              </w:rPr>
            </w:pPr>
            <w:r>
              <w:rPr>
                <w:rFonts w:hint="eastAsia" w:ascii="宋体" w:hAnsi="宋体" w:cs="宋体"/>
              </w:rPr>
              <w:t>风险控制</w:t>
            </w:r>
          </w:p>
        </w:tc>
        <w:tc>
          <w:tcPr>
            <w:tcW w:w="4359" w:type="pct"/>
          </w:tcPr>
          <w:p w14:paraId="14D94AD2">
            <w:pPr>
              <w:jc w:val="left"/>
              <w:rPr>
                <w:rFonts w:ascii="宋体" w:hAnsi="宋体" w:cs="宋体"/>
              </w:rPr>
            </w:pPr>
            <w:r>
              <w:rPr>
                <w:rFonts w:hint="eastAsia" w:ascii="宋体" w:hAnsi="宋体" w:cs="宋体"/>
              </w:rPr>
              <w:t>指控制风险事件发生的动因、环境、条件等，达到减轻风险事件发生时的损失，风险控制对象一般是可控风险。</w:t>
            </w:r>
          </w:p>
        </w:tc>
      </w:tr>
    </w:tbl>
    <w:p w14:paraId="137C0E0D">
      <w:pPr>
        <w:jc w:val="left"/>
        <w:rPr>
          <w:rFonts w:ascii="宋体" w:hAnsi="宋体" w:cs="宋体"/>
          <w:color w:val="FF0000"/>
        </w:rPr>
      </w:pPr>
      <w:r>
        <w:rPr>
          <w:rFonts w:hint="eastAsia" w:ascii="宋体" w:hAnsi="宋体" w:cs="宋体"/>
          <w:color w:val="FF0000"/>
        </w:rPr>
        <w:t>【知识点12】证券资产组合风险即衡量——相关系数</w:t>
      </w:r>
    </w:p>
    <w:p w14:paraId="0145B293">
      <w:pPr>
        <w:jc w:val="left"/>
        <w:rPr>
          <w:rFonts w:ascii="宋体" w:hAnsi="宋体" w:cs="宋体"/>
        </w:rPr>
      </w:pPr>
      <w:r>
        <w:rPr>
          <w:rFonts w:hint="eastAsia" w:ascii="宋体" w:hAnsi="宋体" w:cs="宋体"/>
        </w:rPr>
        <w:t>（1）当相关系数为最大值1时，此时组合的风险等于组合中各项资产风险的加权平均值。</w:t>
      </w:r>
    </w:p>
    <w:p w14:paraId="3EECF5F3">
      <w:pPr>
        <w:jc w:val="left"/>
        <w:rPr>
          <w:rFonts w:ascii="宋体" w:hAnsi="宋体" w:cs="宋体"/>
        </w:rPr>
      </w:pPr>
      <w:r>
        <w:rPr>
          <w:rFonts w:hint="eastAsia" w:ascii="宋体" w:hAnsi="宋体" w:cs="宋体"/>
        </w:rPr>
        <w:t>（2）当相关系数为最小值-1时，两者之间的风险可以充分地抵消。这样的资产组合就可以最大程度地抵消风险。</w:t>
      </w:r>
    </w:p>
    <w:p w14:paraId="5FC3D1DD">
      <w:pPr>
        <w:jc w:val="left"/>
        <w:rPr>
          <w:rFonts w:ascii="宋体" w:hAnsi="宋体" w:cs="宋体"/>
        </w:rPr>
      </w:pPr>
      <w:r>
        <w:rPr>
          <w:rFonts w:hint="eastAsia" w:ascii="宋体" w:hAnsi="宋体" w:cs="宋体"/>
        </w:rPr>
        <w:t>（3）当相关系数小于1且大于-1时，资产组合可以分散风险，但不能完全消除风险。</w:t>
      </w:r>
    </w:p>
    <w:p w14:paraId="79F6D1FF">
      <w:pPr>
        <w:jc w:val="left"/>
        <w:rPr>
          <w:rFonts w:ascii="宋体" w:hAnsi="宋体" w:cs="宋体"/>
          <w:color w:val="FF0000"/>
        </w:rPr>
      </w:pPr>
      <w:r>
        <w:rPr>
          <w:rFonts w:hint="eastAsia" w:ascii="宋体" w:hAnsi="宋体" w:cs="宋体"/>
          <w:color w:val="FF0000"/>
        </w:rPr>
        <w:t>【知识点13】系统风险和非系统风险</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7"/>
        <w:gridCol w:w="5068"/>
      </w:tblGrid>
      <w:tr w14:paraId="677B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06539C81">
            <w:pPr>
              <w:jc w:val="left"/>
              <w:rPr>
                <w:rFonts w:ascii="宋体" w:hAnsi="宋体" w:cs="宋体"/>
              </w:rPr>
            </w:pPr>
            <w:r>
              <w:rPr>
                <w:rFonts w:hint="eastAsia" w:ascii="宋体" w:hAnsi="宋体" w:cs="宋体"/>
              </w:rPr>
              <w:t>系统风险</w:t>
            </w:r>
          </w:p>
        </w:tc>
        <w:tc>
          <w:tcPr>
            <w:tcW w:w="2500" w:type="pct"/>
          </w:tcPr>
          <w:p w14:paraId="5FBFF749">
            <w:pPr>
              <w:jc w:val="left"/>
              <w:rPr>
                <w:rFonts w:ascii="宋体" w:hAnsi="宋体" w:cs="宋体"/>
              </w:rPr>
            </w:pPr>
            <w:r>
              <w:rPr>
                <w:rFonts w:hint="eastAsia" w:ascii="宋体" w:hAnsi="宋体" w:cs="宋体"/>
              </w:rPr>
              <w:t>市场风险、不可分散风险</w:t>
            </w:r>
          </w:p>
        </w:tc>
      </w:tr>
      <w:tr w14:paraId="1826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EC44081">
            <w:pPr>
              <w:jc w:val="left"/>
              <w:rPr>
                <w:rFonts w:ascii="宋体" w:hAnsi="宋体" w:cs="宋体"/>
              </w:rPr>
            </w:pPr>
            <w:r>
              <w:rPr>
                <w:rFonts w:hint="eastAsia" w:ascii="宋体" w:hAnsi="宋体" w:cs="宋体"/>
              </w:rPr>
              <w:t>非系统风险</w:t>
            </w:r>
          </w:p>
        </w:tc>
        <w:tc>
          <w:tcPr>
            <w:tcW w:w="2500" w:type="pct"/>
          </w:tcPr>
          <w:p w14:paraId="0240DF2C">
            <w:pPr>
              <w:jc w:val="left"/>
              <w:rPr>
                <w:rFonts w:ascii="宋体" w:hAnsi="宋体" w:cs="宋体"/>
              </w:rPr>
            </w:pPr>
            <w:r>
              <w:rPr>
                <w:rFonts w:hint="eastAsia" w:ascii="宋体" w:hAnsi="宋体" w:cs="宋体"/>
              </w:rPr>
              <w:t>公司风险、特有风险、可分散风险</w:t>
            </w:r>
          </w:p>
        </w:tc>
      </w:tr>
    </w:tbl>
    <w:p w14:paraId="1C2FEF11">
      <w:pPr>
        <w:jc w:val="left"/>
        <w:rPr>
          <w:rFonts w:hint="eastAsia" w:ascii="宋体" w:hAnsi="宋体" w:cs="宋体"/>
          <w:color w:val="FF0000"/>
        </w:rPr>
      </w:pPr>
      <w:r>
        <w:rPr>
          <w:rFonts w:hint="eastAsia" w:ascii="宋体" w:hAnsi="宋体" w:cs="宋体"/>
          <w:color w:val="FF0000"/>
        </w:rPr>
        <w:t>【知识点14】β系数</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8110"/>
      </w:tblGrid>
      <w:tr w14:paraId="41D7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1695BEC">
            <w:pPr>
              <w:jc w:val="left"/>
              <w:rPr>
                <w:rFonts w:ascii="宋体" w:hAnsi="宋体" w:cs="宋体"/>
              </w:rPr>
            </w:pPr>
            <w:r>
              <w:rPr>
                <w:rFonts w:hint="eastAsia" w:ascii="宋体" w:hAnsi="宋体" w:cs="宋体"/>
              </w:rPr>
              <w:t>单项资产β系数</w:t>
            </w:r>
          </w:p>
        </w:tc>
        <w:tc>
          <w:tcPr>
            <w:tcW w:w="4001" w:type="pct"/>
          </w:tcPr>
          <w:p w14:paraId="04B5F0BF">
            <w:pPr>
              <w:numPr>
                <w:ilvl w:val="0"/>
                <w:numId w:val="1"/>
              </w:numPr>
              <w:jc w:val="left"/>
              <w:rPr>
                <w:rFonts w:ascii="宋体" w:hAnsi="宋体" w:cs="宋体"/>
              </w:rPr>
            </w:pPr>
            <w:r>
              <w:rPr>
                <w:rFonts w:hint="eastAsia" w:ascii="宋体" w:hAnsi="宋体" w:cs="宋体"/>
              </w:rPr>
              <w:t>当β=1时，表示该单项资产的收益率与市场平均收益率呈相同方向、相同比例的变化，其系统风险与市场组合的风险情况一致；</w:t>
            </w:r>
          </w:p>
          <w:p w14:paraId="615BBBFA">
            <w:pPr>
              <w:numPr>
                <w:ilvl w:val="0"/>
                <w:numId w:val="1"/>
              </w:numPr>
              <w:jc w:val="left"/>
              <w:rPr>
                <w:rFonts w:ascii="宋体" w:hAnsi="宋体" w:cs="宋体"/>
              </w:rPr>
            </w:pPr>
            <w:r>
              <w:rPr>
                <w:rFonts w:hint="eastAsia" w:ascii="宋体" w:hAnsi="宋体" w:cs="宋体"/>
              </w:rPr>
              <w:t>如果β＞1，说明该单项资产的系统风险大于整个市场组合的风险；</w:t>
            </w:r>
          </w:p>
          <w:p w14:paraId="38A45281">
            <w:pPr>
              <w:numPr>
                <w:ilvl w:val="0"/>
                <w:numId w:val="1"/>
              </w:numPr>
              <w:jc w:val="left"/>
              <w:rPr>
                <w:rFonts w:ascii="宋体" w:hAnsi="宋体" w:cs="宋体"/>
              </w:rPr>
            </w:pPr>
            <w:r>
              <w:rPr>
                <w:rFonts w:hint="eastAsia" w:ascii="宋体" w:hAnsi="宋体" w:cs="宋体"/>
              </w:rPr>
              <w:t>如果β＜1，说明该单项资产的系统风险小于整个市场组合的风险。</w:t>
            </w:r>
          </w:p>
        </w:tc>
      </w:tr>
      <w:tr w14:paraId="11EC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F79F9A3">
            <w:pPr>
              <w:jc w:val="left"/>
              <w:rPr>
                <w:rFonts w:ascii="宋体" w:hAnsi="宋体" w:cs="宋体"/>
              </w:rPr>
            </w:pPr>
            <w:r>
              <w:rPr>
                <w:rFonts w:hint="eastAsia" w:ascii="宋体" w:hAnsi="宋体" w:cs="宋体"/>
              </w:rPr>
              <w:t>资产组合β系数</w:t>
            </w:r>
          </w:p>
        </w:tc>
        <w:tc>
          <w:tcPr>
            <w:tcW w:w="4001" w:type="pct"/>
          </w:tcPr>
          <w:p w14:paraId="197364EF">
            <w:pPr>
              <w:jc w:val="left"/>
              <w:rPr>
                <w:rFonts w:ascii="宋体" w:hAnsi="宋体" w:cs="宋体"/>
              </w:rPr>
            </w:pPr>
            <w:r>
              <w:rPr>
                <w:rFonts w:hint="eastAsia" w:ascii="宋体" w:hAnsi="宋体" w:cs="宋体"/>
              </w:rPr>
              <w:t>组合内各项资产β系数的加权平均值。</w:t>
            </w:r>
          </w:p>
        </w:tc>
      </w:tr>
    </w:tbl>
    <w:p w14:paraId="2AA4DD38">
      <w:pPr>
        <w:jc w:val="left"/>
        <w:rPr>
          <w:rFonts w:ascii="宋体" w:hAnsi="宋体" w:cs="宋体"/>
          <w:color w:val="FF0000"/>
        </w:rPr>
      </w:pPr>
      <w:r>
        <w:rPr>
          <w:rFonts w:hint="eastAsia" w:ascii="宋体" w:hAnsi="宋体" w:cs="宋体"/>
          <w:color w:val="FF0000"/>
        </w:rPr>
        <w:t>【知识点15】资本资产定价模型</w:t>
      </w:r>
    </w:p>
    <w:p w14:paraId="2566695E">
      <w:pPr>
        <w:jc w:val="left"/>
        <w:rPr>
          <w:rFonts w:ascii="宋体" w:hAnsi="宋体" w:cs="宋体"/>
        </w:rPr>
      </w:pPr>
      <w:r>
        <w:rPr>
          <w:rFonts w:hint="eastAsia" w:ascii="宋体" w:hAnsi="宋体" w:cs="宋体"/>
        </w:rPr>
        <w:t>某项资产的必要收益率＝无风险收益率＋风险收益率</w:t>
      </w:r>
    </w:p>
    <w:p w14:paraId="7C728DCE">
      <w:pPr>
        <w:jc w:val="left"/>
        <w:rPr>
          <w:rFonts w:ascii="宋体" w:hAnsi="宋体" w:cs="宋体"/>
        </w:rPr>
      </w:pPr>
      <w:r>
        <w:rPr>
          <w:rFonts w:hint="eastAsia" w:ascii="宋体" w:hAnsi="宋体" w:cs="宋体"/>
        </w:rPr>
        <w:t>＝无风险收益率＋β×（市场组合的平均收益率－无风险收益率）</w:t>
      </w:r>
    </w:p>
    <w:p w14:paraId="08CF7CDA">
      <w:pPr>
        <w:jc w:val="left"/>
        <w:rPr>
          <w:rFonts w:hint="eastAsia" w:ascii="宋体" w:hAnsi="宋体" w:cs="宋体"/>
        </w:rPr>
      </w:pPr>
      <w:r>
        <w:rPr>
          <w:rFonts w:hint="eastAsia" w:ascii="宋体" w:hAnsi="宋体" w:cs="宋体"/>
        </w:rPr>
        <w:drawing>
          <wp:inline distT="0" distB="0" distL="114300" distR="114300">
            <wp:extent cx="2353310" cy="382270"/>
            <wp:effectExtent l="0" t="0" r="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BEBA8EAE-BF5A-486C-A8C5-ECC9F3942E4B}">
                          <a14:imgProps xmlns:a14="http://schemas.microsoft.com/office/drawing/2010/main">
                            <a14:imgLayer r:embed="rId15">
                              <a14:imgEffect>
                                <a14:brightnessContrast bright="-100000" contrast="-28000"/>
                              </a14:imgEffect>
                            </a14:imgLayer>
                          </a14:imgProps>
                        </a:ext>
                      </a:extLst>
                    </a:blip>
                    <a:stretch>
                      <a:fillRect/>
                    </a:stretch>
                  </pic:blipFill>
                  <pic:spPr>
                    <a:xfrm>
                      <a:off x="0" y="0"/>
                      <a:ext cx="2388790" cy="388024"/>
                    </a:xfrm>
                    <a:prstGeom prst="rect">
                      <a:avLst/>
                    </a:prstGeom>
                    <a:noFill/>
                    <a:ln>
                      <a:noFill/>
                    </a:ln>
                  </pic:spPr>
                </pic:pic>
              </a:graphicData>
            </a:graphic>
          </wp:inline>
        </w:drawing>
      </w:r>
    </w:p>
    <w:p w14:paraId="6F37BC96">
      <w:pPr>
        <w:jc w:val="left"/>
        <w:rPr>
          <w:rFonts w:ascii="宋体" w:hAnsi="宋体" w:cs="宋体"/>
        </w:rPr>
      </w:pPr>
      <w:r>
        <w:rPr>
          <w:rFonts w:hint="eastAsia" w:ascii="宋体" w:hAnsi="宋体" w:cs="宋体"/>
        </w:rPr>
        <w:t>1. Rf 无风险收益率</w:t>
      </w:r>
    </w:p>
    <w:p w14:paraId="260A8707">
      <w:pPr>
        <w:jc w:val="left"/>
        <w:rPr>
          <w:rFonts w:ascii="宋体" w:hAnsi="宋体" w:cs="宋体"/>
        </w:rPr>
      </w:pPr>
      <w:r>
        <w:rPr>
          <w:rFonts w:hint="eastAsia" w:ascii="宋体" w:hAnsi="宋体" w:cs="宋体"/>
        </w:rPr>
        <w:t>2. β×（Rm－Rf）某资产的风险收益率</w:t>
      </w:r>
    </w:p>
    <w:p w14:paraId="74823016">
      <w:pPr>
        <w:jc w:val="left"/>
        <w:rPr>
          <w:rFonts w:ascii="宋体" w:hAnsi="宋体" w:cs="宋体"/>
        </w:rPr>
      </w:pPr>
      <w:r>
        <w:rPr>
          <w:rFonts w:hint="eastAsia" w:ascii="宋体" w:hAnsi="宋体" w:cs="宋体"/>
        </w:rPr>
        <w:t>3.Rm表示市场组合收益率，还可以称为平均风险资产的必要收益率、市场组合的必要收益率等等。</w:t>
      </w:r>
    </w:p>
    <w:p w14:paraId="4343ADF9">
      <w:pPr>
        <w:jc w:val="left"/>
        <w:rPr>
          <w:rFonts w:ascii="宋体" w:hAnsi="宋体" w:cs="宋体"/>
        </w:rPr>
      </w:pPr>
      <w:r>
        <w:rPr>
          <w:rFonts w:hint="eastAsia" w:ascii="宋体" w:hAnsi="宋体" w:cs="宋体"/>
        </w:rPr>
        <w:t xml:space="preserve">4.（Rm－Rf）称为市场风险溢酬，也可以称为市场组合的风险收益率或股票市场的风险收益率、平均风险的风险收益率。 </w:t>
      </w:r>
    </w:p>
    <w:p w14:paraId="6620D586">
      <w:pPr>
        <w:jc w:val="left"/>
        <w:rPr>
          <w:rFonts w:ascii="宋体" w:hAnsi="宋体" w:cs="宋体"/>
        </w:rPr>
      </w:pPr>
      <w:r>
        <w:rPr>
          <w:rFonts w:hint="eastAsia" w:ascii="宋体" w:hAnsi="宋体" w:cs="宋体"/>
        </w:rPr>
        <w:t>5. 资本资产定价模型中，计算风险收益率时只考虑系统风险，不考虑非系统风险，因为非系统风险可以通过资产组合消除，理性投资者都会选择充分投资组合，非系统风险与资本市场无关，资本市场不会对非系统风险给予任何补偿。</w:t>
      </w:r>
    </w:p>
    <w:p w14:paraId="71A5835A">
      <w:pPr>
        <w:jc w:val="left"/>
        <w:rPr>
          <w:rFonts w:ascii="宋体" w:hAnsi="宋体" w:cs="宋体"/>
        </w:rPr>
      </w:pPr>
      <w:r>
        <w:rPr>
          <w:rFonts w:hint="eastAsia" w:ascii="宋体" w:hAnsi="宋体" w:cs="宋体"/>
        </w:rPr>
        <w:t>6. 资本资产定价模型对于任何公司、任何资产、资产组合都适用</w:t>
      </w:r>
    </w:p>
    <w:p w14:paraId="7D2B8873">
      <w:pPr>
        <w:jc w:val="left"/>
        <w:rPr>
          <w:rFonts w:ascii="宋体" w:hAnsi="宋体" w:cs="宋体"/>
          <w:color w:val="FF0000"/>
        </w:rPr>
      </w:pPr>
      <w:r>
        <w:rPr>
          <w:rFonts w:hint="eastAsia" w:ascii="宋体" w:hAnsi="宋体" w:cs="宋体"/>
          <w:color w:val="FF0000"/>
        </w:rPr>
        <w:t>【知识点16】成本性态概念及分类</w:t>
      </w:r>
    </w:p>
    <w:p w14:paraId="0788024D">
      <w:pPr>
        <w:jc w:val="left"/>
        <w:rPr>
          <w:rFonts w:ascii="宋体" w:hAnsi="宋体" w:cs="宋体"/>
        </w:rPr>
      </w:pPr>
      <w:r>
        <w:rPr>
          <w:rFonts w:hint="eastAsia" w:ascii="宋体" w:hAnsi="宋体" w:cs="宋体"/>
          <w:color w:val="FF0000"/>
        </w:rPr>
        <w:t>（一）固定成本：</w:t>
      </w:r>
      <w:r>
        <w:rPr>
          <w:rFonts w:hint="eastAsia" w:ascii="宋体" w:hAnsi="宋体" w:cs="宋体"/>
        </w:rPr>
        <w:t>固定成本总额不因业务量的变动而变动，但单位固定成本（单位业务量负担的固定成本）会与业务量的增减呈反向变动。</w:t>
      </w:r>
    </w:p>
    <w:p w14:paraId="291B4E36">
      <w:pPr>
        <w:jc w:val="left"/>
        <w:rPr>
          <w:rFonts w:ascii="宋体" w:hAnsi="宋体" w:cs="宋体"/>
        </w:rPr>
      </w:pPr>
      <w:r>
        <w:rPr>
          <w:rFonts w:hint="eastAsia" w:ascii="宋体" w:hAnsi="宋体" w:cs="宋体"/>
          <w:color w:val="FF0000"/>
        </w:rPr>
        <w:t>分类：</w:t>
      </w:r>
      <w:r>
        <w:rPr>
          <w:rFonts w:hint="eastAsia" w:ascii="宋体" w:hAnsi="宋体" w:cs="宋体"/>
        </w:rPr>
        <w:t>（1）约束性（降低途径是合理利用生产能力）；（2）酌量性（广告费、职工培训费、研究开发费，降低途径是预算控制）</w:t>
      </w:r>
    </w:p>
    <w:p w14:paraId="2D7AF905">
      <w:pPr>
        <w:jc w:val="left"/>
        <w:rPr>
          <w:rFonts w:ascii="宋体" w:hAnsi="宋体" w:cs="宋体"/>
        </w:rPr>
      </w:pPr>
      <w:r>
        <w:rPr>
          <w:rFonts w:hint="eastAsia" w:ascii="宋体" w:hAnsi="宋体" w:cs="宋体"/>
          <w:color w:val="FF0000"/>
        </w:rPr>
        <w:t>（二）变动成本：</w:t>
      </w:r>
      <w:r>
        <w:rPr>
          <w:rFonts w:hint="eastAsia" w:ascii="宋体" w:hAnsi="宋体" w:cs="宋体"/>
        </w:rPr>
        <w:t>变动成本总额因业务量的变动而成正比例变动，但单位变动成本（单位业务量负担的变动成本）不变。</w:t>
      </w:r>
    </w:p>
    <w:p w14:paraId="77D4460D">
      <w:pPr>
        <w:jc w:val="left"/>
        <w:rPr>
          <w:rFonts w:ascii="宋体" w:hAnsi="宋体" w:cs="宋体"/>
        </w:rPr>
      </w:pPr>
      <w:r>
        <w:rPr>
          <w:rFonts w:hint="eastAsia" w:ascii="宋体" w:hAnsi="宋体" w:cs="宋体"/>
          <w:color w:val="FF0000"/>
        </w:rPr>
        <w:t>分类：</w:t>
      </w:r>
      <w:r>
        <w:rPr>
          <w:rFonts w:hint="eastAsia" w:ascii="宋体" w:hAnsi="宋体" w:cs="宋体"/>
        </w:rPr>
        <w:t>（1）技术性（约束性）；（2）酌量性（销售佣金、新产品研制费、技术转让费，单位变动成本可以改变）</w:t>
      </w:r>
    </w:p>
    <w:p w14:paraId="64F7E23A">
      <w:pPr>
        <w:jc w:val="left"/>
        <w:rPr>
          <w:rFonts w:ascii="宋体" w:hAnsi="宋体" w:cs="宋体"/>
        </w:rPr>
      </w:pPr>
      <w:r>
        <w:rPr>
          <w:rFonts w:hint="eastAsia" w:ascii="宋体" w:hAnsi="宋体" w:cs="宋体"/>
          <w:color w:val="FF0000"/>
        </w:rPr>
        <w:t>（三）混合成本：</w:t>
      </w:r>
      <w:r>
        <w:rPr>
          <w:rFonts w:hint="eastAsia" w:ascii="宋体" w:hAnsi="宋体" w:cs="宋体"/>
        </w:rPr>
        <w:t>混合成本兼有固定与变动两种性质</w:t>
      </w:r>
    </w:p>
    <w:p w14:paraId="5994BAAC">
      <w:pPr>
        <w:jc w:val="left"/>
        <w:rPr>
          <w:rFonts w:ascii="宋体" w:hAnsi="宋体" w:cs="宋体"/>
        </w:rPr>
      </w:pPr>
      <w:r>
        <w:rPr>
          <w:rFonts w:hint="eastAsia" w:ascii="宋体" w:hAnsi="宋体" w:cs="宋体"/>
          <w:color w:val="FF0000"/>
        </w:rPr>
        <w:t>分类：</w:t>
      </w:r>
      <w:r>
        <w:rPr>
          <w:rFonts w:hint="eastAsia" w:ascii="宋体" w:hAnsi="宋体" w:cs="宋体"/>
        </w:rPr>
        <w:t>（1）半变动（固定成本＋变动成本，eg：固定电话费）</w:t>
      </w:r>
    </w:p>
    <w:p w14:paraId="28D178A0">
      <w:pPr>
        <w:jc w:val="left"/>
        <w:rPr>
          <w:rFonts w:ascii="宋体" w:hAnsi="宋体" w:cs="宋体"/>
        </w:rPr>
      </w:pPr>
      <w:r>
        <w:rPr>
          <w:rFonts w:hint="eastAsia" w:ascii="宋体" w:hAnsi="宋体" w:cs="宋体"/>
        </w:rPr>
        <w:t>（2）延期变动（一定范围内为固定成本，超出此范围的部分为变动成本，eg：职工的基本工资，在正常工作时间情况下是不变的；如果工作时间超出正常标准，则需按加班时间的长短成比例地支付加班薪金；手机流量费）</w:t>
      </w:r>
    </w:p>
    <w:p w14:paraId="3DD5F970">
      <w:pPr>
        <w:jc w:val="left"/>
        <w:rPr>
          <w:rFonts w:ascii="宋体" w:hAnsi="宋体" w:cs="宋体"/>
        </w:rPr>
      </w:pPr>
      <w:r>
        <w:rPr>
          <w:rFonts w:hint="eastAsia" w:ascii="宋体" w:hAnsi="宋体" w:cs="宋体"/>
        </w:rPr>
        <w:t>（3）半固定（企业的管理员、运货员、检验员的工资等）、</w:t>
      </w:r>
    </w:p>
    <w:p w14:paraId="71391043">
      <w:pPr>
        <w:jc w:val="left"/>
        <w:rPr>
          <w:rFonts w:ascii="宋体" w:hAnsi="宋体" w:cs="宋体"/>
        </w:rPr>
      </w:pPr>
      <w:r>
        <w:rPr>
          <w:rFonts w:hint="eastAsia" w:ascii="宋体" w:hAnsi="宋体" w:cs="宋体"/>
        </w:rPr>
        <w:t>（4）曲线变动（递增曲线成本和递减曲线成本）</w:t>
      </w:r>
    </w:p>
    <w:p w14:paraId="53FB0722">
      <w:pPr>
        <w:jc w:val="left"/>
        <w:rPr>
          <w:rFonts w:ascii="宋体" w:hAnsi="宋体" w:cs="宋体"/>
          <w:color w:val="FF0000"/>
        </w:rPr>
      </w:pPr>
      <w:r>
        <w:rPr>
          <w:rFonts w:hint="eastAsia" w:ascii="宋体" w:hAnsi="宋体" w:cs="宋体"/>
          <w:color w:val="FF0000"/>
        </w:rPr>
        <w:t>【知识点17】混合成本分解</w:t>
      </w:r>
    </w:p>
    <w:p w14:paraId="6BEB2DC4">
      <w:pPr>
        <w:jc w:val="left"/>
        <w:rPr>
          <w:rFonts w:ascii="宋体" w:hAnsi="宋体" w:cs="宋体"/>
        </w:rPr>
      </w:pPr>
      <w:r>
        <w:rPr>
          <w:rFonts w:hint="eastAsia" w:ascii="宋体" w:hAnsi="宋体" w:cs="宋体"/>
        </w:rPr>
        <w:t>（1）高低点法——高低点是两个业务量水平；</w:t>
      </w:r>
    </w:p>
    <w:p w14:paraId="72851FCD">
      <w:pPr>
        <w:jc w:val="left"/>
        <w:rPr>
          <w:rFonts w:ascii="宋体" w:hAnsi="宋体" w:cs="宋体"/>
        </w:rPr>
      </w:pPr>
      <w:r>
        <w:rPr>
          <w:rFonts w:hint="eastAsia" w:ascii="宋体" w:hAnsi="宋体" w:cs="宋体"/>
        </w:rPr>
        <w:t>（2）回归分析法：较为精确</w:t>
      </w:r>
    </w:p>
    <w:p w14:paraId="3F34990E">
      <w:pPr>
        <w:jc w:val="left"/>
        <w:rPr>
          <w:rFonts w:ascii="宋体" w:hAnsi="宋体" w:cs="宋体"/>
        </w:rPr>
      </w:pPr>
      <w:r>
        <w:rPr>
          <w:rFonts w:hint="eastAsia" w:ascii="宋体" w:hAnsi="宋体" w:cs="宋体"/>
          <w:color w:val="FF0000"/>
        </w:rPr>
        <w:t>【提示】</w:t>
      </w:r>
      <w:r>
        <w:rPr>
          <w:rFonts w:hint="eastAsia" w:ascii="宋体" w:hAnsi="宋体" w:cs="宋体"/>
        </w:rPr>
        <w:t xml:space="preserve">高低点法和回归分析法需要有历史成本资料 </w:t>
      </w:r>
    </w:p>
    <w:p w14:paraId="78D033CC">
      <w:pPr>
        <w:jc w:val="left"/>
        <w:rPr>
          <w:rFonts w:ascii="宋体" w:hAnsi="宋体" w:cs="宋体"/>
        </w:rPr>
      </w:pPr>
      <w:r>
        <w:rPr>
          <w:rFonts w:hint="eastAsia" w:ascii="宋体" w:hAnsi="宋体" w:cs="宋体"/>
        </w:rPr>
        <w:t>（3）账户分析法：简便易行，比较粗糙且带有主观判断</w:t>
      </w:r>
    </w:p>
    <w:p w14:paraId="7EA887CD">
      <w:pPr>
        <w:jc w:val="left"/>
        <w:rPr>
          <w:rFonts w:ascii="宋体" w:hAnsi="宋体" w:cs="宋体"/>
        </w:rPr>
      </w:pPr>
      <w:r>
        <w:rPr>
          <w:rFonts w:hint="eastAsia" w:ascii="宋体" w:hAnsi="宋体" w:cs="宋体"/>
        </w:rPr>
        <w:t>（4）技术测定法：适用于投入成本与产出数量之间有规律性联系的成本分解</w:t>
      </w:r>
    </w:p>
    <w:p w14:paraId="54A46621">
      <w:pPr>
        <w:jc w:val="left"/>
        <w:rPr>
          <w:rFonts w:hint="eastAsia" w:ascii="宋体" w:hAnsi="宋体" w:cs="宋体"/>
        </w:rPr>
      </w:pPr>
      <w:r>
        <w:rPr>
          <w:rFonts w:hint="eastAsia" w:ascii="宋体" w:hAnsi="宋体" w:cs="宋体"/>
        </w:rPr>
        <w:t>（5）合同确认法：配合账户分析法使用</w:t>
      </w:r>
    </w:p>
    <w:p w14:paraId="150B3722">
      <w:pPr>
        <w:overflowPunct w:val="0"/>
        <w:jc w:val="center"/>
        <w:rPr>
          <w:rFonts w:ascii="宋体" w:hAnsi="宋体" w:cs="宋体"/>
          <w:b/>
          <w:bCs/>
        </w:rPr>
      </w:pPr>
      <w:r>
        <w:rPr>
          <w:rFonts w:hint="eastAsia" w:ascii="宋体" w:hAnsi="宋体" w:cs="宋体"/>
          <w:b/>
          <w:bCs/>
        </w:rPr>
        <w:t>第三章  预算管理</w:t>
      </w:r>
    </w:p>
    <w:p w14:paraId="750642A3">
      <w:pPr>
        <w:jc w:val="left"/>
        <w:rPr>
          <w:rFonts w:ascii="宋体" w:hAnsi="宋体" w:cs="宋体"/>
        </w:rPr>
      </w:pPr>
      <w:r>
        <w:rPr>
          <w:rFonts w:hint="eastAsia" w:ascii="宋体" w:hAnsi="宋体" w:cs="宋体"/>
          <w:color w:val="FF0000"/>
        </w:rPr>
        <w:t>【考情分析】</w:t>
      </w:r>
      <w:r>
        <w:rPr>
          <w:rFonts w:hint="eastAsia" w:ascii="宋体" w:hAnsi="宋体" w:cs="宋体"/>
        </w:rPr>
        <w:t>预测2024年分值在8～10分左右。</w:t>
      </w:r>
    </w:p>
    <w:p w14:paraId="1B94EBCF">
      <w:pPr>
        <w:jc w:val="left"/>
        <w:rPr>
          <w:rFonts w:ascii="宋体" w:hAnsi="宋体" w:cs="宋体"/>
        </w:rPr>
      </w:pPr>
      <w:r>
        <w:rPr>
          <w:rFonts w:ascii="宋体" w:hAnsi="宋体" w:cs="宋体"/>
        </w:rPr>
        <w:drawing>
          <wp:inline distT="0" distB="0" distL="0" distR="0">
            <wp:extent cx="4571365" cy="2377440"/>
            <wp:effectExtent l="0" t="0" r="635" b="3810"/>
            <wp:docPr id="359289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89588"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2240" cy="2404068"/>
                    </a:xfrm>
                    <a:prstGeom prst="rect">
                      <a:avLst/>
                    </a:prstGeom>
                  </pic:spPr>
                </pic:pic>
              </a:graphicData>
            </a:graphic>
          </wp:inline>
        </w:drawing>
      </w:r>
    </w:p>
    <w:p w14:paraId="2AB15943">
      <w:pPr>
        <w:jc w:val="left"/>
        <w:rPr>
          <w:rFonts w:ascii="宋体" w:hAnsi="宋体" w:cs="宋体"/>
          <w:color w:val="FF0000"/>
        </w:rPr>
      </w:pPr>
      <w:r>
        <w:rPr>
          <w:rFonts w:hint="eastAsia" w:ascii="宋体" w:hAnsi="宋体" w:cs="宋体"/>
          <w:color w:val="FF0000"/>
        </w:rPr>
        <w:t>【知识点1】预算分类及体系</w:t>
      </w:r>
    </w:p>
    <w:p w14:paraId="36CA1739">
      <w:pPr>
        <w:jc w:val="left"/>
        <w:rPr>
          <w:rFonts w:ascii="宋体" w:hAnsi="宋体" w:cs="宋体"/>
        </w:rPr>
      </w:pPr>
      <w:r>
        <w:rPr>
          <w:rFonts w:ascii="宋体" w:hAnsi="宋体" w:cs="宋体"/>
        </w:rPr>
        <w:drawing>
          <wp:inline distT="0" distB="0" distL="0" distR="0">
            <wp:extent cx="5006340" cy="2253615"/>
            <wp:effectExtent l="0" t="0" r="3810" b="13335"/>
            <wp:docPr id="1598902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0251" name="图片 2"/>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5074460" cy="2284300"/>
                    </a:xfrm>
                    <a:prstGeom prst="rect">
                      <a:avLst/>
                    </a:prstGeom>
                  </pic:spPr>
                </pic:pic>
              </a:graphicData>
            </a:graphic>
          </wp:inline>
        </w:drawing>
      </w:r>
    </w:p>
    <w:p w14:paraId="38C4B717">
      <w:pPr>
        <w:jc w:val="left"/>
        <w:rPr>
          <w:rFonts w:ascii="宋体" w:hAnsi="宋体" w:cs="宋体"/>
          <w:color w:val="FF0000"/>
        </w:rPr>
      </w:pPr>
      <w:r>
        <w:rPr>
          <w:rFonts w:hint="eastAsia" w:ascii="宋体" w:hAnsi="宋体" w:cs="宋体"/>
          <w:color w:val="FF0000"/>
        </w:rPr>
        <w:t>【知识点2】预算编制方法</w:t>
      </w:r>
    </w:p>
    <w:p w14:paraId="20F4234E">
      <w:pPr>
        <w:jc w:val="left"/>
        <w:rPr>
          <w:rFonts w:ascii="宋体" w:hAnsi="宋体" w:cs="宋体"/>
        </w:rPr>
      </w:pPr>
      <w:r>
        <w:rPr>
          <w:rFonts w:hint="eastAsia" w:ascii="宋体" w:hAnsi="宋体" w:cs="宋体"/>
        </w:rPr>
        <w:t>（一）增量预算法与零基预算法</w:t>
      </w:r>
    </w:p>
    <w:p w14:paraId="36B49B3A">
      <w:pPr>
        <w:jc w:val="left"/>
        <w:rPr>
          <w:rFonts w:ascii="宋体" w:hAnsi="宋体" w:cs="宋体"/>
        </w:rPr>
      </w:pPr>
      <w:r>
        <w:rPr>
          <w:rFonts w:hint="eastAsia" w:ascii="宋体" w:hAnsi="宋体" w:cs="宋体"/>
        </w:rPr>
        <w:t>（二）固定预算法与弹性预算法</w:t>
      </w:r>
    </w:p>
    <w:p w14:paraId="71F014E1">
      <w:pPr>
        <w:jc w:val="left"/>
        <w:rPr>
          <w:rFonts w:ascii="宋体" w:hAnsi="宋体" w:cs="宋体"/>
        </w:rPr>
      </w:pPr>
      <w:r>
        <w:rPr>
          <w:rFonts w:hint="eastAsia" w:ascii="宋体" w:hAnsi="宋体" w:cs="宋体"/>
        </w:rPr>
        <w:t>（三）定期预算法与滚动预算法</w:t>
      </w:r>
    </w:p>
    <w:p w14:paraId="6728BD10">
      <w:pPr>
        <w:jc w:val="left"/>
        <w:rPr>
          <w:rFonts w:ascii="宋体" w:hAnsi="宋体" w:cs="宋体"/>
          <w:color w:val="FF0000"/>
        </w:rPr>
      </w:pPr>
      <w:r>
        <w:rPr>
          <w:rFonts w:hint="eastAsia" w:ascii="宋体" w:hAnsi="宋体" w:cs="宋体"/>
          <w:color w:val="FF0000"/>
        </w:rPr>
        <w:t>（一）增量预算与零基预算</w:t>
      </w:r>
    </w:p>
    <w:p w14:paraId="6A6FBE2D">
      <w:pPr>
        <w:jc w:val="left"/>
        <w:rPr>
          <w:rFonts w:ascii="宋体" w:hAnsi="宋体" w:cs="宋体"/>
        </w:rPr>
      </w:pPr>
      <w:r>
        <w:rPr>
          <w:rFonts w:hint="eastAsia" w:ascii="宋体" w:hAnsi="宋体" w:cs="宋体"/>
        </w:rPr>
        <w:t>按其出发点的特征不同，预算编制方法可分为增量预算法和零基预算法。</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726"/>
        <w:gridCol w:w="7964"/>
      </w:tblGrid>
      <w:tr w14:paraId="61E4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19C23F8F">
            <w:pPr>
              <w:jc w:val="left"/>
              <w:rPr>
                <w:rFonts w:ascii="宋体" w:hAnsi="宋体" w:cs="宋体"/>
              </w:rPr>
            </w:pPr>
            <w:r>
              <w:rPr>
                <w:rFonts w:hint="eastAsia" w:ascii="宋体" w:hAnsi="宋体" w:cs="宋体"/>
              </w:rPr>
              <w:t>增量预算法</w:t>
            </w:r>
          </w:p>
        </w:tc>
        <w:tc>
          <w:tcPr>
            <w:tcW w:w="358" w:type="pct"/>
          </w:tcPr>
          <w:p w14:paraId="3D9DE320">
            <w:pPr>
              <w:jc w:val="left"/>
              <w:rPr>
                <w:rFonts w:ascii="宋体" w:hAnsi="宋体" w:cs="宋体"/>
              </w:rPr>
            </w:pPr>
            <w:r>
              <w:rPr>
                <w:rFonts w:hint="eastAsia" w:ascii="宋体" w:hAnsi="宋体" w:cs="宋体"/>
              </w:rPr>
              <w:t>原理</w:t>
            </w:r>
          </w:p>
        </w:tc>
        <w:tc>
          <w:tcPr>
            <w:tcW w:w="3929" w:type="pct"/>
          </w:tcPr>
          <w:p w14:paraId="5A7819D1">
            <w:pPr>
              <w:jc w:val="left"/>
              <w:rPr>
                <w:rFonts w:ascii="宋体" w:hAnsi="宋体" w:cs="宋体"/>
              </w:rPr>
            </w:pPr>
            <w:r>
              <w:rPr>
                <w:rFonts w:hint="eastAsia" w:ascii="宋体" w:hAnsi="宋体" w:cs="宋体"/>
              </w:rPr>
              <w:t>增量预算法以过去的费用发生水平为基础，主张不需在预算内容上作较大的调整。</w:t>
            </w:r>
          </w:p>
        </w:tc>
      </w:tr>
      <w:tr w14:paraId="4E5B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578A23E4">
            <w:pPr>
              <w:jc w:val="left"/>
              <w:rPr>
                <w:rFonts w:ascii="宋体" w:hAnsi="宋体" w:cs="宋体"/>
              </w:rPr>
            </w:pPr>
          </w:p>
        </w:tc>
        <w:tc>
          <w:tcPr>
            <w:tcW w:w="358" w:type="pct"/>
          </w:tcPr>
          <w:p w14:paraId="0F50542C">
            <w:pPr>
              <w:jc w:val="left"/>
              <w:rPr>
                <w:rFonts w:ascii="宋体" w:hAnsi="宋体" w:cs="宋体"/>
              </w:rPr>
            </w:pPr>
            <w:r>
              <w:rPr>
                <w:rFonts w:hint="eastAsia" w:ascii="宋体" w:hAnsi="宋体" w:cs="宋体"/>
              </w:rPr>
              <w:t>假设</w:t>
            </w:r>
          </w:p>
        </w:tc>
        <w:tc>
          <w:tcPr>
            <w:tcW w:w="3929" w:type="pct"/>
          </w:tcPr>
          <w:p w14:paraId="7E7298DB">
            <w:pPr>
              <w:jc w:val="left"/>
              <w:rPr>
                <w:rFonts w:ascii="宋体" w:hAnsi="宋体" w:cs="宋体"/>
              </w:rPr>
            </w:pPr>
            <w:r>
              <w:rPr>
                <w:rFonts w:hint="eastAsia" w:ascii="宋体" w:hAnsi="宋体" w:cs="宋体"/>
              </w:rPr>
              <w:t>业务合理，开支合理</w:t>
            </w:r>
          </w:p>
        </w:tc>
      </w:tr>
      <w:tr w14:paraId="6E01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731F64DC">
            <w:pPr>
              <w:jc w:val="left"/>
              <w:rPr>
                <w:rFonts w:ascii="宋体" w:hAnsi="宋体" w:cs="宋体"/>
              </w:rPr>
            </w:pPr>
          </w:p>
        </w:tc>
        <w:tc>
          <w:tcPr>
            <w:tcW w:w="358" w:type="pct"/>
          </w:tcPr>
          <w:p w14:paraId="2CA51EAE">
            <w:pPr>
              <w:jc w:val="left"/>
              <w:rPr>
                <w:rFonts w:ascii="宋体" w:hAnsi="宋体" w:cs="宋体"/>
              </w:rPr>
            </w:pPr>
            <w:r>
              <w:rPr>
                <w:rFonts w:hint="eastAsia" w:ascii="宋体" w:hAnsi="宋体" w:cs="宋体"/>
              </w:rPr>
              <w:t>优点</w:t>
            </w:r>
          </w:p>
        </w:tc>
        <w:tc>
          <w:tcPr>
            <w:tcW w:w="3929" w:type="pct"/>
          </w:tcPr>
          <w:p w14:paraId="38215A95">
            <w:pPr>
              <w:jc w:val="left"/>
              <w:rPr>
                <w:rFonts w:ascii="宋体" w:hAnsi="宋体" w:cs="宋体"/>
              </w:rPr>
            </w:pPr>
            <w:r>
              <w:rPr>
                <w:rFonts w:hint="eastAsia" w:ascii="宋体" w:hAnsi="宋体" w:cs="宋体"/>
              </w:rPr>
              <w:t>较零基预算法简单，工作量小</w:t>
            </w:r>
          </w:p>
        </w:tc>
      </w:tr>
      <w:tr w14:paraId="0A8E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289AA496">
            <w:pPr>
              <w:jc w:val="left"/>
              <w:rPr>
                <w:rFonts w:ascii="宋体" w:hAnsi="宋体" w:cs="宋体"/>
              </w:rPr>
            </w:pPr>
          </w:p>
        </w:tc>
        <w:tc>
          <w:tcPr>
            <w:tcW w:w="358" w:type="pct"/>
          </w:tcPr>
          <w:p w14:paraId="409BD60F">
            <w:pPr>
              <w:jc w:val="left"/>
              <w:rPr>
                <w:rFonts w:ascii="宋体" w:hAnsi="宋体" w:cs="宋体"/>
              </w:rPr>
            </w:pPr>
            <w:r>
              <w:rPr>
                <w:rFonts w:hint="eastAsia" w:ascii="宋体" w:hAnsi="宋体" w:cs="宋体"/>
              </w:rPr>
              <w:t>缺点</w:t>
            </w:r>
          </w:p>
        </w:tc>
        <w:tc>
          <w:tcPr>
            <w:tcW w:w="3929" w:type="pct"/>
          </w:tcPr>
          <w:p w14:paraId="3B14E3CD">
            <w:pPr>
              <w:jc w:val="left"/>
              <w:rPr>
                <w:rFonts w:ascii="宋体" w:hAnsi="宋体" w:cs="宋体"/>
              </w:rPr>
            </w:pPr>
            <w:r>
              <w:rPr>
                <w:rFonts w:hint="eastAsia" w:ascii="宋体" w:hAnsi="宋体" w:cs="宋体"/>
              </w:rPr>
              <w:t>可能导致无效费用开支无法得到有效控制，使得不必要开支合理化，造成预算上的浪费</w:t>
            </w:r>
          </w:p>
        </w:tc>
      </w:tr>
      <w:tr w14:paraId="6867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2087DA77">
            <w:pPr>
              <w:jc w:val="left"/>
              <w:rPr>
                <w:rFonts w:ascii="宋体" w:hAnsi="宋体" w:cs="宋体"/>
              </w:rPr>
            </w:pPr>
            <w:r>
              <w:rPr>
                <w:rFonts w:hint="eastAsia" w:ascii="宋体" w:hAnsi="宋体" w:cs="宋体"/>
              </w:rPr>
              <w:t>零基预算法</w:t>
            </w:r>
          </w:p>
        </w:tc>
        <w:tc>
          <w:tcPr>
            <w:tcW w:w="358" w:type="pct"/>
          </w:tcPr>
          <w:p w14:paraId="620C66E4">
            <w:pPr>
              <w:jc w:val="left"/>
              <w:rPr>
                <w:rFonts w:ascii="宋体" w:hAnsi="宋体" w:cs="宋体"/>
              </w:rPr>
            </w:pPr>
            <w:r>
              <w:rPr>
                <w:rFonts w:hint="eastAsia" w:ascii="宋体" w:hAnsi="宋体" w:cs="宋体"/>
              </w:rPr>
              <w:t>原理</w:t>
            </w:r>
          </w:p>
        </w:tc>
        <w:tc>
          <w:tcPr>
            <w:tcW w:w="3929" w:type="pct"/>
          </w:tcPr>
          <w:p w14:paraId="7604C864">
            <w:pPr>
              <w:jc w:val="left"/>
              <w:rPr>
                <w:rFonts w:ascii="宋体" w:hAnsi="宋体" w:cs="宋体"/>
              </w:rPr>
            </w:pPr>
            <w:r>
              <w:rPr>
                <w:rFonts w:hint="eastAsia" w:ascii="宋体" w:hAnsi="宋体" w:cs="宋体"/>
              </w:rPr>
              <w:t>企业不以历史期经济活动及其预算为基础，以零为起点，进行编制</w:t>
            </w:r>
          </w:p>
        </w:tc>
      </w:tr>
      <w:tr w14:paraId="375D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01DBCFDC">
            <w:pPr>
              <w:jc w:val="left"/>
              <w:rPr>
                <w:rFonts w:ascii="宋体" w:hAnsi="宋体" w:cs="宋体"/>
              </w:rPr>
            </w:pPr>
          </w:p>
        </w:tc>
        <w:tc>
          <w:tcPr>
            <w:tcW w:w="358" w:type="pct"/>
          </w:tcPr>
          <w:p w14:paraId="6047914D">
            <w:pPr>
              <w:jc w:val="left"/>
              <w:rPr>
                <w:rFonts w:ascii="宋体" w:hAnsi="宋体" w:cs="宋体"/>
              </w:rPr>
            </w:pPr>
            <w:r>
              <w:rPr>
                <w:rFonts w:hint="eastAsia" w:ascii="宋体" w:hAnsi="宋体" w:cs="宋体"/>
              </w:rPr>
              <w:t>优点</w:t>
            </w:r>
          </w:p>
        </w:tc>
        <w:tc>
          <w:tcPr>
            <w:tcW w:w="3929" w:type="pct"/>
          </w:tcPr>
          <w:p w14:paraId="716FABE4">
            <w:pPr>
              <w:jc w:val="left"/>
              <w:rPr>
                <w:rFonts w:ascii="宋体" w:hAnsi="宋体" w:cs="宋体"/>
              </w:rPr>
            </w:pPr>
            <w:r>
              <w:rPr>
                <w:rFonts w:hint="eastAsia" w:ascii="宋体" w:hAnsi="宋体" w:cs="宋体"/>
              </w:rPr>
              <w:t>不受历史期经济活动中的不合理因素影响，预算编制更贴近预算期企业经济活动需要；有助于增加预算编制透明度，有利于进行预算控制</w:t>
            </w:r>
          </w:p>
        </w:tc>
      </w:tr>
      <w:tr w14:paraId="71D6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2106E6F2">
            <w:pPr>
              <w:jc w:val="left"/>
              <w:rPr>
                <w:rFonts w:ascii="宋体" w:hAnsi="宋体" w:cs="宋体"/>
              </w:rPr>
            </w:pPr>
          </w:p>
        </w:tc>
        <w:tc>
          <w:tcPr>
            <w:tcW w:w="358" w:type="pct"/>
          </w:tcPr>
          <w:p w14:paraId="6EE0495B">
            <w:pPr>
              <w:jc w:val="left"/>
              <w:rPr>
                <w:rFonts w:ascii="宋体" w:hAnsi="宋体" w:cs="宋体"/>
              </w:rPr>
            </w:pPr>
            <w:r>
              <w:rPr>
                <w:rFonts w:hint="eastAsia" w:ascii="宋体" w:hAnsi="宋体" w:cs="宋体"/>
              </w:rPr>
              <w:t>缺点</w:t>
            </w:r>
          </w:p>
        </w:tc>
        <w:tc>
          <w:tcPr>
            <w:tcW w:w="3929" w:type="pct"/>
          </w:tcPr>
          <w:p w14:paraId="4C671384">
            <w:pPr>
              <w:jc w:val="left"/>
              <w:rPr>
                <w:rFonts w:ascii="宋体" w:hAnsi="宋体" w:cs="宋体"/>
              </w:rPr>
            </w:pPr>
            <w:r>
              <w:rPr>
                <w:rFonts w:hint="eastAsia" w:ascii="宋体" w:hAnsi="宋体" w:cs="宋体"/>
              </w:rPr>
              <w:t>预算编制工作量较大、成本较高；准确性受企业管理水平和相关数据标准准确性影响较大</w:t>
            </w:r>
          </w:p>
        </w:tc>
      </w:tr>
    </w:tbl>
    <w:p w14:paraId="78ECA8D4">
      <w:pPr>
        <w:jc w:val="left"/>
        <w:rPr>
          <w:rFonts w:ascii="宋体" w:hAnsi="宋体" w:cs="宋体"/>
          <w:color w:val="FF0000"/>
        </w:rPr>
      </w:pPr>
      <w:r>
        <w:rPr>
          <w:rFonts w:hint="eastAsia" w:ascii="宋体" w:hAnsi="宋体" w:cs="宋体"/>
          <w:color w:val="FF0000"/>
        </w:rPr>
        <w:t>（二）固定预算法与弹性预算法</w:t>
      </w:r>
    </w:p>
    <w:p w14:paraId="38A40451">
      <w:pPr>
        <w:jc w:val="left"/>
        <w:rPr>
          <w:rFonts w:ascii="宋体" w:hAnsi="宋体" w:cs="宋体"/>
        </w:rPr>
      </w:pPr>
      <w:r>
        <w:rPr>
          <w:rFonts w:hint="eastAsia" w:ascii="宋体" w:hAnsi="宋体" w:cs="宋体"/>
        </w:rPr>
        <w:t>按其业务量基础的数量特征不同，可分为固定预算法和弹性预算法。</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159"/>
        <w:gridCol w:w="7531"/>
      </w:tblGrid>
      <w:tr w14:paraId="4A66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229B6830">
            <w:pPr>
              <w:jc w:val="left"/>
              <w:rPr>
                <w:rFonts w:ascii="宋体" w:hAnsi="宋体" w:cs="宋体"/>
              </w:rPr>
            </w:pPr>
            <w:r>
              <w:rPr>
                <w:rFonts w:hint="eastAsia" w:ascii="宋体" w:hAnsi="宋体" w:cs="宋体"/>
              </w:rPr>
              <w:t>固定预算法</w:t>
            </w:r>
          </w:p>
        </w:tc>
        <w:tc>
          <w:tcPr>
            <w:tcW w:w="572" w:type="pct"/>
          </w:tcPr>
          <w:p w14:paraId="3CAA56F8">
            <w:pPr>
              <w:jc w:val="left"/>
              <w:rPr>
                <w:rFonts w:ascii="宋体" w:hAnsi="宋体" w:cs="宋体"/>
              </w:rPr>
            </w:pPr>
            <w:r>
              <w:rPr>
                <w:rFonts w:hint="eastAsia" w:ascii="宋体" w:hAnsi="宋体" w:cs="宋体"/>
              </w:rPr>
              <w:t>原理</w:t>
            </w:r>
          </w:p>
        </w:tc>
        <w:tc>
          <w:tcPr>
            <w:tcW w:w="3715" w:type="pct"/>
          </w:tcPr>
          <w:p w14:paraId="4B037458">
            <w:pPr>
              <w:jc w:val="left"/>
              <w:rPr>
                <w:rFonts w:ascii="宋体" w:hAnsi="宋体" w:cs="宋体"/>
              </w:rPr>
            </w:pPr>
            <w:r>
              <w:rPr>
                <w:rFonts w:hint="eastAsia" w:ascii="宋体" w:hAnsi="宋体" w:cs="宋体"/>
              </w:rPr>
              <w:t>固定预算法又称静态预算法，是指以预算期内正常的、最可实现的某一业务量水平为固定基础，不考虑可能发生的变动预算编制方法。</w:t>
            </w:r>
          </w:p>
        </w:tc>
      </w:tr>
      <w:tr w14:paraId="2C07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253DFE77">
            <w:pPr>
              <w:jc w:val="left"/>
              <w:rPr>
                <w:rFonts w:ascii="宋体" w:hAnsi="宋体" w:cs="宋体"/>
              </w:rPr>
            </w:pPr>
          </w:p>
        </w:tc>
        <w:tc>
          <w:tcPr>
            <w:tcW w:w="572" w:type="pct"/>
          </w:tcPr>
          <w:p w14:paraId="1CBD0799">
            <w:pPr>
              <w:jc w:val="left"/>
              <w:rPr>
                <w:rFonts w:ascii="宋体" w:hAnsi="宋体" w:cs="宋体"/>
              </w:rPr>
            </w:pPr>
            <w:r>
              <w:rPr>
                <w:rFonts w:hint="eastAsia" w:ascii="宋体" w:hAnsi="宋体" w:cs="宋体"/>
              </w:rPr>
              <w:t>缺点</w:t>
            </w:r>
          </w:p>
        </w:tc>
        <w:tc>
          <w:tcPr>
            <w:tcW w:w="3715" w:type="pct"/>
          </w:tcPr>
          <w:p w14:paraId="565E4CAE">
            <w:pPr>
              <w:jc w:val="left"/>
              <w:rPr>
                <w:rFonts w:ascii="宋体" w:hAnsi="宋体" w:cs="宋体"/>
              </w:rPr>
            </w:pPr>
            <w:r>
              <w:rPr>
                <w:rFonts w:hint="eastAsia" w:ascii="宋体" w:hAnsi="宋体" w:cs="宋体"/>
              </w:rPr>
              <w:t xml:space="preserve">适应性差； 可比性差 </w:t>
            </w:r>
          </w:p>
        </w:tc>
      </w:tr>
      <w:tr w14:paraId="3227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19DAE4F1">
            <w:pPr>
              <w:jc w:val="left"/>
              <w:rPr>
                <w:rFonts w:ascii="宋体" w:hAnsi="宋体" w:cs="宋体"/>
              </w:rPr>
            </w:pPr>
            <w:r>
              <w:rPr>
                <w:rFonts w:hint="eastAsia" w:ascii="宋体" w:hAnsi="宋体" w:cs="宋体"/>
              </w:rPr>
              <w:t>弹性预算法</w:t>
            </w:r>
          </w:p>
        </w:tc>
        <w:tc>
          <w:tcPr>
            <w:tcW w:w="572" w:type="pct"/>
          </w:tcPr>
          <w:p w14:paraId="7B341C50">
            <w:pPr>
              <w:jc w:val="left"/>
              <w:rPr>
                <w:rFonts w:ascii="宋体" w:hAnsi="宋体" w:cs="宋体"/>
              </w:rPr>
            </w:pPr>
            <w:r>
              <w:rPr>
                <w:rFonts w:hint="eastAsia" w:ascii="宋体" w:hAnsi="宋体" w:cs="宋体"/>
              </w:rPr>
              <w:t>原理</w:t>
            </w:r>
          </w:p>
        </w:tc>
        <w:tc>
          <w:tcPr>
            <w:tcW w:w="3715" w:type="pct"/>
          </w:tcPr>
          <w:p w14:paraId="5007ED77">
            <w:pPr>
              <w:jc w:val="left"/>
              <w:rPr>
                <w:rFonts w:ascii="宋体" w:hAnsi="宋体" w:cs="宋体"/>
              </w:rPr>
            </w:pPr>
            <w:r>
              <w:rPr>
                <w:rFonts w:hint="eastAsia" w:ascii="宋体" w:hAnsi="宋体" w:cs="宋体"/>
              </w:rPr>
              <w:t>弹性预算法又称动态预算法，是指企业在分析业务量与预算项目之间数量依存关系的基础上，分别确定不同业务量及其相应预算项目所消耗资源的预算编制方法。</w:t>
            </w:r>
          </w:p>
        </w:tc>
      </w:tr>
      <w:tr w14:paraId="25E0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34FB6AF1">
            <w:pPr>
              <w:jc w:val="left"/>
              <w:rPr>
                <w:rFonts w:ascii="宋体" w:hAnsi="宋体" w:cs="宋体"/>
              </w:rPr>
            </w:pPr>
          </w:p>
        </w:tc>
        <w:tc>
          <w:tcPr>
            <w:tcW w:w="572" w:type="pct"/>
          </w:tcPr>
          <w:p w14:paraId="1826EE7D">
            <w:pPr>
              <w:jc w:val="left"/>
              <w:rPr>
                <w:rFonts w:ascii="宋体" w:hAnsi="宋体" w:cs="宋体"/>
              </w:rPr>
            </w:pPr>
            <w:r>
              <w:rPr>
                <w:rFonts w:hint="eastAsia" w:ascii="宋体" w:hAnsi="宋体" w:cs="宋体"/>
              </w:rPr>
              <w:t>优点</w:t>
            </w:r>
          </w:p>
        </w:tc>
        <w:tc>
          <w:tcPr>
            <w:tcW w:w="3715" w:type="pct"/>
          </w:tcPr>
          <w:p w14:paraId="754A56FD">
            <w:pPr>
              <w:jc w:val="left"/>
              <w:rPr>
                <w:rFonts w:ascii="宋体" w:hAnsi="宋体" w:cs="宋体"/>
              </w:rPr>
            </w:pPr>
            <w:r>
              <w:rPr>
                <w:rFonts w:hint="eastAsia" w:ascii="宋体" w:hAnsi="宋体" w:cs="宋体"/>
              </w:rPr>
              <w:t>考虑了预算期可能的不同业务量水平，更贴近企业经营管理实际情况</w:t>
            </w:r>
          </w:p>
        </w:tc>
      </w:tr>
      <w:tr w14:paraId="4AD3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001EF601">
            <w:pPr>
              <w:jc w:val="left"/>
              <w:rPr>
                <w:rFonts w:ascii="宋体" w:hAnsi="宋体" w:cs="宋体"/>
              </w:rPr>
            </w:pPr>
          </w:p>
        </w:tc>
        <w:tc>
          <w:tcPr>
            <w:tcW w:w="572" w:type="pct"/>
          </w:tcPr>
          <w:p w14:paraId="66828204">
            <w:pPr>
              <w:jc w:val="left"/>
              <w:rPr>
                <w:rFonts w:ascii="宋体" w:hAnsi="宋体" w:cs="宋体"/>
              </w:rPr>
            </w:pPr>
            <w:r>
              <w:rPr>
                <w:rFonts w:hint="eastAsia" w:ascii="宋体" w:hAnsi="宋体" w:cs="宋体"/>
              </w:rPr>
              <w:t>缺点</w:t>
            </w:r>
          </w:p>
        </w:tc>
        <w:tc>
          <w:tcPr>
            <w:tcW w:w="3715" w:type="pct"/>
          </w:tcPr>
          <w:p w14:paraId="53E2145E">
            <w:pPr>
              <w:jc w:val="left"/>
              <w:rPr>
                <w:rFonts w:ascii="宋体" w:hAnsi="宋体" w:cs="宋体"/>
              </w:rPr>
            </w:pPr>
            <w:r>
              <w:rPr>
                <w:rFonts w:hint="eastAsia" w:ascii="宋体" w:hAnsi="宋体" w:cs="宋体"/>
              </w:rPr>
              <w:t>编制工作量大；市场及其变动趋势预测的准确性、预算项目与业务量之间依存关系的判断水平等会对弹性预算的合理性造成较大影响。</w:t>
            </w:r>
          </w:p>
        </w:tc>
      </w:tr>
      <w:tr w14:paraId="6178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2828D13A">
            <w:pPr>
              <w:jc w:val="left"/>
              <w:rPr>
                <w:rFonts w:ascii="宋体" w:hAnsi="宋体" w:cs="宋体"/>
              </w:rPr>
            </w:pPr>
          </w:p>
        </w:tc>
        <w:tc>
          <w:tcPr>
            <w:tcW w:w="572" w:type="pct"/>
          </w:tcPr>
          <w:p w14:paraId="15ECF727">
            <w:pPr>
              <w:jc w:val="left"/>
              <w:rPr>
                <w:rFonts w:ascii="宋体" w:hAnsi="宋体" w:cs="宋体"/>
              </w:rPr>
            </w:pPr>
            <w:r>
              <w:rPr>
                <w:rFonts w:hint="eastAsia" w:ascii="宋体" w:hAnsi="宋体" w:cs="宋体"/>
              </w:rPr>
              <w:t>编织方法</w:t>
            </w:r>
          </w:p>
        </w:tc>
        <w:tc>
          <w:tcPr>
            <w:tcW w:w="3715" w:type="pct"/>
          </w:tcPr>
          <w:p w14:paraId="1B9E8DCD">
            <w:pPr>
              <w:jc w:val="left"/>
              <w:rPr>
                <w:rFonts w:ascii="宋体" w:hAnsi="宋体" w:cs="宋体"/>
              </w:rPr>
            </w:pPr>
            <w:r>
              <w:rPr>
                <w:rFonts w:hint="eastAsia" w:ascii="宋体" w:hAnsi="宋体" w:cs="宋体"/>
              </w:rPr>
              <w:t>公式法，列表法（内插法）</w:t>
            </w:r>
          </w:p>
        </w:tc>
      </w:tr>
    </w:tbl>
    <w:p w14:paraId="5FB01CBF">
      <w:pPr>
        <w:jc w:val="left"/>
        <w:rPr>
          <w:rFonts w:ascii="宋体" w:hAnsi="宋体" w:cs="宋体"/>
          <w:color w:val="FF0000"/>
        </w:rPr>
      </w:pPr>
      <w:r>
        <w:rPr>
          <w:rFonts w:hint="eastAsia" w:ascii="宋体" w:hAnsi="宋体" w:cs="宋体"/>
          <w:color w:val="FF0000"/>
        </w:rPr>
        <w:t>（三）定期预算法与滚动预算法</w:t>
      </w:r>
    </w:p>
    <w:p w14:paraId="0B2B4223">
      <w:pPr>
        <w:jc w:val="left"/>
        <w:rPr>
          <w:rFonts w:ascii="宋体" w:hAnsi="宋体" w:cs="宋体"/>
        </w:rPr>
      </w:pPr>
      <w:r>
        <w:rPr>
          <w:rFonts w:hint="eastAsia" w:ascii="宋体" w:hAnsi="宋体" w:cs="宋体"/>
        </w:rPr>
        <w:t>1.编制预算的方法按其预算期的时间特征不同</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305"/>
        <w:gridCol w:w="7385"/>
      </w:tblGrid>
      <w:tr w14:paraId="7CA2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0D6FD06D">
            <w:pPr>
              <w:jc w:val="left"/>
              <w:rPr>
                <w:rFonts w:ascii="宋体" w:hAnsi="宋体" w:cs="宋体"/>
              </w:rPr>
            </w:pPr>
            <w:r>
              <w:rPr>
                <w:rFonts w:hint="eastAsia" w:ascii="宋体" w:hAnsi="宋体" w:cs="宋体"/>
              </w:rPr>
              <w:t>定期预算法</w:t>
            </w:r>
          </w:p>
        </w:tc>
        <w:tc>
          <w:tcPr>
            <w:tcW w:w="644" w:type="pct"/>
          </w:tcPr>
          <w:p w14:paraId="6205EADF">
            <w:pPr>
              <w:jc w:val="left"/>
              <w:rPr>
                <w:rFonts w:ascii="宋体" w:hAnsi="宋体" w:cs="宋体"/>
              </w:rPr>
            </w:pPr>
            <w:r>
              <w:rPr>
                <w:rFonts w:hint="eastAsia" w:ascii="宋体" w:hAnsi="宋体" w:cs="宋体"/>
              </w:rPr>
              <w:t>原理思路</w:t>
            </w:r>
          </w:p>
        </w:tc>
        <w:tc>
          <w:tcPr>
            <w:tcW w:w="3643" w:type="pct"/>
          </w:tcPr>
          <w:p w14:paraId="6EF601DA">
            <w:pPr>
              <w:jc w:val="left"/>
              <w:rPr>
                <w:rFonts w:ascii="宋体" w:hAnsi="宋体" w:cs="宋体"/>
              </w:rPr>
            </w:pPr>
            <w:r>
              <w:rPr>
                <w:rFonts w:hint="eastAsia" w:ascii="宋体" w:hAnsi="宋体" w:cs="宋体"/>
              </w:rPr>
              <w:t>以不变的会计期间作为预算期的一种编制预算的方法</w:t>
            </w:r>
          </w:p>
        </w:tc>
      </w:tr>
      <w:tr w14:paraId="4881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38F54E89">
            <w:pPr>
              <w:jc w:val="left"/>
              <w:rPr>
                <w:rFonts w:ascii="宋体" w:hAnsi="宋体" w:cs="宋体"/>
              </w:rPr>
            </w:pPr>
          </w:p>
        </w:tc>
        <w:tc>
          <w:tcPr>
            <w:tcW w:w="644" w:type="pct"/>
          </w:tcPr>
          <w:p w14:paraId="2D68AAF2">
            <w:pPr>
              <w:jc w:val="left"/>
              <w:rPr>
                <w:rFonts w:ascii="宋体" w:hAnsi="宋体" w:cs="宋体"/>
              </w:rPr>
            </w:pPr>
            <w:r>
              <w:rPr>
                <w:rFonts w:hint="eastAsia" w:ascii="宋体" w:hAnsi="宋体" w:cs="宋体"/>
              </w:rPr>
              <w:t>优点</w:t>
            </w:r>
          </w:p>
        </w:tc>
        <w:tc>
          <w:tcPr>
            <w:tcW w:w="3643" w:type="pct"/>
          </w:tcPr>
          <w:p w14:paraId="019187A9">
            <w:pPr>
              <w:jc w:val="left"/>
              <w:rPr>
                <w:rFonts w:ascii="宋体" w:hAnsi="宋体" w:cs="宋体"/>
              </w:rPr>
            </w:pPr>
            <w:r>
              <w:rPr>
                <w:rFonts w:hint="eastAsia" w:ascii="宋体" w:hAnsi="宋体" w:cs="宋体"/>
              </w:rPr>
              <w:t>预算期间与会计期间相对应，便于将实际数与预算数进行对比，也有利于对预算执行情况进行分析和评价。</w:t>
            </w:r>
          </w:p>
        </w:tc>
      </w:tr>
      <w:tr w14:paraId="2808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4AEBD1B8">
            <w:pPr>
              <w:jc w:val="left"/>
              <w:rPr>
                <w:rFonts w:ascii="宋体" w:hAnsi="宋体" w:cs="宋体"/>
              </w:rPr>
            </w:pPr>
          </w:p>
        </w:tc>
        <w:tc>
          <w:tcPr>
            <w:tcW w:w="644" w:type="pct"/>
          </w:tcPr>
          <w:p w14:paraId="7373BAC4">
            <w:pPr>
              <w:jc w:val="left"/>
              <w:rPr>
                <w:rFonts w:ascii="宋体" w:hAnsi="宋体" w:cs="宋体"/>
              </w:rPr>
            </w:pPr>
            <w:r>
              <w:rPr>
                <w:rFonts w:hint="eastAsia" w:ascii="宋体" w:hAnsi="宋体" w:cs="宋体"/>
              </w:rPr>
              <w:t>缺点</w:t>
            </w:r>
          </w:p>
        </w:tc>
        <w:tc>
          <w:tcPr>
            <w:tcW w:w="3643" w:type="pct"/>
          </w:tcPr>
          <w:p w14:paraId="001C6028">
            <w:pPr>
              <w:jc w:val="left"/>
              <w:rPr>
                <w:rFonts w:ascii="宋体" w:hAnsi="宋体" w:cs="宋体"/>
              </w:rPr>
            </w:pPr>
            <w:r>
              <w:rPr>
                <w:rFonts w:hint="eastAsia" w:ascii="宋体" w:hAnsi="宋体" w:cs="宋体"/>
              </w:rPr>
              <w:t>缺乏长远打算，导致短期行为</w:t>
            </w:r>
          </w:p>
        </w:tc>
      </w:tr>
      <w:tr w14:paraId="5803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2C0DCE0F">
            <w:pPr>
              <w:jc w:val="left"/>
              <w:rPr>
                <w:rFonts w:ascii="宋体" w:hAnsi="宋体" w:cs="宋体"/>
              </w:rPr>
            </w:pPr>
            <w:r>
              <w:rPr>
                <w:rFonts w:hint="eastAsia" w:ascii="宋体" w:hAnsi="宋体" w:cs="宋体"/>
              </w:rPr>
              <w:t>滚动预算法</w:t>
            </w:r>
          </w:p>
        </w:tc>
        <w:tc>
          <w:tcPr>
            <w:tcW w:w="644" w:type="pct"/>
          </w:tcPr>
          <w:p w14:paraId="4FC6F590">
            <w:pPr>
              <w:jc w:val="left"/>
              <w:rPr>
                <w:rFonts w:ascii="宋体" w:hAnsi="宋体" w:cs="宋体"/>
              </w:rPr>
            </w:pPr>
            <w:r>
              <w:rPr>
                <w:rFonts w:hint="eastAsia" w:ascii="宋体" w:hAnsi="宋体" w:cs="宋体"/>
              </w:rPr>
              <w:t>原理思路</w:t>
            </w:r>
          </w:p>
        </w:tc>
        <w:tc>
          <w:tcPr>
            <w:tcW w:w="3643" w:type="pct"/>
          </w:tcPr>
          <w:p w14:paraId="1A1E49F4">
            <w:pPr>
              <w:jc w:val="left"/>
              <w:rPr>
                <w:rFonts w:ascii="宋体" w:hAnsi="宋体" w:cs="宋体"/>
              </w:rPr>
            </w:pPr>
            <w:r>
              <w:rPr>
                <w:rFonts w:hint="eastAsia" w:ascii="宋体" w:hAnsi="宋体" w:cs="宋体"/>
              </w:rPr>
              <w:t>滚动预算法又称连续预算法或永续预算法，使预算期始终保持为一个固定长度的一种预算编制方法（一般为12个月）</w:t>
            </w:r>
          </w:p>
        </w:tc>
      </w:tr>
      <w:tr w14:paraId="5925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199BDA08">
            <w:pPr>
              <w:jc w:val="left"/>
              <w:rPr>
                <w:rFonts w:ascii="宋体" w:hAnsi="宋体" w:cs="宋体"/>
              </w:rPr>
            </w:pPr>
          </w:p>
        </w:tc>
        <w:tc>
          <w:tcPr>
            <w:tcW w:w="644" w:type="pct"/>
          </w:tcPr>
          <w:p w14:paraId="7739E772">
            <w:pPr>
              <w:jc w:val="left"/>
              <w:rPr>
                <w:rFonts w:ascii="宋体" w:hAnsi="宋体" w:cs="宋体"/>
              </w:rPr>
            </w:pPr>
            <w:r>
              <w:rPr>
                <w:rFonts w:hint="eastAsia" w:ascii="宋体" w:hAnsi="宋体" w:cs="宋体"/>
              </w:rPr>
              <w:t>优点</w:t>
            </w:r>
          </w:p>
        </w:tc>
        <w:tc>
          <w:tcPr>
            <w:tcW w:w="3643" w:type="pct"/>
          </w:tcPr>
          <w:p w14:paraId="4737A64C">
            <w:pPr>
              <w:jc w:val="left"/>
              <w:rPr>
                <w:rFonts w:ascii="宋体" w:hAnsi="宋体" w:cs="宋体"/>
              </w:rPr>
            </w:pPr>
            <w:r>
              <w:rPr>
                <w:rFonts w:hint="eastAsia" w:ascii="宋体" w:hAnsi="宋体" w:cs="宋体"/>
              </w:rPr>
              <w:t>实现动态反应市场、建立跨期综合平衡，从而有效指导企业营运，强化预算的决策与控制职能。</w:t>
            </w:r>
          </w:p>
        </w:tc>
      </w:tr>
      <w:tr w14:paraId="2789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4B9B77CE">
            <w:pPr>
              <w:jc w:val="left"/>
              <w:rPr>
                <w:rFonts w:ascii="宋体" w:hAnsi="宋体" w:cs="宋体"/>
              </w:rPr>
            </w:pPr>
          </w:p>
        </w:tc>
        <w:tc>
          <w:tcPr>
            <w:tcW w:w="644" w:type="pct"/>
          </w:tcPr>
          <w:p w14:paraId="39ED98C6">
            <w:pPr>
              <w:jc w:val="left"/>
              <w:rPr>
                <w:rFonts w:ascii="宋体" w:hAnsi="宋体" w:cs="宋体"/>
              </w:rPr>
            </w:pPr>
            <w:r>
              <w:rPr>
                <w:rFonts w:hint="eastAsia" w:ascii="宋体" w:hAnsi="宋体" w:cs="宋体"/>
              </w:rPr>
              <w:t>缺点</w:t>
            </w:r>
          </w:p>
        </w:tc>
        <w:tc>
          <w:tcPr>
            <w:tcW w:w="3643" w:type="pct"/>
          </w:tcPr>
          <w:p w14:paraId="224E1FB9">
            <w:pPr>
              <w:jc w:val="left"/>
              <w:rPr>
                <w:rFonts w:ascii="宋体" w:hAnsi="宋体" w:cs="宋体"/>
              </w:rPr>
            </w:pPr>
            <w:r>
              <w:rPr>
                <w:rFonts w:hint="eastAsia" w:ascii="宋体" w:hAnsi="宋体" w:cs="宋体"/>
              </w:rPr>
              <w:t>工作量大；</w:t>
            </w:r>
            <w:r>
              <w:rPr>
                <w:rFonts w:hint="eastAsia" w:ascii="宋体" w:hAnsi="宋体" w:cs="宋体"/>
                <w:color w:val="FF0000"/>
              </w:rPr>
              <w:t>增加管理层的不稳定感</w:t>
            </w:r>
          </w:p>
        </w:tc>
      </w:tr>
    </w:tbl>
    <w:p w14:paraId="3A0DDA9A">
      <w:pPr>
        <w:jc w:val="left"/>
        <w:rPr>
          <w:rFonts w:ascii="宋体" w:hAnsi="宋体" w:cs="宋体"/>
          <w:color w:val="FF0000"/>
        </w:rPr>
      </w:pPr>
      <w:r>
        <w:rPr>
          <w:rFonts w:hint="eastAsia" w:ascii="宋体" w:hAnsi="宋体" w:cs="宋体"/>
          <w:color w:val="FF0000"/>
        </w:rPr>
        <w:t>2.滚动预算法的分类</w:t>
      </w:r>
    </w:p>
    <w:p w14:paraId="333FC51A">
      <w:pPr>
        <w:jc w:val="left"/>
        <w:rPr>
          <w:rFonts w:ascii="宋体" w:hAnsi="宋体" w:cs="宋体"/>
        </w:rPr>
      </w:pPr>
      <w:r>
        <w:rPr>
          <w:rFonts w:hint="eastAsia" w:ascii="宋体" w:hAnsi="宋体" w:cs="宋体"/>
        </w:rPr>
        <w:t>采用滚动预算法编制预算，按照滚动的时间单位不同，分为中期滚动预算（周期为3-5年，并以年为滚动频率）和短期滚动预算（逐月、逐季或混合滚动）。</w:t>
      </w:r>
    </w:p>
    <w:p w14:paraId="289FE42E">
      <w:pPr>
        <w:jc w:val="left"/>
        <w:rPr>
          <w:rFonts w:ascii="宋体" w:hAnsi="宋体" w:cs="宋体"/>
        </w:rPr>
      </w:pPr>
      <w:r>
        <w:rPr>
          <w:rFonts w:hint="eastAsia" w:ascii="宋体" w:hAnsi="宋体" w:cs="宋体"/>
          <w:color w:val="FF0000"/>
        </w:rPr>
        <w:t>【提示】</w:t>
      </w:r>
      <w:r>
        <w:rPr>
          <w:rFonts w:hint="eastAsia" w:ascii="宋体" w:hAnsi="宋体" w:cs="宋体"/>
        </w:rPr>
        <w:t>混合滚动预算是对未来了解程度中，近期把握较大，远期的预计把握较小的特征，则近期逐月滚动，远期逐季滚动。</w:t>
      </w:r>
    </w:p>
    <w:p w14:paraId="2111DFEC">
      <w:pPr>
        <w:jc w:val="left"/>
        <w:rPr>
          <w:rFonts w:ascii="宋体" w:hAnsi="宋体" w:cs="宋体"/>
          <w:color w:val="FF0000"/>
        </w:rPr>
      </w:pPr>
      <w:r>
        <w:rPr>
          <w:rFonts w:hint="eastAsia" w:ascii="宋体" w:hAnsi="宋体" w:cs="宋体"/>
          <w:color w:val="FF0000"/>
        </w:rPr>
        <w:t>【知识点3】预算调整</w:t>
      </w:r>
    </w:p>
    <w:p w14:paraId="40904730">
      <w:pPr>
        <w:jc w:val="left"/>
        <w:rPr>
          <w:rFonts w:ascii="宋体" w:hAnsi="宋体" w:cs="宋体"/>
        </w:rPr>
      </w:pPr>
      <w:r>
        <w:rPr>
          <w:rFonts w:hint="eastAsia" w:ascii="宋体" w:hAnsi="宋体" w:cs="宋体"/>
        </w:rPr>
        <w:t>年度预算经批准后，原则上不作调整。当内外战略环境发生重大变化或突发事件等，导致预算编制的基本假设发生重大变化时，可以进行预算调整。</w:t>
      </w:r>
    </w:p>
    <w:p w14:paraId="4B452BD1">
      <w:pPr>
        <w:jc w:val="left"/>
        <w:rPr>
          <w:rFonts w:ascii="宋体" w:hAnsi="宋体" w:cs="宋体"/>
        </w:rPr>
      </w:pPr>
      <w:r>
        <w:rPr>
          <w:rFonts w:hint="eastAsia" w:ascii="宋体" w:hAnsi="宋体" w:cs="宋体"/>
        </w:rPr>
        <w:t>【知识点4】预算编制整体流程</w:t>
      </w:r>
    </w:p>
    <w:p w14:paraId="276B8DD4">
      <w:pPr>
        <w:jc w:val="left"/>
        <w:rPr>
          <w:rFonts w:ascii="宋体" w:hAnsi="宋体" w:cs="宋体"/>
        </w:rPr>
      </w:pPr>
      <w:r>
        <w:rPr>
          <w:rFonts w:ascii="宋体" w:hAnsi="宋体" w:cs="宋体"/>
        </w:rPr>
        <w:drawing>
          <wp:inline distT="0" distB="0" distL="0" distR="0">
            <wp:extent cx="4399915" cy="2384425"/>
            <wp:effectExtent l="0" t="0" r="635" b="15875"/>
            <wp:docPr id="13664579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7918" name="图片 3"/>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99000"/>
                              </a14:imgEffect>
                            </a14:imgLayer>
                          </a14:imgProps>
                        </a:ext>
                        <a:ext uri="{28A0092B-C50C-407E-A947-70E740481C1C}">
                          <a14:useLocalDpi xmlns:a14="http://schemas.microsoft.com/office/drawing/2010/main" val="0"/>
                        </a:ext>
                      </a:extLst>
                    </a:blip>
                    <a:stretch>
                      <a:fillRect/>
                    </a:stretch>
                  </pic:blipFill>
                  <pic:spPr>
                    <a:xfrm>
                      <a:off x="0" y="0"/>
                      <a:ext cx="4433698" cy="2402983"/>
                    </a:xfrm>
                    <a:prstGeom prst="rect">
                      <a:avLst/>
                    </a:prstGeom>
                  </pic:spPr>
                </pic:pic>
              </a:graphicData>
            </a:graphic>
          </wp:inline>
        </w:drawing>
      </w:r>
    </w:p>
    <w:p w14:paraId="5E9FBA94">
      <w:pPr>
        <w:jc w:val="left"/>
        <w:rPr>
          <w:rFonts w:ascii="宋体" w:hAnsi="宋体" w:cs="宋体"/>
          <w:color w:val="FF0000"/>
        </w:rPr>
      </w:pPr>
      <w:r>
        <w:rPr>
          <w:rFonts w:hint="eastAsia" w:ascii="宋体" w:hAnsi="宋体" w:cs="宋体"/>
          <w:color w:val="FF0000"/>
        </w:rPr>
        <w:t>【知识点5】经营预算编制</w:t>
      </w:r>
    </w:p>
    <w:p w14:paraId="6E1FC70A">
      <w:pPr>
        <w:jc w:val="left"/>
        <w:rPr>
          <w:rFonts w:ascii="宋体" w:hAnsi="宋体" w:cs="宋体"/>
        </w:rPr>
      </w:pPr>
      <w:r>
        <w:rPr>
          <w:rFonts w:hint="eastAsia" w:ascii="宋体" w:hAnsi="宋体" w:cs="宋体"/>
          <w:color w:val="FF0000"/>
        </w:rPr>
        <w:t>（一）销售预算：</w:t>
      </w:r>
      <w:r>
        <w:rPr>
          <w:rFonts w:hint="eastAsia" w:ascii="宋体" w:hAnsi="宋体" w:cs="宋体"/>
        </w:rPr>
        <w:t>销售预算是整个预算的编制起点</w:t>
      </w:r>
    </w:p>
    <w:p w14:paraId="7F6D7F4B">
      <w:pPr>
        <w:jc w:val="left"/>
        <w:rPr>
          <w:rFonts w:ascii="宋体" w:hAnsi="宋体" w:cs="宋体"/>
        </w:rPr>
      </w:pPr>
      <w:r>
        <w:rPr>
          <w:rFonts w:hint="eastAsia" w:ascii="宋体" w:hAnsi="宋体" w:cs="宋体"/>
          <w:color w:val="FF0000"/>
        </w:rPr>
        <w:t>【提示】</w:t>
      </w:r>
      <w:r>
        <w:rPr>
          <w:rFonts w:hint="eastAsia" w:ascii="宋体" w:hAnsi="宋体" w:cs="宋体"/>
        </w:rPr>
        <w:t>销售收入——权责发生制；当期销售现金流量——收付实现制</w:t>
      </w:r>
    </w:p>
    <w:p w14:paraId="164F49B6">
      <w:pPr>
        <w:jc w:val="left"/>
        <w:rPr>
          <w:rFonts w:ascii="宋体" w:hAnsi="宋体" w:cs="宋体"/>
          <w:color w:val="FF0000"/>
        </w:rPr>
      </w:pPr>
      <w:r>
        <w:rPr>
          <w:rFonts w:hint="eastAsia" w:ascii="宋体" w:hAnsi="宋体" w:cs="宋体"/>
          <w:color w:val="FF0000"/>
        </w:rPr>
        <w:t>（二）生产预算</w:t>
      </w:r>
    </w:p>
    <w:p w14:paraId="73E640C2">
      <w:pPr>
        <w:jc w:val="left"/>
        <w:rPr>
          <w:rFonts w:ascii="宋体" w:hAnsi="宋体" w:cs="宋体"/>
          <w:color w:val="FF0000"/>
        </w:rPr>
      </w:pPr>
      <w:r>
        <w:rPr>
          <w:rFonts w:hint="eastAsia" w:ascii="宋体" w:hAnsi="宋体" w:cs="宋体"/>
        </w:rPr>
        <w:t>生产预算在销售预算的基础上编制；</w:t>
      </w:r>
      <w:r>
        <w:rPr>
          <w:rFonts w:hint="eastAsia" w:ascii="宋体" w:hAnsi="宋体" w:cs="宋体"/>
          <w:color w:val="FF0000"/>
        </w:rPr>
        <w:t>成本预算中只涉及实物量指标，不涉及价值量指标。</w:t>
      </w:r>
    </w:p>
    <w:p w14:paraId="5EDD44B1">
      <w:pPr>
        <w:jc w:val="left"/>
        <w:rPr>
          <w:rFonts w:ascii="宋体" w:hAnsi="宋体" w:cs="宋体"/>
        </w:rPr>
      </w:pPr>
      <w:r>
        <w:rPr>
          <w:rFonts w:hint="eastAsia" w:ascii="宋体" w:hAnsi="宋体" w:cs="宋体"/>
        </w:rPr>
        <w:t>预计生产量＝预计销售量＋预计期末产成品存货－预计期初产成品存货</w:t>
      </w:r>
    </w:p>
    <w:p w14:paraId="186B6792">
      <w:pPr>
        <w:jc w:val="left"/>
        <w:rPr>
          <w:rFonts w:ascii="宋体" w:hAnsi="宋体" w:cs="宋体"/>
          <w:color w:val="FF0000"/>
        </w:rPr>
      </w:pPr>
      <w:r>
        <w:rPr>
          <w:rFonts w:hint="eastAsia" w:ascii="宋体" w:hAnsi="宋体" w:cs="宋体"/>
          <w:color w:val="FF0000"/>
        </w:rPr>
        <w:t>（三）直接材料预算</w:t>
      </w:r>
    </w:p>
    <w:p w14:paraId="0D432BAF">
      <w:pPr>
        <w:jc w:val="left"/>
        <w:rPr>
          <w:rFonts w:ascii="宋体" w:hAnsi="宋体" w:cs="宋体"/>
        </w:rPr>
      </w:pPr>
      <w:r>
        <w:rPr>
          <w:rFonts w:hint="eastAsia" w:ascii="宋体" w:hAnsi="宋体" w:cs="宋体"/>
        </w:rPr>
        <w:t>预计直接材料采购量=直接材料生产需用量+直接材料期末存量—直接材料期初存量</w:t>
      </w:r>
    </w:p>
    <w:p w14:paraId="35AA7BD7">
      <w:pPr>
        <w:jc w:val="left"/>
        <w:rPr>
          <w:rFonts w:ascii="宋体" w:hAnsi="宋体" w:cs="宋体"/>
          <w:color w:val="FF0000"/>
        </w:rPr>
      </w:pPr>
      <w:r>
        <w:rPr>
          <w:rFonts w:hint="eastAsia" w:ascii="宋体" w:hAnsi="宋体" w:cs="宋体"/>
          <w:color w:val="FF0000"/>
        </w:rPr>
        <w:t>（四）直接人工预算</w:t>
      </w:r>
    </w:p>
    <w:p w14:paraId="55B2C6FF">
      <w:pPr>
        <w:jc w:val="left"/>
        <w:rPr>
          <w:rFonts w:ascii="宋体" w:hAnsi="宋体" w:cs="宋体"/>
        </w:rPr>
      </w:pPr>
      <w:r>
        <w:rPr>
          <w:rFonts w:hint="eastAsia" w:ascii="宋体" w:hAnsi="宋体" w:cs="宋体"/>
        </w:rPr>
        <w:t>以生产预算为编制依据。</w:t>
      </w:r>
    </w:p>
    <w:p w14:paraId="332F44EF">
      <w:pPr>
        <w:jc w:val="left"/>
        <w:rPr>
          <w:rFonts w:ascii="宋体" w:hAnsi="宋体" w:cs="宋体"/>
        </w:rPr>
      </w:pPr>
      <w:r>
        <w:rPr>
          <w:rFonts w:hint="eastAsia" w:ascii="宋体" w:hAnsi="宋体" w:cs="宋体"/>
        </w:rPr>
        <w:t>人工总成本＝人工总工时×每小时人工成本</w:t>
      </w:r>
    </w:p>
    <w:p w14:paraId="5A2568EB">
      <w:pPr>
        <w:jc w:val="left"/>
        <w:rPr>
          <w:rFonts w:ascii="宋体" w:hAnsi="宋体" w:cs="宋体"/>
          <w:color w:val="FF0000"/>
        </w:rPr>
      </w:pPr>
      <w:r>
        <w:rPr>
          <w:rFonts w:hint="eastAsia" w:ascii="宋体" w:hAnsi="宋体" w:cs="宋体"/>
          <w:color w:val="FF0000"/>
        </w:rPr>
        <w:t>（五）制造费用预算</w:t>
      </w:r>
    </w:p>
    <w:p w14:paraId="7B7B60E2">
      <w:pPr>
        <w:jc w:val="left"/>
        <w:rPr>
          <w:rFonts w:ascii="宋体" w:hAnsi="宋体" w:cs="宋体"/>
        </w:rPr>
      </w:pPr>
      <w:r>
        <w:rPr>
          <w:rFonts w:hint="eastAsia" w:ascii="宋体" w:hAnsi="宋体" w:cs="宋体"/>
        </w:rPr>
        <w:t>变动制造费用预算以生产预算为依据来编制，固定制造费用预算通常与本期产量无关，按实际需要的支付额预计。</w:t>
      </w:r>
    </w:p>
    <w:p w14:paraId="45A396D8">
      <w:pPr>
        <w:jc w:val="left"/>
        <w:rPr>
          <w:rFonts w:ascii="宋体" w:hAnsi="宋体" w:cs="宋体"/>
        </w:rPr>
      </w:pPr>
      <w:r>
        <w:rPr>
          <w:rFonts w:hint="eastAsia" w:ascii="宋体" w:hAnsi="宋体" w:cs="宋体"/>
        </w:rPr>
        <w:t>制造费用预计现金支出=制造费用预算总额-非付现成本（折旧/摊销）</w:t>
      </w:r>
    </w:p>
    <w:p w14:paraId="18C88BED">
      <w:pPr>
        <w:jc w:val="left"/>
        <w:rPr>
          <w:rFonts w:ascii="宋体" w:hAnsi="宋体" w:cs="宋体"/>
          <w:color w:val="FF0000"/>
        </w:rPr>
      </w:pPr>
      <w:r>
        <w:rPr>
          <w:rFonts w:hint="eastAsia" w:ascii="宋体" w:hAnsi="宋体" w:cs="宋体"/>
          <w:color w:val="FF0000"/>
        </w:rPr>
        <w:t>（六）产品成本预算</w:t>
      </w:r>
    </w:p>
    <w:p w14:paraId="7E578F90">
      <w:pPr>
        <w:jc w:val="left"/>
        <w:rPr>
          <w:rFonts w:ascii="宋体" w:hAnsi="宋体" w:cs="宋体"/>
        </w:rPr>
      </w:pPr>
      <w:r>
        <w:rPr>
          <w:rFonts w:hint="eastAsia" w:ascii="宋体" w:hAnsi="宋体" w:cs="宋体"/>
        </w:rPr>
        <w:t>是销售预算、生产预算、直接材料预算、直接人工预算、制造费用预算的汇总；同时是编制预计利润表和预计资产负债表的依据。</w:t>
      </w:r>
    </w:p>
    <w:p w14:paraId="6267F310">
      <w:pPr>
        <w:jc w:val="left"/>
        <w:rPr>
          <w:rFonts w:ascii="宋体" w:hAnsi="宋体" w:cs="宋体"/>
          <w:color w:val="FF0000"/>
        </w:rPr>
      </w:pPr>
      <w:r>
        <w:rPr>
          <w:rFonts w:hint="eastAsia" w:ascii="宋体" w:hAnsi="宋体" w:cs="宋体"/>
          <w:color w:val="FF0000"/>
        </w:rPr>
        <w:t>（七）销售及管理费用预算</w:t>
      </w:r>
    </w:p>
    <w:p w14:paraId="77D5699B">
      <w:pPr>
        <w:jc w:val="left"/>
        <w:rPr>
          <w:rFonts w:ascii="宋体" w:hAnsi="宋体" w:cs="宋体"/>
        </w:rPr>
      </w:pPr>
      <w:r>
        <w:rPr>
          <w:rFonts w:hint="eastAsia" w:ascii="宋体" w:hAnsi="宋体" w:cs="宋体"/>
        </w:rPr>
        <w:t>销售费用预算：以销售预算为基础，根据费用计划编制；管理费用预算：多属于固定成本预算，以过去实际开支为基础，按预算期的可预见变化来调整。</w:t>
      </w:r>
    </w:p>
    <w:p w14:paraId="6E6300A7">
      <w:pPr>
        <w:jc w:val="left"/>
        <w:rPr>
          <w:rFonts w:ascii="宋体" w:hAnsi="宋体" w:cs="宋体"/>
        </w:rPr>
      </w:pPr>
      <w:r>
        <w:rPr>
          <w:rFonts w:hint="eastAsia" w:ascii="宋体" w:hAnsi="宋体" w:cs="宋体"/>
        </w:rPr>
        <w:t>销售及管理费用预计现金支出＝销售及管理费用预算总额－折旧及摊销费用</w:t>
      </w:r>
    </w:p>
    <w:p w14:paraId="531EDF2F">
      <w:pPr>
        <w:jc w:val="left"/>
        <w:rPr>
          <w:rFonts w:ascii="宋体" w:hAnsi="宋体" w:cs="宋体"/>
          <w:color w:val="FF0000"/>
        </w:rPr>
      </w:pPr>
      <w:r>
        <w:rPr>
          <w:rFonts w:hint="eastAsia" w:ascii="宋体" w:hAnsi="宋体" w:cs="宋体"/>
          <w:color w:val="FF0000"/>
        </w:rPr>
        <w:t>【知识点6】财务预算编制——资金预算</w:t>
      </w:r>
    </w:p>
    <w:p w14:paraId="38ECAF30">
      <w:pPr>
        <w:jc w:val="left"/>
        <w:rPr>
          <w:rFonts w:ascii="宋体" w:hAnsi="宋体" w:cs="宋体"/>
        </w:rPr>
      </w:pPr>
      <w:r>
        <w:rPr>
          <w:rFonts w:hint="eastAsia" w:ascii="宋体" w:hAnsi="宋体" w:cs="宋体"/>
        </w:rPr>
        <w:t>资金预算以经营预算与专门决策预算为依据编制的，专门反映预算期内预计现金收入与现金支出，以及为满足理想现金余额而进行筹资或归还借款等的预算。</w:t>
      </w:r>
    </w:p>
    <w:p w14:paraId="35A09463">
      <w:pPr>
        <w:jc w:val="left"/>
        <w:rPr>
          <w:rFonts w:ascii="宋体" w:hAnsi="宋体" w:cs="宋体"/>
        </w:rPr>
      </w:pPr>
      <w:r>
        <w:rPr>
          <w:rFonts w:ascii="宋体" w:hAnsi="宋体" w:cs="宋体"/>
        </w:rPr>
        <w:drawing>
          <wp:inline distT="0" distB="0" distL="0" distR="0">
            <wp:extent cx="3620770" cy="1624330"/>
            <wp:effectExtent l="0" t="0" r="17780" b="0"/>
            <wp:docPr id="1621428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805" name="图片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668979" cy="1645716"/>
                    </a:xfrm>
                    <a:prstGeom prst="rect">
                      <a:avLst/>
                    </a:prstGeom>
                  </pic:spPr>
                </pic:pic>
              </a:graphicData>
            </a:graphic>
          </wp:inline>
        </w:drawing>
      </w:r>
    </w:p>
    <w:p w14:paraId="4A6F8F4F">
      <w:pPr>
        <w:jc w:val="left"/>
        <w:rPr>
          <w:rFonts w:ascii="宋体" w:hAnsi="宋体" w:cs="宋体"/>
        </w:rPr>
      </w:pPr>
      <w:r>
        <w:rPr>
          <w:rFonts w:hint="eastAsia" w:ascii="宋体" w:hAnsi="宋体" w:cs="宋体"/>
          <w:color w:val="FF0000"/>
        </w:rPr>
        <w:t>【提示1】</w:t>
      </w:r>
      <w:r>
        <w:rPr>
          <w:rFonts w:hint="eastAsia" w:ascii="宋体" w:hAnsi="宋体" w:cs="宋体"/>
        </w:rPr>
        <w:t>现金收入指销售预算中的经营现金收入；</w:t>
      </w:r>
    </w:p>
    <w:p w14:paraId="569F64F7">
      <w:pPr>
        <w:jc w:val="left"/>
        <w:rPr>
          <w:rFonts w:ascii="宋体" w:hAnsi="宋体" w:cs="宋体"/>
        </w:rPr>
      </w:pPr>
      <w:r>
        <w:rPr>
          <w:rFonts w:hint="eastAsia" w:ascii="宋体" w:hAnsi="宋体" w:cs="宋体"/>
          <w:color w:val="FF0000"/>
        </w:rPr>
        <w:t>【提示2】</w:t>
      </w:r>
      <w:r>
        <w:rPr>
          <w:rFonts w:hint="eastAsia" w:ascii="宋体" w:hAnsi="宋体" w:cs="宋体"/>
        </w:rPr>
        <w:t>现金支出包括预算期的各项现金支出，包括经营性支出和资本支出。</w:t>
      </w:r>
    </w:p>
    <w:p w14:paraId="0436D5C0">
      <w:pPr>
        <w:jc w:val="left"/>
        <w:rPr>
          <w:rFonts w:ascii="宋体" w:hAnsi="宋体" w:cs="宋体"/>
        </w:rPr>
      </w:pPr>
      <w:r>
        <w:rPr>
          <w:rFonts w:hint="eastAsia" w:ascii="宋体" w:hAnsi="宋体" w:cs="宋体"/>
        </w:rPr>
        <w:t>（1）直接材料、直接人工、制造费用、销售及管理费用——来自于经营预算；</w:t>
      </w:r>
    </w:p>
    <w:p w14:paraId="139F8481">
      <w:pPr>
        <w:jc w:val="left"/>
        <w:rPr>
          <w:rFonts w:ascii="宋体" w:hAnsi="宋体" w:cs="宋体"/>
        </w:rPr>
      </w:pPr>
      <w:r>
        <w:rPr>
          <w:rFonts w:hint="eastAsia" w:ascii="宋体" w:hAnsi="宋体" w:cs="宋体"/>
        </w:rPr>
        <w:t>（2）购买设备、厂房建设等——来自于长期投资预算；</w:t>
      </w:r>
    </w:p>
    <w:p w14:paraId="16EC4053">
      <w:pPr>
        <w:jc w:val="left"/>
        <w:rPr>
          <w:rFonts w:ascii="宋体" w:hAnsi="宋体" w:cs="宋体"/>
        </w:rPr>
      </w:pPr>
      <w:r>
        <w:rPr>
          <w:rFonts w:hint="eastAsia" w:ascii="宋体" w:hAnsi="宋体" w:cs="宋体"/>
          <w:color w:val="FF0000"/>
        </w:rPr>
        <w:t>【提示3】</w:t>
      </w:r>
      <w:r>
        <w:rPr>
          <w:rFonts w:hint="eastAsia" w:ascii="宋体" w:hAnsi="宋体" w:cs="宋体"/>
        </w:rPr>
        <w:t>现金筹措与运用</w:t>
      </w:r>
    </w:p>
    <w:p w14:paraId="0EC0D97F">
      <w:pPr>
        <w:jc w:val="left"/>
        <w:rPr>
          <w:rFonts w:ascii="宋体" w:hAnsi="宋体" w:cs="宋体"/>
        </w:rPr>
      </w:pPr>
      <w:r>
        <w:rPr>
          <w:rFonts w:hint="eastAsia" w:ascii="宋体" w:hAnsi="宋体" w:cs="宋体"/>
        </w:rPr>
        <w:t>（1）现金余缺为负，表明现金不足，需要筹措现金，可以出售有价证券或借入短期借款。</w:t>
      </w:r>
    </w:p>
    <w:p w14:paraId="00DC33FE">
      <w:pPr>
        <w:jc w:val="left"/>
        <w:rPr>
          <w:rFonts w:ascii="宋体" w:hAnsi="宋体" w:cs="宋体"/>
        </w:rPr>
      </w:pPr>
      <w:r>
        <w:rPr>
          <w:rFonts w:hint="eastAsia" w:ascii="宋体" w:hAnsi="宋体" w:cs="宋体"/>
        </w:rPr>
        <w:t>（2）现金余缺为正，表明现金多余，需要运用现金，可以偿还短期借款或购入有价证券。</w:t>
      </w:r>
    </w:p>
    <w:p w14:paraId="0625AB44">
      <w:pPr>
        <w:jc w:val="left"/>
        <w:rPr>
          <w:rFonts w:ascii="宋体" w:hAnsi="宋体" w:cs="宋体"/>
        </w:rPr>
      </w:pPr>
      <w:r>
        <w:rPr>
          <w:rFonts w:hint="eastAsia" w:ascii="宋体" w:hAnsi="宋体" w:cs="宋体"/>
        </w:rPr>
        <w:t>（3）相关利息本金应在现金筹措中体现。</w:t>
      </w:r>
    </w:p>
    <w:p w14:paraId="2F6FEC93">
      <w:pPr>
        <w:jc w:val="left"/>
        <w:rPr>
          <w:rFonts w:ascii="宋体" w:hAnsi="宋体" w:cs="宋体"/>
          <w:color w:val="FF0000"/>
        </w:rPr>
      </w:pPr>
      <w:r>
        <w:rPr>
          <w:rFonts w:hint="eastAsia" w:ascii="宋体" w:hAnsi="宋体" w:cs="宋体"/>
          <w:color w:val="FF0000"/>
        </w:rPr>
        <w:t>【知识点7】预计利润表的编制和预计资产负债表编制</w:t>
      </w:r>
    </w:p>
    <w:p w14:paraId="47770533">
      <w:pPr>
        <w:jc w:val="left"/>
        <w:rPr>
          <w:rFonts w:ascii="宋体" w:hAnsi="宋体" w:cs="宋体"/>
        </w:rPr>
      </w:pPr>
      <w:r>
        <w:rPr>
          <w:rFonts w:hint="eastAsia" w:ascii="宋体" w:hAnsi="宋体" w:cs="宋体"/>
        </w:rPr>
        <w:t>（1）编制基础：经营预算、专门决策预算、资金预算</w:t>
      </w:r>
    </w:p>
    <w:p w14:paraId="47081C85">
      <w:pPr>
        <w:jc w:val="left"/>
        <w:rPr>
          <w:rFonts w:ascii="宋体" w:hAnsi="宋体" w:cs="宋体"/>
        </w:rPr>
      </w:pPr>
      <w:r>
        <w:rPr>
          <w:rFonts w:hint="eastAsia" w:ascii="宋体" w:hAnsi="宋体" w:cs="宋体"/>
        </w:rPr>
        <w:t>（2）编制顺序：先编制预计利润表，之后编制资产负债表。</w:t>
      </w:r>
    </w:p>
    <w:p w14:paraId="643B353A">
      <w:pPr>
        <w:jc w:val="left"/>
        <w:rPr>
          <w:rFonts w:hint="eastAsia" w:ascii="宋体" w:hAnsi="宋体" w:cs="宋体"/>
        </w:rPr>
      </w:pPr>
      <w:r>
        <w:rPr>
          <w:rFonts w:hint="eastAsia" w:ascii="宋体" w:hAnsi="宋体" w:cs="宋体"/>
        </w:rPr>
        <w:t>（3）资产负债表是全面预算的终点。</w:t>
      </w:r>
    </w:p>
    <w:p w14:paraId="7F1F9393">
      <w:pPr>
        <w:overflowPunct w:val="0"/>
        <w:jc w:val="center"/>
        <w:rPr>
          <w:rFonts w:ascii="宋体" w:hAnsi="宋体" w:cs="宋体"/>
          <w:b/>
          <w:bCs/>
        </w:rPr>
      </w:pPr>
      <w:r>
        <w:rPr>
          <w:rFonts w:hint="eastAsia" w:ascii="宋体" w:hAnsi="宋体" w:cs="宋体"/>
          <w:b/>
          <w:bCs/>
        </w:rPr>
        <w:t>第四章  筹资管理</w:t>
      </w:r>
    </w:p>
    <w:p w14:paraId="55E4D362">
      <w:pPr>
        <w:jc w:val="left"/>
        <w:rPr>
          <w:rFonts w:ascii="宋体" w:hAnsi="宋体" w:cs="宋体"/>
        </w:rPr>
      </w:pPr>
      <w:r>
        <w:rPr>
          <w:rFonts w:hint="eastAsia" w:ascii="宋体" w:hAnsi="宋体" w:cs="宋体"/>
          <w:color w:val="FF0000"/>
        </w:rPr>
        <w:t>【考情分析】</w:t>
      </w:r>
      <w:r>
        <w:rPr>
          <w:rFonts w:hint="eastAsia" w:ascii="宋体" w:hAnsi="宋体" w:cs="宋体"/>
        </w:rPr>
        <w:t>预测2024年以客观题为主，分数10分左右。</w:t>
      </w:r>
    </w:p>
    <w:p w14:paraId="0BC8B397">
      <w:pPr>
        <w:jc w:val="center"/>
        <w:rPr>
          <w:rFonts w:ascii="宋体" w:hAnsi="宋体" w:cs="宋体"/>
          <w:b/>
          <w:bCs/>
        </w:rPr>
      </w:pPr>
      <w:r>
        <w:rPr>
          <w:rFonts w:hint="eastAsia" w:ascii="宋体" w:hAnsi="宋体" w:cs="宋体"/>
          <w:b/>
          <w:bCs/>
        </w:rPr>
        <w:t>第一节 筹资管理概述</w:t>
      </w:r>
    </w:p>
    <w:p w14:paraId="2F0D926D">
      <w:pPr>
        <w:jc w:val="left"/>
        <w:rPr>
          <w:rFonts w:ascii="宋体" w:hAnsi="宋体" w:cs="宋体"/>
          <w:color w:val="FF0000"/>
        </w:rPr>
      </w:pPr>
      <w:r>
        <w:rPr>
          <w:rFonts w:hint="eastAsia" w:ascii="宋体" w:hAnsi="宋体" w:cs="宋体"/>
          <w:color w:val="FF0000"/>
        </w:rPr>
        <w:t>【知识点1】企业筹资动机</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9124"/>
      </w:tblGrid>
      <w:tr w14:paraId="7B30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24A7CE75">
            <w:pPr>
              <w:rPr>
                <w:rFonts w:ascii="宋体" w:hAnsi="宋体" w:cs="宋体"/>
              </w:rPr>
            </w:pPr>
            <w:r>
              <w:rPr>
                <w:rFonts w:hint="eastAsia" w:ascii="宋体" w:hAnsi="宋体" w:cs="宋体"/>
              </w:rPr>
              <w:t>创立性</w:t>
            </w:r>
          </w:p>
        </w:tc>
        <w:tc>
          <w:tcPr>
            <w:tcW w:w="4501" w:type="pct"/>
          </w:tcPr>
          <w:p w14:paraId="1B1ED00C">
            <w:pPr>
              <w:rPr>
                <w:rFonts w:ascii="宋体" w:hAnsi="宋体" w:cs="宋体"/>
              </w:rPr>
            </w:pPr>
            <w:r>
              <w:rPr>
                <w:rFonts w:hint="eastAsia" w:ascii="宋体" w:hAnsi="宋体" w:cs="宋体"/>
              </w:rPr>
              <w:t>企业设立时，为取得资本金并形成开展经营活动的基本条件而产生的筹资动机。</w:t>
            </w:r>
          </w:p>
        </w:tc>
      </w:tr>
      <w:tr w14:paraId="3AFD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1D16717E">
            <w:pPr>
              <w:rPr>
                <w:rFonts w:ascii="宋体" w:hAnsi="宋体" w:cs="宋体"/>
              </w:rPr>
            </w:pPr>
            <w:r>
              <w:rPr>
                <w:rFonts w:hint="eastAsia" w:ascii="宋体" w:hAnsi="宋体" w:cs="宋体"/>
              </w:rPr>
              <w:t>支付性</w:t>
            </w:r>
          </w:p>
        </w:tc>
        <w:tc>
          <w:tcPr>
            <w:tcW w:w="4501" w:type="pct"/>
          </w:tcPr>
          <w:p w14:paraId="0ACB778D">
            <w:pPr>
              <w:rPr>
                <w:rFonts w:ascii="宋体" w:hAnsi="宋体" w:cs="宋体"/>
              </w:rPr>
            </w:pPr>
            <w:r>
              <w:rPr>
                <w:rFonts w:hint="eastAsia" w:ascii="宋体" w:hAnsi="宋体" w:cs="宋体"/>
              </w:rPr>
              <w:t>为满足经营业务活动的正常波动所形成的支付需要而产生的筹资动机</w:t>
            </w:r>
          </w:p>
        </w:tc>
      </w:tr>
      <w:tr w14:paraId="6BAC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2F984CDA">
            <w:pPr>
              <w:rPr>
                <w:rFonts w:ascii="宋体" w:hAnsi="宋体" w:cs="宋体"/>
              </w:rPr>
            </w:pPr>
            <w:r>
              <w:rPr>
                <w:rFonts w:hint="eastAsia" w:ascii="宋体" w:hAnsi="宋体" w:cs="宋体"/>
              </w:rPr>
              <w:t>扩张性</w:t>
            </w:r>
          </w:p>
        </w:tc>
        <w:tc>
          <w:tcPr>
            <w:tcW w:w="4501" w:type="pct"/>
          </w:tcPr>
          <w:p w14:paraId="5D401882">
            <w:pPr>
              <w:rPr>
                <w:rFonts w:ascii="宋体" w:hAnsi="宋体" w:cs="宋体"/>
              </w:rPr>
            </w:pPr>
            <w:r>
              <w:rPr>
                <w:rFonts w:hint="eastAsia" w:ascii="宋体" w:hAnsi="宋体" w:cs="宋体"/>
              </w:rPr>
              <w:t>企业因扩大经营规模或对外投资需要而产生的筹资动机。</w:t>
            </w:r>
          </w:p>
        </w:tc>
      </w:tr>
      <w:tr w14:paraId="7C8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183E72D2">
            <w:pPr>
              <w:rPr>
                <w:rFonts w:ascii="宋体" w:hAnsi="宋体" w:cs="宋体"/>
              </w:rPr>
            </w:pPr>
            <w:r>
              <w:rPr>
                <w:rFonts w:hint="eastAsia" w:ascii="宋体" w:hAnsi="宋体" w:cs="宋体"/>
              </w:rPr>
              <w:t>调整性</w:t>
            </w:r>
          </w:p>
        </w:tc>
        <w:tc>
          <w:tcPr>
            <w:tcW w:w="4501" w:type="pct"/>
          </w:tcPr>
          <w:p w14:paraId="5BB459E3">
            <w:pPr>
              <w:rPr>
                <w:rFonts w:ascii="宋体" w:hAnsi="宋体" w:cs="宋体"/>
              </w:rPr>
            </w:pPr>
            <w:r>
              <w:rPr>
                <w:rFonts w:hint="eastAsia" w:ascii="宋体" w:hAnsi="宋体" w:cs="宋体"/>
              </w:rPr>
              <w:t>企业因调整资本结构而产生的筹资动机。</w:t>
            </w:r>
          </w:p>
          <w:p w14:paraId="5F50CF5B">
            <w:pPr>
              <w:rPr>
                <w:rFonts w:ascii="宋体" w:hAnsi="宋体" w:cs="宋体"/>
              </w:rPr>
            </w:pPr>
            <w:r>
              <w:rPr>
                <w:rFonts w:hint="eastAsia" w:ascii="宋体" w:hAnsi="宋体" w:cs="宋体"/>
              </w:rPr>
              <w:t>调整目的：（1）优化资本结构，合理利用财务杠杆效应；</w:t>
            </w:r>
          </w:p>
          <w:p w14:paraId="2C9F2897">
            <w:pPr>
              <w:rPr>
                <w:rFonts w:ascii="宋体" w:hAnsi="宋体" w:cs="宋体"/>
              </w:rPr>
            </w:pPr>
            <w:r>
              <w:rPr>
                <w:rFonts w:hint="eastAsia" w:ascii="宋体" w:hAnsi="宋体" w:cs="宋体"/>
              </w:rPr>
              <w:t xml:space="preserve">         （2）偿还到期债务，债务结构内部调整。</w:t>
            </w:r>
          </w:p>
        </w:tc>
      </w:tr>
      <w:tr w14:paraId="069B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70B85754">
            <w:pPr>
              <w:rPr>
                <w:rFonts w:ascii="宋体" w:hAnsi="宋体" w:cs="宋体"/>
              </w:rPr>
            </w:pPr>
            <w:r>
              <w:rPr>
                <w:rFonts w:hint="eastAsia" w:ascii="宋体" w:hAnsi="宋体" w:cs="宋体"/>
              </w:rPr>
              <w:t>混合性</w:t>
            </w:r>
          </w:p>
        </w:tc>
        <w:tc>
          <w:tcPr>
            <w:tcW w:w="4501" w:type="pct"/>
          </w:tcPr>
          <w:p w14:paraId="1F8A499B">
            <w:pPr>
              <w:rPr>
                <w:rFonts w:ascii="宋体" w:hAnsi="宋体" w:cs="宋体"/>
              </w:rPr>
            </w:pPr>
            <w:r>
              <w:rPr>
                <w:rFonts w:hint="eastAsia" w:ascii="宋体" w:hAnsi="宋体" w:cs="宋体"/>
              </w:rPr>
              <w:t>基于企业规模扩张和调整资本结构两种目的，兼具扩张性筹资动机和调整性筹资动机</w:t>
            </w:r>
          </w:p>
        </w:tc>
      </w:tr>
    </w:tbl>
    <w:p w14:paraId="7F28943A">
      <w:pPr>
        <w:jc w:val="left"/>
        <w:rPr>
          <w:rFonts w:ascii="宋体" w:hAnsi="宋体" w:cs="宋体"/>
        </w:rPr>
      </w:pPr>
      <w:r>
        <w:rPr>
          <w:rFonts w:hint="eastAsia" w:ascii="宋体" w:hAnsi="宋体" w:cs="宋体"/>
          <w:color w:val="FF0000"/>
        </w:rPr>
        <w:t>【提示】</w:t>
      </w:r>
      <w:r>
        <w:rPr>
          <w:rFonts w:hint="eastAsia" w:ascii="宋体" w:hAnsi="宋体" w:cs="宋体"/>
        </w:rPr>
        <w:t>银行借款的提前支付是支付性筹资动机；而偿还到期债务是调整性筹资动机。</w:t>
      </w:r>
    </w:p>
    <w:p w14:paraId="4D28BD6D">
      <w:pPr>
        <w:jc w:val="left"/>
        <w:rPr>
          <w:rFonts w:ascii="宋体" w:hAnsi="宋体" w:cs="宋体"/>
          <w:color w:val="FF0000"/>
        </w:rPr>
      </w:pPr>
      <w:r>
        <w:rPr>
          <w:rFonts w:hint="eastAsia" w:ascii="宋体" w:hAnsi="宋体" w:cs="宋体"/>
          <w:color w:val="FF0000"/>
        </w:rPr>
        <w:t>【知识点2】筹资分类</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1741"/>
        <w:gridCol w:w="6369"/>
      </w:tblGrid>
      <w:tr w14:paraId="0F71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74A7E3F5">
            <w:pPr>
              <w:jc w:val="left"/>
              <w:rPr>
                <w:rFonts w:ascii="宋体" w:hAnsi="宋体" w:cs="宋体"/>
              </w:rPr>
            </w:pPr>
            <w:r>
              <w:rPr>
                <w:rFonts w:hint="eastAsia" w:ascii="宋体" w:hAnsi="宋体" w:cs="宋体"/>
              </w:rPr>
              <w:t>是否借助金融机构为媒介来获取资金</w:t>
            </w:r>
          </w:p>
        </w:tc>
        <w:tc>
          <w:tcPr>
            <w:tcW w:w="859" w:type="pct"/>
          </w:tcPr>
          <w:p w14:paraId="4F1DE888">
            <w:pPr>
              <w:jc w:val="left"/>
              <w:rPr>
                <w:rFonts w:ascii="宋体" w:hAnsi="宋体" w:cs="宋体"/>
              </w:rPr>
            </w:pPr>
            <w:r>
              <w:rPr>
                <w:rFonts w:hint="eastAsia" w:ascii="宋体" w:hAnsi="宋体" w:cs="宋体"/>
              </w:rPr>
              <w:t>是：间接筹资</w:t>
            </w:r>
          </w:p>
        </w:tc>
        <w:tc>
          <w:tcPr>
            <w:tcW w:w="3143" w:type="pct"/>
          </w:tcPr>
          <w:p w14:paraId="20CF9571">
            <w:pPr>
              <w:jc w:val="left"/>
              <w:rPr>
                <w:rFonts w:ascii="宋体" w:hAnsi="宋体" w:cs="宋体"/>
              </w:rPr>
            </w:pPr>
            <w:r>
              <w:rPr>
                <w:rFonts w:hint="eastAsia" w:ascii="宋体" w:hAnsi="宋体" w:cs="宋体"/>
              </w:rPr>
              <w:t>银行借款、租赁</w:t>
            </w:r>
          </w:p>
        </w:tc>
      </w:tr>
      <w:tr w14:paraId="53A6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738749DB">
            <w:pPr>
              <w:jc w:val="left"/>
              <w:rPr>
                <w:rFonts w:ascii="宋体" w:hAnsi="宋体" w:cs="宋体"/>
              </w:rPr>
            </w:pPr>
          </w:p>
        </w:tc>
        <w:tc>
          <w:tcPr>
            <w:tcW w:w="859" w:type="pct"/>
          </w:tcPr>
          <w:p w14:paraId="51CA4B73">
            <w:pPr>
              <w:jc w:val="left"/>
              <w:rPr>
                <w:rFonts w:ascii="宋体" w:hAnsi="宋体" w:cs="宋体"/>
              </w:rPr>
            </w:pPr>
            <w:r>
              <w:rPr>
                <w:rFonts w:hint="eastAsia" w:ascii="宋体" w:hAnsi="宋体" w:cs="宋体"/>
              </w:rPr>
              <w:t>否：直接筹资</w:t>
            </w:r>
          </w:p>
        </w:tc>
        <w:tc>
          <w:tcPr>
            <w:tcW w:w="3143" w:type="pct"/>
          </w:tcPr>
          <w:p w14:paraId="65B70AC1">
            <w:pPr>
              <w:jc w:val="left"/>
              <w:rPr>
                <w:rFonts w:ascii="宋体" w:hAnsi="宋体" w:cs="宋体"/>
              </w:rPr>
            </w:pPr>
            <w:r>
              <w:rPr>
                <w:rFonts w:hint="eastAsia" w:ascii="宋体" w:hAnsi="宋体" w:cs="宋体"/>
              </w:rPr>
              <w:t>发行股票、发行债券、吸收直接投资</w:t>
            </w:r>
          </w:p>
        </w:tc>
      </w:tr>
    </w:tbl>
    <w:p w14:paraId="50EC28A9">
      <w:pPr>
        <w:jc w:val="left"/>
        <w:rPr>
          <w:rFonts w:ascii="宋体" w:hAnsi="宋体" w:cs="宋体"/>
        </w:rPr>
      </w:pPr>
    </w:p>
    <w:p w14:paraId="0CCF0E64">
      <w:pPr>
        <w:jc w:val="center"/>
        <w:rPr>
          <w:rFonts w:ascii="宋体" w:hAnsi="宋体" w:cs="宋体"/>
          <w:b/>
          <w:bCs/>
        </w:rPr>
      </w:pPr>
      <w:r>
        <w:rPr>
          <w:rFonts w:hint="eastAsia" w:ascii="宋体" w:hAnsi="宋体" w:cs="宋体"/>
          <w:b/>
          <w:bCs/>
        </w:rPr>
        <w:t>第二节 债务筹资</w:t>
      </w:r>
    </w:p>
    <w:p w14:paraId="60D16E5F">
      <w:pPr>
        <w:jc w:val="left"/>
        <w:rPr>
          <w:rFonts w:ascii="宋体" w:hAnsi="宋体" w:cs="宋体"/>
          <w:color w:val="FF0000"/>
        </w:rPr>
      </w:pPr>
      <w:r>
        <w:rPr>
          <w:rFonts w:hint="eastAsia" w:ascii="宋体" w:hAnsi="宋体" w:cs="宋体"/>
          <w:color w:val="FF0000"/>
        </w:rPr>
        <w:t>【知识点1】长期借款的保护性条款</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980"/>
      </w:tblGrid>
      <w:tr w14:paraId="344A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64C7F41A">
            <w:pPr>
              <w:rPr>
                <w:rFonts w:ascii="宋体" w:hAnsi="宋体" w:cs="宋体"/>
              </w:rPr>
            </w:pPr>
            <w:r>
              <w:rPr>
                <w:rFonts w:hint="eastAsia" w:ascii="宋体" w:hAnsi="宋体" w:cs="宋体"/>
              </w:rPr>
              <w:t>例行性</w:t>
            </w:r>
          </w:p>
        </w:tc>
        <w:tc>
          <w:tcPr>
            <w:tcW w:w="4430" w:type="pct"/>
          </w:tcPr>
          <w:p w14:paraId="6605B049">
            <w:pPr>
              <w:rPr>
                <w:rFonts w:ascii="宋体" w:hAnsi="宋体" w:cs="宋体"/>
              </w:rPr>
            </w:pPr>
            <w:r>
              <w:rPr>
                <w:rFonts w:hint="eastAsia" w:ascii="宋体" w:hAnsi="宋体" w:cs="宋体"/>
              </w:rPr>
              <w:t>大多借款合同都会出现</w:t>
            </w:r>
          </w:p>
        </w:tc>
      </w:tr>
      <w:tr w14:paraId="7664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58DC69CA">
            <w:pPr>
              <w:rPr>
                <w:rFonts w:ascii="宋体" w:hAnsi="宋体" w:cs="宋体"/>
              </w:rPr>
            </w:pPr>
            <w:r>
              <w:rPr>
                <w:rFonts w:hint="eastAsia" w:ascii="宋体" w:hAnsi="宋体" w:cs="宋体"/>
              </w:rPr>
              <w:t>一般性</w:t>
            </w:r>
          </w:p>
        </w:tc>
        <w:tc>
          <w:tcPr>
            <w:tcW w:w="4430" w:type="pct"/>
          </w:tcPr>
          <w:p w14:paraId="0C0BC1C4">
            <w:pPr>
              <w:rPr>
                <w:rFonts w:ascii="宋体" w:hAnsi="宋体" w:cs="宋体"/>
              </w:rPr>
            </w:pPr>
            <w:r>
              <w:rPr>
                <w:rFonts w:hint="eastAsia" w:ascii="宋体" w:hAnsi="宋体" w:cs="宋体"/>
              </w:rPr>
              <w:t>（1）保持资产的流动性</w:t>
            </w:r>
          </w:p>
          <w:p w14:paraId="4857E25D">
            <w:pPr>
              <w:rPr>
                <w:rFonts w:ascii="宋体" w:hAnsi="宋体" w:cs="宋体"/>
              </w:rPr>
            </w:pPr>
            <w:r>
              <w:rPr>
                <w:rFonts w:hint="eastAsia" w:ascii="宋体" w:hAnsi="宋体" w:cs="宋体"/>
              </w:rPr>
              <w:t>（2）限制非经营性支出、资本支出的规模、长期投资、再举债规模</w:t>
            </w:r>
          </w:p>
        </w:tc>
      </w:tr>
      <w:tr w14:paraId="5B32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199FFBDA">
            <w:pPr>
              <w:rPr>
                <w:rFonts w:ascii="宋体" w:hAnsi="宋体" w:cs="宋体"/>
              </w:rPr>
            </w:pPr>
            <w:r>
              <w:rPr>
                <w:rFonts w:hint="eastAsia" w:ascii="宋体" w:hAnsi="宋体" w:cs="宋体"/>
              </w:rPr>
              <w:t>特殊性</w:t>
            </w:r>
          </w:p>
        </w:tc>
        <w:tc>
          <w:tcPr>
            <w:tcW w:w="4430" w:type="pct"/>
          </w:tcPr>
          <w:p w14:paraId="3B51A322">
            <w:pPr>
              <w:rPr>
                <w:rFonts w:ascii="宋体" w:hAnsi="宋体" w:cs="宋体"/>
              </w:rPr>
            </w:pPr>
            <w:r>
              <w:rPr>
                <w:rFonts w:hint="eastAsia" w:ascii="宋体" w:hAnsi="宋体" w:cs="宋体"/>
              </w:rPr>
              <w:t>（1）要求公司的主要领导人购买人身保险；</w:t>
            </w:r>
          </w:p>
          <w:p w14:paraId="21D47F06">
            <w:pPr>
              <w:rPr>
                <w:rFonts w:ascii="宋体" w:hAnsi="宋体" w:cs="宋体"/>
              </w:rPr>
            </w:pPr>
            <w:r>
              <w:rPr>
                <w:rFonts w:hint="eastAsia" w:ascii="宋体" w:hAnsi="宋体" w:cs="宋体"/>
              </w:rPr>
              <w:t>（2）借款的用途不得改变；</w:t>
            </w:r>
          </w:p>
          <w:p w14:paraId="4167A99D">
            <w:pPr>
              <w:rPr>
                <w:rFonts w:ascii="宋体" w:hAnsi="宋体" w:cs="宋体"/>
              </w:rPr>
            </w:pPr>
            <w:r>
              <w:rPr>
                <w:rFonts w:hint="eastAsia" w:ascii="宋体" w:hAnsi="宋体" w:cs="宋体"/>
              </w:rPr>
              <w:t>（3）违约惩罚条款</w:t>
            </w:r>
          </w:p>
        </w:tc>
      </w:tr>
    </w:tbl>
    <w:p w14:paraId="2E60A415">
      <w:pPr>
        <w:jc w:val="left"/>
        <w:rPr>
          <w:rFonts w:ascii="宋体" w:hAnsi="宋体" w:cs="宋体"/>
          <w:color w:val="FF0000"/>
        </w:rPr>
      </w:pPr>
      <w:r>
        <w:rPr>
          <w:rFonts w:hint="eastAsia" w:ascii="宋体" w:hAnsi="宋体" w:cs="宋体"/>
          <w:color w:val="FF0000"/>
        </w:rPr>
        <w:t>【知识点2】银行借款优缺点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980"/>
      </w:tblGrid>
      <w:tr w14:paraId="6C55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Pr>
          <w:p w14:paraId="02E48D41">
            <w:pPr>
              <w:jc w:val="center"/>
              <w:rPr>
                <w:rFonts w:ascii="宋体" w:hAnsi="宋体" w:cs="宋体"/>
              </w:rPr>
            </w:pPr>
            <w:r>
              <w:rPr>
                <w:rFonts w:hint="eastAsia" w:ascii="宋体" w:hAnsi="宋体" w:cs="宋体"/>
              </w:rPr>
              <w:t>优点</w:t>
            </w:r>
          </w:p>
        </w:tc>
        <w:tc>
          <w:tcPr>
            <w:tcW w:w="4430" w:type="pct"/>
          </w:tcPr>
          <w:p w14:paraId="280DFE2C">
            <w:pPr>
              <w:rPr>
                <w:rFonts w:ascii="宋体" w:hAnsi="宋体" w:cs="宋体"/>
              </w:rPr>
            </w:pPr>
            <w:r>
              <w:rPr>
                <w:rFonts w:hint="eastAsia" w:ascii="宋体" w:hAnsi="宋体" w:cs="宋体"/>
              </w:rPr>
              <w:t>（1）筹资速度快；与发行公司债券等相比，借款程序相对简单</w:t>
            </w:r>
          </w:p>
        </w:tc>
      </w:tr>
      <w:tr w14:paraId="2ABE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0A5B69A7">
            <w:pPr>
              <w:jc w:val="left"/>
              <w:rPr>
                <w:rFonts w:ascii="宋体" w:hAnsi="宋体" w:cs="宋体"/>
              </w:rPr>
            </w:pPr>
          </w:p>
        </w:tc>
        <w:tc>
          <w:tcPr>
            <w:tcW w:w="4430" w:type="pct"/>
          </w:tcPr>
          <w:p w14:paraId="7238A38A">
            <w:pPr>
              <w:rPr>
                <w:rFonts w:ascii="宋体" w:hAnsi="宋体" w:cs="宋体"/>
              </w:rPr>
            </w:pPr>
            <w:r>
              <w:rPr>
                <w:rFonts w:hint="eastAsia" w:ascii="宋体" w:hAnsi="宋体" w:cs="宋体"/>
              </w:rPr>
              <w:t>（2）资本成本较低；与发行债券或股权融资相比。</w:t>
            </w:r>
          </w:p>
        </w:tc>
      </w:tr>
      <w:tr w14:paraId="093C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6423C8DC">
            <w:pPr>
              <w:jc w:val="left"/>
              <w:rPr>
                <w:rFonts w:ascii="宋体" w:hAnsi="宋体" w:cs="宋体"/>
              </w:rPr>
            </w:pPr>
          </w:p>
        </w:tc>
        <w:tc>
          <w:tcPr>
            <w:tcW w:w="4430" w:type="pct"/>
          </w:tcPr>
          <w:p w14:paraId="5971B97D">
            <w:pPr>
              <w:rPr>
                <w:rFonts w:ascii="宋体" w:hAnsi="宋体" w:cs="宋体"/>
              </w:rPr>
            </w:pPr>
            <w:r>
              <w:rPr>
                <w:rFonts w:hint="eastAsia" w:ascii="宋体" w:hAnsi="宋体" w:cs="宋体"/>
              </w:rPr>
              <w:t>（3）筹资弹性较大；借款筹资对公司具有较大的灵活性。</w:t>
            </w:r>
          </w:p>
        </w:tc>
      </w:tr>
      <w:tr w14:paraId="6701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Pr>
          <w:p w14:paraId="1A641214">
            <w:pPr>
              <w:jc w:val="center"/>
              <w:rPr>
                <w:rFonts w:ascii="宋体" w:hAnsi="宋体" w:cs="宋体"/>
              </w:rPr>
            </w:pPr>
            <w:r>
              <w:rPr>
                <w:rFonts w:hint="eastAsia" w:ascii="宋体" w:hAnsi="宋体" w:cs="宋体"/>
              </w:rPr>
              <w:t>缺点</w:t>
            </w:r>
          </w:p>
        </w:tc>
        <w:tc>
          <w:tcPr>
            <w:tcW w:w="4430" w:type="pct"/>
          </w:tcPr>
          <w:p w14:paraId="36AB76DE">
            <w:pPr>
              <w:rPr>
                <w:rFonts w:ascii="宋体" w:hAnsi="宋体" w:cs="宋体"/>
              </w:rPr>
            </w:pPr>
            <w:r>
              <w:rPr>
                <w:rFonts w:hint="eastAsia" w:ascii="宋体" w:hAnsi="宋体" w:cs="宋体"/>
              </w:rPr>
              <w:t>（1）限制条款多；借款用途有明确规定，有保护性条款。</w:t>
            </w:r>
          </w:p>
        </w:tc>
      </w:tr>
      <w:tr w14:paraId="3070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6B371168">
            <w:pPr>
              <w:jc w:val="left"/>
              <w:rPr>
                <w:rFonts w:ascii="宋体" w:hAnsi="宋体" w:cs="宋体"/>
              </w:rPr>
            </w:pPr>
          </w:p>
        </w:tc>
        <w:tc>
          <w:tcPr>
            <w:tcW w:w="4430" w:type="pct"/>
          </w:tcPr>
          <w:p w14:paraId="08B1563D">
            <w:pPr>
              <w:rPr>
                <w:rFonts w:ascii="宋体" w:hAnsi="宋体" w:cs="宋体"/>
              </w:rPr>
            </w:pPr>
            <w:r>
              <w:rPr>
                <w:rFonts w:hint="eastAsia" w:ascii="宋体" w:hAnsi="宋体" w:cs="宋体"/>
              </w:rPr>
              <w:t>（2）筹资数额有限，与发行公司债券、股票相比，筹集资金少。</w:t>
            </w:r>
          </w:p>
        </w:tc>
      </w:tr>
    </w:tbl>
    <w:p w14:paraId="477D05B1">
      <w:pPr>
        <w:jc w:val="left"/>
        <w:rPr>
          <w:rFonts w:ascii="宋体" w:hAnsi="宋体" w:cs="宋体"/>
          <w:color w:val="FF0000"/>
        </w:rPr>
      </w:pPr>
      <w:r>
        <w:rPr>
          <w:rFonts w:hint="eastAsia" w:ascii="宋体" w:hAnsi="宋体" w:cs="宋体"/>
          <w:color w:val="FF0000"/>
        </w:rPr>
        <w:t>【知识点3】债券的偿还</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8256"/>
      </w:tblGrid>
      <w:tr w14:paraId="2CC6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40FA5AFF">
            <w:pPr>
              <w:rPr>
                <w:rFonts w:ascii="宋体" w:hAnsi="宋体" w:cs="宋体"/>
              </w:rPr>
            </w:pPr>
            <w:r>
              <w:rPr>
                <w:rFonts w:hint="eastAsia" w:ascii="宋体" w:hAnsi="宋体" w:cs="宋体"/>
              </w:rPr>
              <w:t>提前偿还</w:t>
            </w:r>
          </w:p>
        </w:tc>
        <w:tc>
          <w:tcPr>
            <w:tcW w:w="4073" w:type="pct"/>
          </w:tcPr>
          <w:p w14:paraId="21EAFDFF">
            <w:pPr>
              <w:rPr>
                <w:rFonts w:ascii="宋体" w:hAnsi="宋体" w:cs="宋体"/>
              </w:rPr>
            </w:pPr>
            <w:r>
              <w:rPr>
                <w:rFonts w:hint="eastAsia" w:ascii="宋体" w:hAnsi="宋体" w:cs="宋体"/>
              </w:rPr>
              <w:t>债券尚未到期之前就予以偿还；只有在发行债券的契约中明确规定了有关允许提前偿还的条款，才能进行此项操作</w:t>
            </w:r>
          </w:p>
        </w:tc>
      </w:tr>
      <w:tr w14:paraId="16A3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2C1FAB2">
            <w:pPr>
              <w:rPr>
                <w:rFonts w:ascii="宋体" w:hAnsi="宋体" w:cs="宋体"/>
              </w:rPr>
            </w:pPr>
            <w:r>
              <w:rPr>
                <w:rFonts w:hint="eastAsia" w:ascii="宋体" w:hAnsi="宋体" w:cs="宋体"/>
              </w:rPr>
              <w:t>到期分批偿还</w:t>
            </w:r>
          </w:p>
        </w:tc>
        <w:tc>
          <w:tcPr>
            <w:tcW w:w="4073" w:type="pct"/>
          </w:tcPr>
          <w:p w14:paraId="14D32ABF">
            <w:pPr>
              <w:rPr>
                <w:rFonts w:ascii="宋体" w:hAnsi="宋体" w:cs="宋体"/>
              </w:rPr>
            </w:pPr>
            <w:r>
              <w:rPr>
                <w:rFonts w:hint="eastAsia" w:ascii="宋体" w:hAnsi="宋体" w:cs="宋体"/>
              </w:rPr>
              <w:t>发行时对同一债券规定了不同的到期日</w:t>
            </w:r>
          </w:p>
        </w:tc>
      </w:tr>
      <w:tr w14:paraId="5ED1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0172EEA5">
            <w:pPr>
              <w:rPr>
                <w:rFonts w:ascii="宋体" w:hAnsi="宋体" w:cs="宋体"/>
              </w:rPr>
            </w:pPr>
            <w:r>
              <w:rPr>
                <w:rFonts w:hint="eastAsia" w:ascii="宋体" w:hAnsi="宋体" w:cs="宋体"/>
              </w:rPr>
              <w:t>到期一次偿还</w:t>
            </w:r>
          </w:p>
        </w:tc>
        <w:tc>
          <w:tcPr>
            <w:tcW w:w="4073" w:type="pct"/>
          </w:tcPr>
          <w:p w14:paraId="2589EC23">
            <w:pPr>
              <w:rPr>
                <w:rFonts w:ascii="宋体" w:hAnsi="宋体" w:cs="宋体"/>
              </w:rPr>
            </w:pPr>
            <w:r>
              <w:rPr>
                <w:rFonts w:hint="eastAsia" w:ascii="宋体" w:hAnsi="宋体" w:cs="宋体"/>
              </w:rPr>
              <w:t>债券到期日，一次性归还本金利息</w:t>
            </w:r>
          </w:p>
        </w:tc>
      </w:tr>
    </w:tbl>
    <w:p w14:paraId="552434E7">
      <w:pPr>
        <w:jc w:val="left"/>
        <w:rPr>
          <w:rFonts w:ascii="宋体" w:hAnsi="宋体" w:cs="宋体"/>
          <w:color w:val="FF0000"/>
        </w:rPr>
      </w:pPr>
      <w:r>
        <w:rPr>
          <w:rFonts w:hint="eastAsia" w:ascii="宋体" w:hAnsi="宋体" w:cs="宋体"/>
          <w:color w:val="FF0000"/>
        </w:rPr>
        <w:t>【知识点4】公司债券的筹资特点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9124"/>
      </w:tblGrid>
      <w:tr w14:paraId="1E8D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restart"/>
          </w:tcPr>
          <w:p w14:paraId="645999F0">
            <w:pPr>
              <w:rPr>
                <w:rFonts w:ascii="宋体" w:hAnsi="宋体" w:cs="宋体"/>
              </w:rPr>
            </w:pPr>
            <w:r>
              <w:rPr>
                <w:rFonts w:hint="eastAsia" w:ascii="宋体" w:hAnsi="宋体" w:cs="宋体"/>
              </w:rPr>
              <w:t>优点</w:t>
            </w:r>
          </w:p>
        </w:tc>
        <w:tc>
          <w:tcPr>
            <w:tcW w:w="4501" w:type="pct"/>
          </w:tcPr>
          <w:p w14:paraId="657B6816">
            <w:pPr>
              <w:jc w:val="left"/>
              <w:rPr>
                <w:rFonts w:ascii="宋体" w:hAnsi="宋体" w:cs="宋体"/>
              </w:rPr>
            </w:pPr>
            <w:r>
              <w:rPr>
                <w:rFonts w:hint="eastAsia" w:ascii="宋体" w:hAnsi="宋体" w:cs="宋体"/>
              </w:rPr>
              <w:t>1.一次筹资数额大，与银行借款相比</w:t>
            </w:r>
          </w:p>
        </w:tc>
      </w:tr>
      <w:tr w14:paraId="5C87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tcPr>
          <w:p w14:paraId="2AD041BE">
            <w:pPr>
              <w:jc w:val="left"/>
              <w:rPr>
                <w:rFonts w:ascii="宋体" w:hAnsi="宋体" w:cs="宋体"/>
              </w:rPr>
            </w:pPr>
          </w:p>
        </w:tc>
        <w:tc>
          <w:tcPr>
            <w:tcW w:w="4501" w:type="pct"/>
          </w:tcPr>
          <w:p w14:paraId="247EE177">
            <w:pPr>
              <w:jc w:val="left"/>
              <w:rPr>
                <w:rFonts w:ascii="宋体" w:hAnsi="宋体" w:cs="宋体"/>
              </w:rPr>
            </w:pPr>
            <w:r>
              <w:rPr>
                <w:rFonts w:hint="eastAsia" w:ascii="宋体" w:hAnsi="宋体" w:cs="宋体"/>
              </w:rPr>
              <w:t>2.筹集资金使用限制条件少，与银行借款相比</w:t>
            </w:r>
          </w:p>
        </w:tc>
      </w:tr>
      <w:tr w14:paraId="7051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tcPr>
          <w:p w14:paraId="6BB62392">
            <w:pPr>
              <w:jc w:val="left"/>
              <w:rPr>
                <w:rFonts w:ascii="宋体" w:hAnsi="宋体" w:cs="宋体"/>
              </w:rPr>
            </w:pPr>
          </w:p>
        </w:tc>
        <w:tc>
          <w:tcPr>
            <w:tcW w:w="4501" w:type="pct"/>
          </w:tcPr>
          <w:p w14:paraId="5669D155">
            <w:pPr>
              <w:jc w:val="left"/>
              <w:rPr>
                <w:rFonts w:ascii="宋体" w:hAnsi="宋体" w:cs="宋体"/>
              </w:rPr>
            </w:pPr>
            <w:r>
              <w:rPr>
                <w:rFonts w:hint="eastAsia" w:ascii="宋体" w:hAnsi="宋体" w:cs="宋体"/>
              </w:rPr>
              <w:t>3.提高公司的社会声誉</w:t>
            </w:r>
          </w:p>
        </w:tc>
      </w:tr>
      <w:tr w14:paraId="608A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07BFD0EA">
            <w:pPr>
              <w:rPr>
                <w:rFonts w:ascii="宋体" w:hAnsi="宋体" w:cs="宋体"/>
              </w:rPr>
            </w:pPr>
            <w:r>
              <w:rPr>
                <w:rFonts w:hint="eastAsia" w:ascii="宋体" w:hAnsi="宋体" w:cs="宋体"/>
              </w:rPr>
              <w:t>缺点</w:t>
            </w:r>
          </w:p>
        </w:tc>
        <w:tc>
          <w:tcPr>
            <w:tcW w:w="4501" w:type="pct"/>
          </w:tcPr>
          <w:p w14:paraId="35F8A450">
            <w:pPr>
              <w:jc w:val="left"/>
              <w:rPr>
                <w:rFonts w:ascii="宋体" w:hAnsi="宋体" w:cs="宋体"/>
              </w:rPr>
            </w:pPr>
            <w:r>
              <w:rPr>
                <w:rFonts w:hint="eastAsia" w:ascii="宋体" w:hAnsi="宋体" w:cs="宋体"/>
              </w:rPr>
              <w:t>资本成本负担较高，与银行借款相比</w:t>
            </w:r>
          </w:p>
        </w:tc>
      </w:tr>
    </w:tbl>
    <w:p w14:paraId="38D6EC12">
      <w:pPr>
        <w:jc w:val="left"/>
        <w:rPr>
          <w:rFonts w:hint="eastAsia" w:ascii="宋体" w:hAnsi="宋体" w:cs="宋体"/>
          <w:color w:val="FF0000"/>
        </w:rPr>
      </w:pPr>
      <w:r>
        <w:rPr>
          <w:rFonts w:hint="eastAsia" w:ascii="宋体" w:hAnsi="宋体" w:cs="宋体"/>
          <w:color w:val="FF0000"/>
        </w:rPr>
        <w:t>【知识点5】租赁的基本形式</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836"/>
      </w:tblGrid>
      <w:tr w14:paraId="3E9E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B3F2538">
            <w:pPr>
              <w:rPr>
                <w:rFonts w:ascii="宋体" w:hAnsi="宋体" w:cs="宋体"/>
              </w:rPr>
            </w:pPr>
            <w:r>
              <w:rPr>
                <w:rFonts w:hint="eastAsia" w:ascii="宋体" w:hAnsi="宋体" w:cs="宋体"/>
              </w:rPr>
              <w:t>直接租赁</w:t>
            </w:r>
          </w:p>
        </w:tc>
        <w:tc>
          <w:tcPr>
            <w:tcW w:w="4359" w:type="pct"/>
          </w:tcPr>
          <w:p w14:paraId="05C6B122">
            <w:pPr>
              <w:rPr>
                <w:rFonts w:ascii="宋体" w:hAnsi="宋体" w:cs="宋体"/>
              </w:rPr>
            </w:pPr>
            <w:r>
              <w:rPr>
                <w:rFonts w:hint="eastAsia" w:ascii="宋体" w:hAnsi="宋体" w:cs="宋体"/>
              </w:rPr>
              <w:t>承租人直接向出租人租入所需要的资产，并付出租金。</w:t>
            </w:r>
          </w:p>
        </w:tc>
      </w:tr>
      <w:tr w14:paraId="705E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9A1DB86">
            <w:pPr>
              <w:rPr>
                <w:rFonts w:ascii="宋体" w:hAnsi="宋体" w:cs="宋体"/>
              </w:rPr>
            </w:pPr>
            <w:r>
              <w:rPr>
                <w:rFonts w:hint="eastAsia" w:ascii="宋体" w:hAnsi="宋体" w:cs="宋体"/>
              </w:rPr>
              <w:t>售后回租</w:t>
            </w:r>
          </w:p>
        </w:tc>
        <w:tc>
          <w:tcPr>
            <w:tcW w:w="4359" w:type="pct"/>
          </w:tcPr>
          <w:p w14:paraId="057C38EB">
            <w:pPr>
              <w:rPr>
                <w:rFonts w:ascii="宋体" w:hAnsi="宋体" w:cs="宋体"/>
              </w:rPr>
            </w:pPr>
            <w:r>
              <w:rPr>
                <w:rFonts w:hint="eastAsia" w:ascii="宋体" w:hAnsi="宋体" w:cs="宋体"/>
              </w:rPr>
              <w:t>根据协议，企业将某资产卖给出租人，再将其租回使用。</w:t>
            </w:r>
          </w:p>
        </w:tc>
      </w:tr>
      <w:tr w14:paraId="5E55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0FECE9CE">
            <w:pPr>
              <w:rPr>
                <w:rFonts w:ascii="宋体" w:hAnsi="宋体" w:cs="宋体"/>
              </w:rPr>
            </w:pPr>
            <w:r>
              <w:rPr>
                <w:rFonts w:hint="eastAsia" w:ascii="宋体" w:hAnsi="宋体" w:cs="宋体"/>
              </w:rPr>
              <w:t>杠杆租赁</w:t>
            </w:r>
          </w:p>
        </w:tc>
        <w:tc>
          <w:tcPr>
            <w:tcW w:w="4359" w:type="pct"/>
          </w:tcPr>
          <w:p w14:paraId="38552932">
            <w:pPr>
              <w:jc w:val="left"/>
              <w:rPr>
                <w:rFonts w:ascii="宋体" w:hAnsi="宋体" w:cs="宋体"/>
              </w:rPr>
            </w:pPr>
            <w:r>
              <w:rPr>
                <w:rFonts w:hint="eastAsia" w:ascii="宋体" w:hAnsi="宋体" w:cs="宋体"/>
              </w:rPr>
              <w:t>杠杆租赁是指涉及到承租人、出租人和资金出借人三方的租赁业务。</w:t>
            </w:r>
          </w:p>
        </w:tc>
      </w:tr>
    </w:tbl>
    <w:p w14:paraId="73101BDB">
      <w:pPr>
        <w:jc w:val="left"/>
        <w:rPr>
          <w:rFonts w:ascii="宋体" w:hAnsi="宋体" w:cs="宋体"/>
          <w:color w:val="FF0000"/>
        </w:rPr>
      </w:pPr>
      <w:r>
        <w:rPr>
          <w:rFonts w:hint="eastAsia" w:ascii="宋体" w:hAnsi="宋体" w:cs="宋体"/>
          <w:color w:val="FF0000"/>
        </w:rPr>
        <w:t>【知识点6】租赁的租金计算</w:t>
      </w:r>
    </w:p>
    <w:p w14:paraId="354B83FB">
      <w:pPr>
        <w:jc w:val="left"/>
        <w:rPr>
          <w:rFonts w:ascii="宋体" w:hAnsi="宋体" w:cs="宋体"/>
          <w:color w:val="FF0000"/>
        </w:rPr>
      </w:pPr>
      <w:r>
        <w:rPr>
          <w:rFonts w:hint="eastAsia" w:ascii="宋体" w:hAnsi="宋体" w:cs="宋体"/>
          <w:color w:val="FF0000"/>
        </w:rPr>
        <w:t>1.租金的构成</w:t>
      </w:r>
    </w:p>
    <w:p w14:paraId="300FB8E0">
      <w:pPr>
        <w:jc w:val="left"/>
        <w:rPr>
          <w:rFonts w:ascii="宋体" w:hAnsi="宋体" w:cs="宋体"/>
        </w:rPr>
      </w:pPr>
      <w:r>
        <w:rPr>
          <w:rFonts w:hint="eastAsia" w:ascii="宋体" w:hAnsi="宋体" w:cs="宋体"/>
        </w:rPr>
        <w:t>（1）设备原价及预计残值，包括设备买价、运输费、安装调试费、保险费等，以及该设备租赁期满后出售可得的收入。</w:t>
      </w:r>
    </w:p>
    <w:p w14:paraId="2CE5872F">
      <w:pPr>
        <w:jc w:val="left"/>
        <w:rPr>
          <w:rFonts w:ascii="宋体" w:hAnsi="宋体" w:cs="宋体"/>
        </w:rPr>
      </w:pPr>
      <w:r>
        <w:rPr>
          <w:rFonts w:hint="eastAsia" w:ascii="宋体" w:hAnsi="宋体" w:cs="宋体"/>
        </w:rPr>
        <w:t>（2）利息，租赁公司为承租企业购置设备垫付资金所应支付的利息。</w:t>
      </w:r>
    </w:p>
    <w:p w14:paraId="5CD91ED6">
      <w:pPr>
        <w:jc w:val="left"/>
        <w:rPr>
          <w:rFonts w:ascii="宋体" w:hAnsi="宋体" w:cs="宋体"/>
        </w:rPr>
      </w:pPr>
      <w:r>
        <w:rPr>
          <w:rFonts w:hint="eastAsia" w:ascii="宋体" w:hAnsi="宋体" w:cs="宋体"/>
        </w:rPr>
        <w:t>（3）租赁手续费，租赁公司承办租赁设备所发生的业务费用和必要的利润</w:t>
      </w:r>
    </w:p>
    <w:p w14:paraId="6C79ADDD">
      <w:pPr>
        <w:jc w:val="left"/>
        <w:rPr>
          <w:rFonts w:ascii="宋体" w:hAnsi="宋体" w:cs="宋体"/>
          <w:color w:val="FF0000"/>
        </w:rPr>
      </w:pPr>
      <w:r>
        <w:rPr>
          <w:rFonts w:hint="eastAsia" w:ascii="宋体" w:hAnsi="宋体" w:cs="宋体"/>
          <w:color w:val="FF0000"/>
        </w:rPr>
        <w:t>2.租金的计算</w:t>
      </w:r>
    </w:p>
    <w:p w14:paraId="5FB89A50">
      <w:pPr>
        <w:jc w:val="left"/>
        <w:rPr>
          <w:rFonts w:ascii="宋体" w:hAnsi="宋体" w:cs="宋体"/>
        </w:rPr>
      </w:pPr>
      <w:r>
        <w:rPr>
          <w:rFonts w:hint="eastAsia" w:ascii="宋体" w:hAnsi="宋体" w:cs="宋体"/>
        </w:rPr>
        <w:t>（1）我国租赁实务中，租金的计算大多采用等额年金法。</w:t>
      </w:r>
    </w:p>
    <w:p w14:paraId="4CF40CEA">
      <w:pPr>
        <w:jc w:val="left"/>
        <w:rPr>
          <w:rFonts w:ascii="宋体" w:hAnsi="宋体" w:cs="宋体"/>
        </w:rPr>
      </w:pPr>
      <w:r>
        <w:rPr>
          <w:rFonts w:hint="eastAsia" w:ascii="宋体" w:hAnsi="宋体" w:cs="宋体"/>
        </w:rPr>
        <w:t>（2）根据利率和租赁手续费率确认一个租费率，作为折现率。</w:t>
      </w:r>
    </w:p>
    <w:p w14:paraId="2E65AE39">
      <w:pPr>
        <w:jc w:val="left"/>
        <w:rPr>
          <w:rFonts w:ascii="宋体" w:hAnsi="宋体" w:cs="宋体"/>
        </w:rPr>
      </w:pPr>
      <w:r>
        <w:rPr>
          <w:rFonts w:hint="eastAsia" w:ascii="宋体" w:hAnsi="宋体" w:cs="宋体"/>
        </w:rPr>
        <w:t xml:space="preserve"> 则， 折现率=利率+租赁手续费率</w:t>
      </w:r>
    </w:p>
    <w:p w14:paraId="74240F78">
      <w:pPr>
        <w:jc w:val="left"/>
        <w:rPr>
          <w:rFonts w:ascii="宋体" w:hAnsi="宋体" w:cs="宋体"/>
          <w:color w:val="FF0000"/>
        </w:rPr>
      </w:pPr>
      <w:r>
        <w:rPr>
          <w:rFonts w:hint="eastAsia" w:ascii="宋体" w:hAnsi="宋体" w:cs="宋体"/>
          <w:color w:val="FF0000"/>
        </w:rPr>
        <w:t>（3）原理：站在出租方的角度，流出现值=流入现值</w:t>
      </w:r>
    </w:p>
    <w:p w14:paraId="79D92BD0">
      <w:pPr>
        <w:jc w:val="left"/>
        <w:rPr>
          <w:rFonts w:hint="eastAsia" w:ascii="宋体" w:hAnsi="宋体" w:cs="宋体"/>
          <w:color w:val="FF0000"/>
        </w:rPr>
      </w:pPr>
      <w:r>
        <w:rPr>
          <w:rFonts w:hint="eastAsia" w:ascii="宋体" w:hAnsi="宋体" w:cs="宋体"/>
          <w:color w:val="FF0000"/>
        </w:rPr>
        <w:t>【知识点7】租赁的筹资特点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836"/>
      </w:tblGrid>
      <w:tr w14:paraId="655A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restart"/>
          </w:tcPr>
          <w:p w14:paraId="068F62D0">
            <w:pPr>
              <w:jc w:val="center"/>
              <w:rPr>
                <w:rFonts w:ascii="宋体" w:hAnsi="宋体" w:cs="宋体"/>
              </w:rPr>
            </w:pPr>
            <w:r>
              <w:rPr>
                <w:rFonts w:hint="eastAsia" w:ascii="宋体" w:hAnsi="宋体" w:cs="宋体"/>
              </w:rPr>
              <w:t>优点</w:t>
            </w:r>
          </w:p>
        </w:tc>
        <w:tc>
          <w:tcPr>
            <w:tcW w:w="4359" w:type="pct"/>
          </w:tcPr>
          <w:p w14:paraId="29F6D2D9">
            <w:pPr>
              <w:rPr>
                <w:rFonts w:ascii="宋体" w:hAnsi="宋体" w:cs="宋体"/>
              </w:rPr>
            </w:pPr>
            <w:r>
              <w:rPr>
                <w:rFonts w:hint="eastAsia" w:ascii="宋体" w:hAnsi="宋体" w:cs="宋体"/>
              </w:rPr>
              <w:t>（1）无需大量资金就能迅速获得资产</w:t>
            </w:r>
          </w:p>
        </w:tc>
      </w:tr>
      <w:tr w14:paraId="29B8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00F2179E">
            <w:pPr>
              <w:jc w:val="left"/>
              <w:rPr>
                <w:rFonts w:ascii="宋体" w:hAnsi="宋体" w:cs="宋体"/>
              </w:rPr>
            </w:pPr>
          </w:p>
        </w:tc>
        <w:tc>
          <w:tcPr>
            <w:tcW w:w="4359" w:type="pct"/>
          </w:tcPr>
          <w:p w14:paraId="36C5BA95">
            <w:pPr>
              <w:rPr>
                <w:rFonts w:ascii="宋体" w:hAnsi="宋体" w:cs="宋体"/>
              </w:rPr>
            </w:pPr>
            <w:r>
              <w:rPr>
                <w:rFonts w:hint="eastAsia" w:ascii="宋体" w:hAnsi="宋体" w:cs="宋体"/>
              </w:rPr>
              <w:t>（2）财务风险小，财务优势明显</w:t>
            </w:r>
          </w:p>
        </w:tc>
      </w:tr>
      <w:tr w14:paraId="592D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5D896A13">
            <w:pPr>
              <w:jc w:val="left"/>
              <w:rPr>
                <w:rFonts w:ascii="宋体" w:hAnsi="宋体" w:cs="宋体"/>
              </w:rPr>
            </w:pPr>
          </w:p>
        </w:tc>
        <w:tc>
          <w:tcPr>
            <w:tcW w:w="4359" w:type="pct"/>
          </w:tcPr>
          <w:p w14:paraId="293C0CFA">
            <w:pPr>
              <w:rPr>
                <w:rFonts w:ascii="宋体" w:hAnsi="宋体" w:cs="宋体"/>
              </w:rPr>
            </w:pPr>
            <w:r>
              <w:rPr>
                <w:rFonts w:hint="eastAsia" w:ascii="宋体" w:hAnsi="宋体" w:cs="宋体"/>
              </w:rPr>
              <w:t>（3）筹资的限制条件少，与股票、债券、长期借款等筹资方式对比</w:t>
            </w:r>
          </w:p>
        </w:tc>
      </w:tr>
      <w:tr w14:paraId="2E13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7877B6D0">
            <w:pPr>
              <w:jc w:val="left"/>
              <w:rPr>
                <w:rFonts w:ascii="宋体" w:hAnsi="宋体" w:cs="宋体"/>
              </w:rPr>
            </w:pPr>
          </w:p>
        </w:tc>
        <w:tc>
          <w:tcPr>
            <w:tcW w:w="4359" w:type="pct"/>
          </w:tcPr>
          <w:p w14:paraId="1DFD9561">
            <w:pPr>
              <w:rPr>
                <w:rFonts w:ascii="宋体" w:hAnsi="宋体" w:cs="宋体"/>
              </w:rPr>
            </w:pPr>
            <w:r>
              <w:rPr>
                <w:rFonts w:hint="eastAsia" w:ascii="宋体" w:hAnsi="宋体" w:cs="宋体"/>
              </w:rPr>
              <w:t>（4）能延长资金融通期限</w:t>
            </w:r>
          </w:p>
        </w:tc>
      </w:tr>
      <w:tr w14:paraId="6EC6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778825EC">
            <w:pPr>
              <w:jc w:val="center"/>
              <w:rPr>
                <w:rFonts w:ascii="宋体" w:hAnsi="宋体" w:cs="宋体"/>
              </w:rPr>
            </w:pPr>
            <w:r>
              <w:rPr>
                <w:rFonts w:hint="eastAsia" w:ascii="宋体" w:hAnsi="宋体" w:cs="宋体"/>
              </w:rPr>
              <w:t>缺点</w:t>
            </w:r>
          </w:p>
        </w:tc>
        <w:tc>
          <w:tcPr>
            <w:tcW w:w="4359" w:type="pct"/>
          </w:tcPr>
          <w:p w14:paraId="387D7767">
            <w:pPr>
              <w:rPr>
                <w:rFonts w:ascii="宋体" w:hAnsi="宋体" w:cs="宋体"/>
              </w:rPr>
            </w:pPr>
            <w:r>
              <w:rPr>
                <w:rFonts w:hint="eastAsia" w:ascii="宋体" w:hAnsi="宋体" w:cs="宋体"/>
              </w:rPr>
              <w:t>（1）资本成本负担较高，与银行借款对比</w:t>
            </w:r>
          </w:p>
        </w:tc>
      </w:tr>
    </w:tbl>
    <w:p w14:paraId="23C3150C">
      <w:pPr>
        <w:jc w:val="left"/>
        <w:rPr>
          <w:rFonts w:ascii="宋体" w:hAnsi="宋体" w:cs="宋体"/>
          <w:color w:val="FF0000"/>
        </w:rPr>
      </w:pPr>
      <w:r>
        <w:rPr>
          <w:rFonts w:hint="eastAsia" w:ascii="宋体" w:hAnsi="宋体" w:cs="宋体"/>
          <w:color w:val="FF0000"/>
        </w:rPr>
        <w:t>【知识点8】债务筹资的优缺点（与股权筹资相对比）</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980"/>
      </w:tblGrid>
      <w:tr w14:paraId="7791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0" w:type="pct"/>
          </w:tcPr>
          <w:p w14:paraId="2233ECD6">
            <w:pPr>
              <w:jc w:val="center"/>
              <w:rPr>
                <w:rFonts w:ascii="宋体" w:hAnsi="宋体" w:cs="宋体"/>
              </w:rPr>
            </w:pPr>
            <w:r>
              <w:rPr>
                <w:rFonts w:hint="eastAsia" w:ascii="宋体" w:hAnsi="宋体" w:cs="宋体"/>
              </w:rPr>
              <w:t>优点</w:t>
            </w:r>
          </w:p>
        </w:tc>
        <w:tc>
          <w:tcPr>
            <w:tcW w:w="4430" w:type="pct"/>
          </w:tcPr>
          <w:p w14:paraId="6DCFC860">
            <w:pPr>
              <w:rPr>
                <w:rFonts w:ascii="宋体" w:hAnsi="宋体" w:cs="宋体"/>
              </w:rPr>
            </w:pPr>
            <w:r>
              <w:rPr>
                <w:rFonts w:hint="eastAsia" w:ascii="宋体" w:hAnsi="宋体" w:cs="宋体"/>
              </w:rPr>
              <w:t>筹资速度快；筹资弹性较大；资本成本负担较轻；可以利用财务杠杆；稳定公司控制权</w:t>
            </w:r>
          </w:p>
        </w:tc>
      </w:tr>
      <w:tr w14:paraId="6934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4C1E4606">
            <w:pPr>
              <w:jc w:val="center"/>
              <w:rPr>
                <w:rFonts w:ascii="宋体" w:hAnsi="宋体" w:cs="宋体"/>
              </w:rPr>
            </w:pPr>
            <w:r>
              <w:rPr>
                <w:rFonts w:hint="eastAsia" w:ascii="宋体" w:hAnsi="宋体" w:cs="宋体"/>
              </w:rPr>
              <w:t>缺点</w:t>
            </w:r>
          </w:p>
        </w:tc>
        <w:tc>
          <w:tcPr>
            <w:tcW w:w="4430" w:type="pct"/>
          </w:tcPr>
          <w:p w14:paraId="1207CD33">
            <w:pPr>
              <w:rPr>
                <w:rFonts w:ascii="宋体" w:hAnsi="宋体" w:cs="宋体"/>
              </w:rPr>
            </w:pPr>
            <w:r>
              <w:rPr>
                <w:rFonts w:hint="eastAsia" w:ascii="宋体" w:hAnsi="宋体" w:cs="宋体"/>
              </w:rPr>
              <w:t>不能形成企业稳定的资本基础；财务风险较大；筹资数额有限</w:t>
            </w:r>
          </w:p>
        </w:tc>
      </w:tr>
    </w:tbl>
    <w:p w14:paraId="57E8BAAB">
      <w:pPr>
        <w:jc w:val="left"/>
        <w:rPr>
          <w:rFonts w:ascii="宋体" w:hAnsi="宋体" w:cs="宋体"/>
        </w:rPr>
      </w:pPr>
    </w:p>
    <w:p w14:paraId="7C13D4F3">
      <w:pPr>
        <w:jc w:val="center"/>
        <w:rPr>
          <w:rFonts w:ascii="宋体" w:hAnsi="宋体" w:cs="宋体"/>
          <w:b/>
          <w:bCs/>
        </w:rPr>
      </w:pPr>
      <w:r>
        <w:rPr>
          <w:rFonts w:hint="eastAsia" w:ascii="宋体" w:hAnsi="宋体" w:cs="宋体"/>
          <w:b/>
          <w:bCs/>
        </w:rPr>
        <w:t>第三节 股权筹资</w:t>
      </w:r>
    </w:p>
    <w:p w14:paraId="7D7CDFB8">
      <w:pPr>
        <w:jc w:val="left"/>
        <w:rPr>
          <w:rFonts w:ascii="宋体" w:hAnsi="宋体" w:cs="宋体"/>
          <w:color w:val="FF0000"/>
        </w:rPr>
      </w:pPr>
      <w:r>
        <w:rPr>
          <w:rFonts w:hint="eastAsia" w:ascii="宋体" w:hAnsi="宋体" w:cs="宋体"/>
          <w:color w:val="FF0000"/>
        </w:rPr>
        <w:t>【知识点1】吸收直接投资含义及出资方式</w:t>
      </w:r>
    </w:p>
    <w:p w14:paraId="227F5B40">
      <w:pPr>
        <w:jc w:val="left"/>
        <w:rPr>
          <w:rFonts w:ascii="宋体" w:hAnsi="宋体" w:cs="宋体"/>
        </w:rPr>
      </w:pPr>
      <w:r>
        <w:rPr>
          <w:rFonts w:hint="eastAsia" w:ascii="宋体" w:hAnsi="宋体" w:cs="宋体"/>
        </w:rPr>
        <w:t>1.吸收直接投资是非股份制企业筹资权益资本的基本方式。</w:t>
      </w:r>
    </w:p>
    <w:p w14:paraId="27319376">
      <w:pPr>
        <w:jc w:val="left"/>
        <w:rPr>
          <w:rFonts w:ascii="宋体" w:hAnsi="宋体" w:cs="宋体"/>
        </w:rPr>
      </w:pPr>
      <w:r>
        <w:rPr>
          <w:rFonts w:hint="eastAsia" w:ascii="宋体" w:hAnsi="宋体" w:cs="宋体"/>
        </w:rPr>
        <w:t>2.吸收直接投资的出资可以以货币资产出资、以实物资产出资、以知识产权出资、以土地使用权出资、以特定债权出资。</w:t>
      </w:r>
    </w:p>
    <w:p w14:paraId="482A5690">
      <w:pPr>
        <w:jc w:val="left"/>
        <w:rPr>
          <w:rFonts w:ascii="宋体" w:hAnsi="宋体" w:cs="宋体"/>
        </w:rPr>
      </w:pPr>
      <w:r>
        <w:rPr>
          <w:rFonts w:hint="eastAsia" w:ascii="宋体" w:hAnsi="宋体" w:cs="宋体"/>
        </w:rPr>
        <w:t>3.股东或者发起人不得以劳务、信用、自然人姓名、商誉、特许经营权或者设定担的财产等作价出资。</w:t>
      </w:r>
    </w:p>
    <w:p w14:paraId="0C1E7CCE">
      <w:pPr>
        <w:jc w:val="left"/>
        <w:rPr>
          <w:rFonts w:ascii="宋体" w:hAnsi="宋体" w:cs="宋体"/>
          <w:color w:val="FF0000"/>
        </w:rPr>
      </w:pPr>
      <w:r>
        <w:rPr>
          <w:rFonts w:hint="eastAsia" w:ascii="宋体" w:hAnsi="宋体" w:cs="宋体"/>
          <w:color w:val="FF0000"/>
        </w:rPr>
        <w:t>【知识点2】吸收直接投资的筹资特点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9269"/>
      </w:tblGrid>
      <w:tr w14:paraId="2710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restart"/>
          </w:tcPr>
          <w:p w14:paraId="13B0E0C3">
            <w:pPr>
              <w:jc w:val="center"/>
              <w:rPr>
                <w:rFonts w:ascii="宋体" w:hAnsi="宋体" w:cs="宋体"/>
              </w:rPr>
            </w:pPr>
            <w:r>
              <w:rPr>
                <w:rFonts w:hint="eastAsia" w:ascii="宋体" w:hAnsi="宋体" w:cs="宋体"/>
              </w:rPr>
              <w:t>优点</w:t>
            </w:r>
          </w:p>
        </w:tc>
        <w:tc>
          <w:tcPr>
            <w:tcW w:w="4573" w:type="pct"/>
          </w:tcPr>
          <w:p w14:paraId="6C72F1A1">
            <w:pPr>
              <w:rPr>
                <w:rFonts w:ascii="宋体" w:hAnsi="宋体" w:cs="宋体"/>
              </w:rPr>
            </w:pPr>
            <w:r>
              <w:rPr>
                <w:rFonts w:hint="eastAsia" w:ascii="宋体" w:hAnsi="宋体" w:cs="宋体"/>
              </w:rPr>
              <w:t>（1）能够尽快形成生产能力</w:t>
            </w:r>
          </w:p>
        </w:tc>
      </w:tr>
      <w:tr w14:paraId="3B94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2CBE1E26">
            <w:pPr>
              <w:jc w:val="left"/>
              <w:rPr>
                <w:rFonts w:ascii="宋体" w:hAnsi="宋体" w:cs="宋体"/>
              </w:rPr>
            </w:pPr>
          </w:p>
        </w:tc>
        <w:tc>
          <w:tcPr>
            <w:tcW w:w="4573" w:type="pct"/>
          </w:tcPr>
          <w:p w14:paraId="35964CF3">
            <w:pPr>
              <w:rPr>
                <w:rFonts w:ascii="宋体" w:hAnsi="宋体" w:cs="宋体"/>
              </w:rPr>
            </w:pPr>
            <w:r>
              <w:rPr>
                <w:rFonts w:hint="eastAsia" w:ascii="宋体" w:hAnsi="宋体" w:cs="宋体"/>
              </w:rPr>
              <w:t>（2）容易进行信息沟通</w:t>
            </w:r>
          </w:p>
        </w:tc>
      </w:tr>
      <w:tr w14:paraId="271D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restart"/>
          </w:tcPr>
          <w:p w14:paraId="55E60891">
            <w:pPr>
              <w:jc w:val="center"/>
              <w:rPr>
                <w:rFonts w:ascii="宋体" w:hAnsi="宋体" w:cs="宋体"/>
              </w:rPr>
            </w:pPr>
            <w:r>
              <w:rPr>
                <w:rFonts w:hint="eastAsia" w:ascii="宋体" w:hAnsi="宋体" w:cs="宋体"/>
              </w:rPr>
              <w:t>缺点</w:t>
            </w:r>
          </w:p>
        </w:tc>
        <w:tc>
          <w:tcPr>
            <w:tcW w:w="4573" w:type="pct"/>
          </w:tcPr>
          <w:p w14:paraId="0D22074B">
            <w:pPr>
              <w:rPr>
                <w:rFonts w:ascii="宋体" w:hAnsi="宋体" w:cs="宋体"/>
              </w:rPr>
            </w:pPr>
            <w:r>
              <w:rPr>
                <w:rFonts w:hint="eastAsia" w:ascii="宋体" w:hAnsi="宋体" w:cs="宋体"/>
              </w:rPr>
              <w:t>（1）资本成本最高</w:t>
            </w:r>
          </w:p>
        </w:tc>
      </w:tr>
      <w:tr w14:paraId="4271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33A37244">
            <w:pPr>
              <w:jc w:val="left"/>
              <w:rPr>
                <w:rFonts w:ascii="宋体" w:hAnsi="宋体" w:cs="宋体"/>
              </w:rPr>
            </w:pPr>
          </w:p>
        </w:tc>
        <w:tc>
          <w:tcPr>
            <w:tcW w:w="4573" w:type="pct"/>
          </w:tcPr>
          <w:p w14:paraId="0C7A4FB9">
            <w:pPr>
              <w:rPr>
                <w:rFonts w:ascii="宋体" w:hAnsi="宋体" w:cs="宋体"/>
              </w:rPr>
            </w:pPr>
            <w:r>
              <w:rPr>
                <w:rFonts w:hint="eastAsia" w:ascii="宋体" w:hAnsi="宋体" w:cs="宋体"/>
              </w:rPr>
              <w:t>（2）公司控制权集中，不利于公司治理</w:t>
            </w:r>
          </w:p>
        </w:tc>
      </w:tr>
      <w:tr w14:paraId="2EB2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7FFB3E14">
            <w:pPr>
              <w:jc w:val="left"/>
              <w:rPr>
                <w:rFonts w:ascii="宋体" w:hAnsi="宋体" w:cs="宋体"/>
              </w:rPr>
            </w:pPr>
          </w:p>
        </w:tc>
        <w:tc>
          <w:tcPr>
            <w:tcW w:w="4573" w:type="pct"/>
          </w:tcPr>
          <w:p w14:paraId="05953977">
            <w:pPr>
              <w:rPr>
                <w:rFonts w:ascii="宋体" w:hAnsi="宋体" w:cs="宋体"/>
              </w:rPr>
            </w:pPr>
            <w:r>
              <w:rPr>
                <w:rFonts w:hint="eastAsia" w:ascii="宋体" w:hAnsi="宋体" w:cs="宋体"/>
              </w:rPr>
              <w:t>（3）不易进行产权交易，</w:t>
            </w:r>
          </w:p>
        </w:tc>
      </w:tr>
    </w:tbl>
    <w:p w14:paraId="0A6C84E0">
      <w:pPr>
        <w:jc w:val="left"/>
        <w:rPr>
          <w:rFonts w:ascii="宋体" w:hAnsi="宋体" w:cs="宋体"/>
          <w:color w:val="FF0000"/>
        </w:rPr>
      </w:pPr>
      <w:r>
        <w:rPr>
          <w:rFonts w:hint="eastAsia" w:ascii="宋体" w:hAnsi="宋体" w:cs="宋体"/>
          <w:color w:val="FF0000"/>
        </w:rPr>
        <w:t>【知识点3】发行普通股股票的特点及权利</w:t>
      </w:r>
    </w:p>
    <w:p w14:paraId="3D144998">
      <w:pPr>
        <w:jc w:val="left"/>
        <w:rPr>
          <w:rFonts w:ascii="宋体" w:hAnsi="宋体" w:cs="宋体"/>
        </w:rPr>
      </w:pPr>
      <w:r>
        <w:rPr>
          <w:rFonts w:hint="eastAsia" w:ascii="宋体" w:hAnsi="宋体" w:cs="宋体"/>
          <w:color w:val="FF0000"/>
        </w:rPr>
        <w:t>特点：</w:t>
      </w:r>
      <w:r>
        <w:rPr>
          <w:rFonts w:hint="eastAsia" w:ascii="宋体" w:hAnsi="宋体" w:cs="宋体"/>
        </w:rPr>
        <w:t>永久性；流通性；风险性；参与性。</w:t>
      </w:r>
    </w:p>
    <w:p w14:paraId="1E818522">
      <w:pPr>
        <w:jc w:val="left"/>
        <w:rPr>
          <w:rFonts w:hint="eastAsia" w:ascii="宋体" w:hAnsi="宋体" w:cs="宋体"/>
        </w:rPr>
      </w:pPr>
      <w:r>
        <w:rPr>
          <w:rFonts w:hint="eastAsia" w:ascii="宋体" w:hAnsi="宋体" w:cs="宋体"/>
          <w:color w:val="FF0000"/>
        </w:rPr>
        <w:t>权利：</w:t>
      </w:r>
      <w:r>
        <w:rPr>
          <w:rFonts w:hint="eastAsia" w:ascii="宋体" w:hAnsi="宋体" w:cs="宋体"/>
        </w:rPr>
        <w:t>公司管理权；收益分享权；股份转让权；优先认股权；剩余财产要求权。</w:t>
      </w:r>
    </w:p>
    <w:p w14:paraId="2D7FB974">
      <w:pPr>
        <w:overflowPunct w:val="0"/>
        <w:jc w:val="center"/>
        <w:rPr>
          <w:rFonts w:ascii="宋体" w:hAnsi="宋体" w:cs="宋体"/>
          <w:b/>
          <w:bCs/>
        </w:rPr>
      </w:pPr>
      <w:r>
        <w:rPr>
          <w:rFonts w:hint="eastAsia" w:ascii="宋体" w:hAnsi="宋体" w:cs="宋体"/>
          <w:b/>
          <w:bCs/>
        </w:rPr>
        <w:t>第四章  筹资管理</w:t>
      </w:r>
    </w:p>
    <w:p w14:paraId="1EC945F6">
      <w:pPr>
        <w:jc w:val="left"/>
        <w:rPr>
          <w:rFonts w:hint="eastAsia" w:ascii="宋体" w:hAnsi="宋体" w:cs="宋体"/>
          <w:color w:val="FF0000"/>
        </w:rPr>
      </w:pPr>
      <w:r>
        <w:rPr>
          <w:rFonts w:hint="eastAsia" w:ascii="宋体" w:hAnsi="宋体" w:cs="宋体"/>
          <w:color w:val="FF0000"/>
        </w:rPr>
        <w:t>【知识点4】股票发行方式</w:t>
      </w:r>
    </w:p>
    <w:tbl>
      <w:tblPr>
        <w:tblStyle w:val="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739"/>
        <w:gridCol w:w="3045"/>
        <w:gridCol w:w="3468"/>
      </w:tblGrid>
      <w:tr w14:paraId="1185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14:paraId="13B54EBF">
            <w:pPr>
              <w:rPr>
                <w:rFonts w:ascii="宋体" w:hAnsi="宋体" w:cs="宋体"/>
              </w:rPr>
            </w:pPr>
            <w:r>
              <w:rPr>
                <w:rFonts w:hint="eastAsia" w:ascii="宋体" w:hAnsi="宋体" w:cs="宋体"/>
              </w:rPr>
              <w:t>发行方式</w:t>
            </w:r>
          </w:p>
        </w:tc>
        <w:tc>
          <w:tcPr>
            <w:tcW w:w="858" w:type="pct"/>
          </w:tcPr>
          <w:p w14:paraId="24DDCE30">
            <w:pPr>
              <w:rPr>
                <w:rFonts w:ascii="宋体" w:hAnsi="宋体" w:cs="宋体"/>
              </w:rPr>
            </w:pPr>
            <w:r>
              <w:rPr>
                <w:rFonts w:hint="eastAsia" w:ascii="宋体" w:hAnsi="宋体" w:cs="宋体"/>
              </w:rPr>
              <w:t>发行对象</w:t>
            </w:r>
          </w:p>
        </w:tc>
        <w:tc>
          <w:tcPr>
            <w:tcW w:w="1502" w:type="pct"/>
          </w:tcPr>
          <w:p w14:paraId="595411B9">
            <w:pPr>
              <w:rPr>
                <w:rFonts w:ascii="宋体" w:hAnsi="宋体" w:cs="宋体"/>
              </w:rPr>
            </w:pPr>
            <w:r>
              <w:rPr>
                <w:rFonts w:hint="eastAsia" w:ascii="宋体" w:hAnsi="宋体" w:cs="宋体"/>
              </w:rPr>
              <w:t>优点</w:t>
            </w:r>
          </w:p>
        </w:tc>
        <w:tc>
          <w:tcPr>
            <w:tcW w:w="1711" w:type="pct"/>
          </w:tcPr>
          <w:p w14:paraId="13F36140">
            <w:pPr>
              <w:rPr>
                <w:rFonts w:ascii="宋体" w:hAnsi="宋体" w:cs="宋体"/>
              </w:rPr>
            </w:pPr>
            <w:r>
              <w:rPr>
                <w:rFonts w:hint="eastAsia" w:ascii="宋体" w:hAnsi="宋体" w:cs="宋体"/>
              </w:rPr>
              <w:t>缺点</w:t>
            </w:r>
          </w:p>
        </w:tc>
      </w:tr>
      <w:tr w14:paraId="20A2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14:paraId="79F3DC0A">
            <w:pPr>
              <w:jc w:val="left"/>
              <w:rPr>
                <w:rFonts w:ascii="宋体" w:hAnsi="宋体" w:cs="宋体"/>
              </w:rPr>
            </w:pPr>
            <w:r>
              <w:rPr>
                <w:rFonts w:hint="eastAsia" w:ascii="宋体" w:hAnsi="宋体" w:cs="宋体"/>
              </w:rPr>
              <w:t>公开间接发行</w:t>
            </w:r>
          </w:p>
        </w:tc>
        <w:tc>
          <w:tcPr>
            <w:tcW w:w="858" w:type="pct"/>
          </w:tcPr>
          <w:p w14:paraId="2AE050E7">
            <w:pPr>
              <w:rPr>
                <w:rFonts w:ascii="宋体" w:hAnsi="宋体" w:cs="宋体"/>
              </w:rPr>
            </w:pPr>
            <w:r>
              <w:rPr>
                <w:rFonts w:hint="eastAsia" w:ascii="宋体" w:hAnsi="宋体" w:cs="宋体"/>
              </w:rPr>
              <w:t>通过中介机构，向社会公众公开发行</w:t>
            </w:r>
          </w:p>
        </w:tc>
        <w:tc>
          <w:tcPr>
            <w:tcW w:w="1502" w:type="pct"/>
          </w:tcPr>
          <w:p w14:paraId="30AF87E9">
            <w:pPr>
              <w:rPr>
                <w:rFonts w:ascii="宋体" w:hAnsi="宋体" w:cs="宋体"/>
              </w:rPr>
            </w:pPr>
            <w:r>
              <w:rPr>
                <w:rFonts w:hint="eastAsia" w:ascii="宋体" w:hAnsi="宋体" w:cs="宋体"/>
              </w:rPr>
              <w:t>发行范围广、对象多，易于足额筹集资本，提高发行公司的知名度和扩大影响力</w:t>
            </w:r>
          </w:p>
        </w:tc>
        <w:tc>
          <w:tcPr>
            <w:tcW w:w="1711" w:type="pct"/>
          </w:tcPr>
          <w:p w14:paraId="7A3EB5B2">
            <w:pPr>
              <w:rPr>
                <w:rFonts w:ascii="宋体" w:hAnsi="宋体" w:cs="宋体"/>
              </w:rPr>
            </w:pPr>
            <w:r>
              <w:rPr>
                <w:rFonts w:hint="eastAsia" w:ascii="宋体" w:hAnsi="宋体" w:cs="宋体"/>
              </w:rPr>
              <w:t>手续复杂严格，发行成本高</w:t>
            </w:r>
          </w:p>
        </w:tc>
      </w:tr>
      <w:tr w14:paraId="3366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14:paraId="20DD0281">
            <w:pPr>
              <w:jc w:val="left"/>
              <w:rPr>
                <w:rFonts w:ascii="宋体" w:hAnsi="宋体" w:cs="宋体"/>
              </w:rPr>
            </w:pPr>
            <w:r>
              <w:rPr>
                <w:rFonts w:hint="eastAsia" w:ascii="宋体" w:hAnsi="宋体" w:cs="宋体"/>
              </w:rPr>
              <w:t>非公开直接发行</w:t>
            </w:r>
          </w:p>
        </w:tc>
        <w:tc>
          <w:tcPr>
            <w:tcW w:w="858" w:type="pct"/>
          </w:tcPr>
          <w:p w14:paraId="39B441A7">
            <w:pPr>
              <w:rPr>
                <w:rFonts w:ascii="宋体" w:hAnsi="宋体" w:cs="宋体"/>
              </w:rPr>
            </w:pPr>
            <w:r>
              <w:rPr>
                <w:rFonts w:hint="eastAsia" w:ascii="宋体" w:hAnsi="宋体" w:cs="宋体"/>
              </w:rPr>
              <w:t>只向少数特定对象直接发行</w:t>
            </w:r>
          </w:p>
        </w:tc>
        <w:tc>
          <w:tcPr>
            <w:tcW w:w="1502" w:type="pct"/>
          </w:tcPr>
          <w:p w14:paraId="61897A05">
            <w:pPr>
              <w:rPr>
                <w:rFonts w:ascii="宋体" w:hAnsi="宋体" w:cs="宋体"/>
              </w:rPr>
            </w:pPr>
            <w:r>
              <w:rPr>
                <w:rFonts w:hint="eastAsia" w:ascii="宋体" w:hAnsi="宋体" w:cs="宋体"/>
              </w:rPr>
              <w:t>弹性大，节省发行费用</w:t>
            </w:r>
          </w:p>
        </w:tc>
        <w:tc>
          <w:tcPr>
            <w:tcW w:w="1711" w:type="pct"/>
          </w:tcPr>
          <w:p w14:paraId="42800322">
            <w:pPr>
              <w:rPr>
                <w:rFonts w:ascii="宋体" w:hAnsi="宋体" w:cs="宋体"/>
              </w:rPr>
            </w:pPr>
            <w:r>
              <w:rPr>
                <w:rFonts w:hint="eastAsia" w:ascii="宋体" w:hAnsi="宋体" w:cs="宋体"/>
              </w:rPr>
              <w:t>发行范围小，不易及时足额筹集资本，股票变现性差</w:t>
            </w:r>
          </w:p>
        </w:tc>
      </w:tr>
    </w:tbl>
    <w:p w14:paraId="383AA49C">
      <w:pPr>
        <w:jc w:val="left"/>
        <w:rPr>
          <w:rFonts w:ascii="宋体" w:hAnsi="宋体" w:cs="宋体"/>
          <w:color w:val="FF0000"/>
        </w:rPr>
      </w:pPr>
      <w:r>
        <w:rPr>
          <w:rFonts w:hint="eastAsia" w:ascii="宋体" w:hAnsi="宋体" w:cs="宋体"/>
          <w:color w:val="FF0000"/>
        </w:rPr>
        <w:t>【知识点5】非公开发行股票，也称定向增发</w:t>
      </w:r>
    </w:p>
    <w:p w14:paraId="780CA191">
      <w:pPr>
        <w:jc w:val="left"/>
        <w:rPr>
          <w:rFonts w:ascii="宋体" w:hAnsi="宋体" w:cs="宋体"/>
        </w:rPr>
      </w:pPr>
      <w:r>
        <w:rPr>
          <w:rFonts w:hint="eastAsia" w:ascii="宋体" w:hAnsi="宋体" w:cs="宋体"/>
        </w:rPr>
        <w:t>有利于引入战略投资者和机构投资者；</w:t>
      </w:r>
    </w:p>
    <w:p w14:paraId="22BA0B34">
      <w:pPr>
        <w:jc w:val="left"/>
        <w:rPr>
          <w:rFonts w:ascii="宋体" w:hAnsi="宋体" w:cs="宋体"/>
          <w:color w:val="FF0000"/>
        </w:rPr>
      </w:pPr>
      <w:r>
        <w:rPr>
          <w:rFonts w:hint="eastAsia" w:ascii="宋体" w:hAnsi="宋体" w:cs="宋体"/>
          <w:color w:val="FF0000"/>
        </w:rPr>
        <w:t>【知识点6】我国证券交易所概况与股份有限公司的设立</w:t>
      </w:r>
    </w:p>
    <w:p w14:paraId="133A1E29">
      <w:pPr>
        <w:jc w:val="left"/>
        <w:rPr>
          <w:rFonts w:ascii="宋体" w:hAnsi="宋体" w:cs="宋体"/>
        </w:rPr>
      </w:pPr>
      <w:r>
        <w:rPr>
          <w:rFonts w:hint="eastAsia" w:ascii="宋体" w:hAnsi="宋体" w:cs="宋体"/>
        </w:rPr>
        <w:t xml:space="preserve">1.上海证券交易所，成立于1990年11月26日，是经国务院授权，由中国人民银行批准建立的全国性证券交易所，受中国证监会监督管理。上海证券交易所主要以主板为主，重点服务各行业、各地区的龙头企业和大型骨干企业；2019年设立科创板，支持高科技企业发展。上海证券交易所包括主板和科创板资本市场。 </w:t>
      </w:r>
    </w:p>
    <w:p w14:paraId="11C36035">
      <w:pPr>
        <w:jc w:val="left"/>
        <w:rPr>
          <w:rFonts w:ascii="宋体" w:hAnsi="宋体" w:cs="宋体"/>
        </w:rPr>
      </w:pPr>
      <w:r>
        <w:rPr>
          <w:rFonts w:hint="eastAsia" w:ascii="宋体" w:hAnsi="宋体" w:cs="宋体"/>
        </w:rPr>
        <w:t>2.深圳证券交易所，成立于1990年12月1日，是经国务院批准设立的全国性证券交易所，受中国证监会监督管理。</w:t>
      </w:r>
    </w:p>
    <w:p w14:paraId="19D5997C">
      <w:pPr>
        <w:jc w:val="left"/>
        <w:rPr>
          <w:rFonts w:ascii="宋体" w:hAnsi="宋体" w:cs="宋体"/>
        </w:rPr>
      </w:pPr>
      <w:r>
        <w:rPr>
          <w:rFonts w:hint="eastAsia" w:ascii="宋体" w:hAnsi="宋体" w:cs="宋体"/>
        </w:rPr>
        <w:t xml:space="preserve">深圳证券交易所初步建立主板、中小企业板和创业板差异化发展的多层次资本市场体系；2021年2月5日，中国证监会宣布，批准深圳证券交易所主板和中小板合并。 </w:t>
      </w:r>
    </w:p>
    <w:p w14:paraId="37B3499D">
      <w:pPr>
        <w:jc w:val="left"/>
        <w:rPr>
          <w:rFonts w:ascii="宋体" w:hAnsi="宋体" w:cs="宋体"/>
        </w:rPr>
      </w:pPr>
      <w:r>
        <w:rPr>
          <w:rFonts w:hint="eastAsia" w:ascii="宋体" w:hAnsi="宋体" w:cs="宋体"/>
        </w:rPr>
        <w:t>3.北京证券交易所，于2021年9月3日注册成立，是经国务院批准设立的中国第一家公司制证券交易所，受中国证监会监督管理。北京证券交易所以现有的新三板精选层为基础，坚持服务创新型中小企业的市场定位。</w:t>
      </w:r>
    </w:p>
    <w:p w14:paraId="59A65972">
      <w:pPr>
        <w:jc w:val="left"/>
        <w:rPr>
          <w:rFonts w:ascii="宋体" w:hAnsi="宋体" w:cs="宋体"/>
          <w:color w:val="FF0000"/>
        </w:rPr>
      </w:pPr>
      <w:r>
        <w:rPr>
          <w:rFonts w:hint="eastAsia" w:ascii="宋体" w:hAnsi="宋体" w:cs="宋体"/>
          <w:color w:val="FF0000"/>
        </w:rPr>
        <w:t>【知识点7】发行普通股股票的筹资特点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690"/>
      </w:tblGrid>
      <w:tr w14:paraId="6747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6E457E97">
            <w:pPr>
              <w:jc w:val="center"/>
              <w:rPr>
                <w:rFonts w:ascii="宋体" w:hAnsi="宋体" w:cs="宋体"/>
              </w:rPr>
            </w:pPr>
            <w:r>
              <w:rPr>
                <w:rFonts w:hint="eastAsia" w:ascii="宋体" w:hAnsi="宋体" w:cs="宋体"/>
              </w:rPr>
              <w:t>优点</w:t>
            </w:r>
          </w:p>
        </w:tc>
        <w:tc>
          <w:tcPr>
            <w:tcW w:w="4287" w:type="pct"/>
          </w:tcPr>
          <w:p w14:paraId="29A898B6">
            <w:pPr>
              <w:rPr>
                <w:rFonts w:ascii="宋体" w:hAnsi="宋体" w:cs="宋体"/>
              </w:rPr>
            </w:pPr>
            <w:r>
              <w:rPr>
                <w:rFonts w:hint="eastAsia" w:ascii="宋体" w:hAnsi="宋体" w:cs="宋体"/>
              </w:rPr>
              <w:t>（1）两权分离，有利于公司自主经营管理</w:t>
            </w:r>
          </w:p>
        </w:tc>
      </w:tr>
      <w:tr w14:paraId="0F97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4311B715">
            <w:pPr>
              <w:jc w:val="left"/>
              <w:rPr>
                <w:rFonts w:ascii="宋体" w:hAnsi="宋体" w:cs="宋体"/>
              </w:rPr>
            </w:pPr>
          </w:p>
        </w:tc>
        <w:tc>
          <w:tcPr>
            <w:tcW w:w="4287" w:type="pct"/>
          </w:tcPr>
          <w:p w14:paraId="702F25FD">
            <w:pPr>
              <w:rPr>
                <w:rFonts w:ascii="宋体" w:hAnsi="宋体" w:cs="宋体"/>
              </w:rPr>
            </w:pPr>
            <w:r>
              <w:rPr>
                <w:rFonts w:hint="eastAsia" w:ascii="宋体" w:hAnsi="宋体" w:cs="宋体"/>
              </w:rPr>
              <w:t>（2）能增强公司的社会声誉，促进股权流通和转让</w:t>
            </w:r>
          </w:p>
        </w:tc>
      </w:tr>
      <w:tr w14:paraId="634B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19C365E4">
            <w:pPr>
              <w:jc w:val="center"/>
              <w:rPr>
                <w:rFonts w:ascii="宋体" w:hAnsi="宋体" w:cs="宋体"/>
              </w:rPr>
            </w:pPr>
            <w:r>
              <w:rPr>
                <w:rFonts w:hint="eastAsia" w:ascii="宋体" w:hAnsi="宋体" w:cs="宋体"/>
              </w:rPr>
              <w:t>缺点</w:t>
            </w:r>
          </w:p>
        </w:tc>
        <w:tc>
          <w:tcPr>
            <w:tcW w:w="4287" w:type="pct"/>
          </w:tcPr>
          <w:p w14:paraId="2E2A9256">
            <w:pPr>
              <w:rPr>
                <w:rFonts w:ascii="宋体" w:hAnsi="宋体" w:cs="宋体"/>
              </w:rPr>
            </w:pPr>
            <w:r>
              <w:rPr>
                <w:rFonts w:hint="eastAsia" w:ascii="宋体" w:hAnsi="宋体" w:cs="宋体"/>
              </w:rPr>
              <w:t>（1）资本成本较高</w:t>
            </w:r>
          </w:p>
        </w:tc>
      </w:tr>
      <w:tr w14:paraId="40ED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3BE62921">
            <w:pPr>
              <w:jc w:val="left"/>
              <w:rPr>
                <w:rFonts w:ascii="宋体" w:hAnsi="宋体" w:cs="宋体"/>
              </w:rPr>
            </w:pPr>
          </w:p>
        </w:tc>
        <w:tc>
          <w:tcPr>
            <w:tcW w:w="4287" w:type="pct"/>
          </w:tcPr>
          <w:p w14:paraId="28B57B22">
            <w:pPr>
              <w:rPr>
                <w:rFonts w:ascii="宋体" w:hAnsi="宋体" w:cs="宋体"/>
              </w:rPr>
            </w:pPr>
            <w:r>
              <w:rPr>
                <w:rFonts w:hint="eastAsia" w:ascii="宋体" w:hAnsi="宋体" w:cs="宋体"/>
              </w:rPr>
              <w:t>（2）不易及时形成生产能力</w:t>
            </w:r>
          </w:p>
        </w:tc>
      </w:tr>
    </w:tbl>
    <w:p w14:paraId="139F0684">
      <w:pPr>
        <w:jc w:val="left"/>
        <w:rPr>
          <w:rFonts w:ascii="宋体" w:hAnsi="宋体" w:cs="宋体"/>
          <w:color w:val="FF0000"/>
        </w:rPr>
      </w:pPr>
      <w:r>
        <w:rPr>
          <w:rFonts w:hint="eastAsia" w:ascii="宋体" w:hAnsi="宋体" w:cs="宋体"/>
          <w:color w:val="FF0000"/>
        </w:rPr>
        <w:t>【知识点8】留存收益</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9269"/>
      </w:tblGrid>
      <w:tr w14:paraId="5629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37599211">
            <w:pPr>
              <w:jc w:val="left"/>
              <w:rPr>
                <w:rFonts w:ascii="宋体" w:hAnsi="宋体" w:cs="宋体"/>
              </w:rPr>
            </w:pPr>
            <w:r>
              <w:rPr>
                <w:rFonts w:hint="eastAsia" w:ascii="宋体" w:hAnsi="宋体" w:cs="宋体"/>
              </w:rPr>
              <w:t>性质</w:t>
            </w:r>
          </w:p>
        </w:tc>
        <w:tc>
          <w:tcPr>
            <w:tcW w:w="4573" w:type="pct"/>
          </w:tcPr>
          <w:p w14:paraId="08828DDE">
            <w:pPr>
              <w:jc w:val="left"/>
              <w:rPr>
                <w:rFonts w:ascii="宋体" w:hAnsi="宋体" w:cs="宋体"/>
              </w:rPr>
            </w:pPr>
            <w:r>
              <w:rPr>
                <w:rFonts w:hint="eastAsia" w:ascii="宋体" w:hAnsi="宋体" w:cs="宋体"/>
              </w:rPr>
              <w:t>企业通过合法有效的经营所实现的税后净利润，都属于企业的所有者。</w:t>
            </w:r>
            <w:r>
              <w:rPr>
                <w:rFonts w:hint="eastAsia" w:ascii="宋体" w:hAnsi="宋体" w:cs="宋体"/>
              </w:rPr>
              <w:br w:type="textWrapping"/>
            </w:r>
            <w:r>
              <w:rPr>
                <w:rFonts w:hint="eastAsia" w:ascii="宋体" w:hAnsi="宋体" w:cs="宋体"/>
              </w:rPr>
              <w:t>资金来源：净利润。属于内源性筹资，《公司法》规定，企业每年的税后利润，必须提取10%的法定盈余公积金</w:t>
            </w:r>
          </w:p>
        </w:tc>
      </w:tr>
      <w:tr w14:paraId="2E69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restart"/>
          </w:tcPr>
          <w:p w14:paraId="50303476">
            <w:pPr>
              <w:jc w:val="left"/>
              <w:rPr>
                <w:rFonts w:ascii="宋体" w:hAnsi="宋体" w:cs="宋体"/>
              </w:rPr>
            </w:pPr>
            <w:r>
              <w:rPr>
                <w:rFonts w:hint="eastAsia" w:ascii="宋体" w:hAnsi="宋体" w:cs="宋体"/>
              </w:rPr>
              <w:t>优点</w:t>
            </w:r>
          </w:p>
        </w:tc>
        <w:tc>
          <w:tcPr>
            <w:tcW w:w="4573" w:type="pct"/>
          </w:tcPr>
          <w:p w14:paraId="15A87E00">
            <w:pPr>
              <w:jc w:val="left"/>
              <w:rPr>
                <w:rFonts w:ascii="宋体" w:hAnsi="宋体" w:cs="宋体"/>
              </w:rPr>
            </w:pPr>
            <w:r>
              <w:rPr>
                <w:rFonts w:hint="eastAsia" w:ascii="宋体" w:hAnsi="宋体" w:cs="宋体"/>
              </w:rPr>
              <w:t>不用发生筹资费用</w:t>
            </w:r>
          </w:p>
        </w:tc>
      </w:tr>
      <w:tr w14:paraId="5633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3A3AEADC">
            <w:pPr>
              <w:jc w:val="left"/>
              <w:rPr>
                <w:rFonts w:ascii="宋体" w:hAnsi="宋体" w:cs="宋体"/>
              </w:rPr>
            </w:pPr>
          </w:p>
        </w:tc>
        <w:tc>
          <w:tcPr>
            <w:tcW w:w="4573" w:type="pct"/>
          </w:tcPr>
          <w:p w14:paraId="20722106">
            <w:pPr>
              <w:jc w:val="left"/>
              <w:rPr>
                <w:rFonts w:ascii="宋体" w:hAnsi="宋体" w:cs="宋体"/>
              </w:rPr>
            </w:pPr>
            <w:r>
              <w:rPr>
                <w:rFonts w:hint="eastAsia" w:ascii="宋体" w:hAnsi="宋体" w:cs="宋体"/>
              </w:rPr>
              <w:t>维持公司的控制权分布</w:t>
            </w:r>
          </w:p>
        </w:tc>
      </w:tr>
      <w:tr w14:paraId="63BB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2B7B5422">
            <w:pPr>
              <w:jc w:val="left"/>
              <w:rPr>
                <w:rFonts w:ascii="宋体" w:hAnsi="宋体" w:cs="宋体"/>
              </w:rPr>
            </w:pPr>
            <w:r>
              <w:rPr>
                <w:rFonts w:hint="eastAsia" w:ascii="宋体" w:hAnsi="宋体" w:cs="宋体"/>
              </w:rPr>
              <w:t>缺点</w:t>
            </w:r>
          </w:p>
        </w:tc>
        <w:tc>
          <w:tcPr>
            <w:tcW w:w="4573" w:type="pct"/>
          </w:tcPr>
          <w:p w14:paraId="7AB3F5EA">
            <w:pPr>
              <w:jc w:val="left"/>
              <w:rPr>
                <w:rFonts w:ascii="宋体" w:hAnsi="宋体" w:cs="宋体"/>
              </w:rPr>
            </w:pPr>
            <w:r>
              <w:rPr>
                <w:rFonts w:hint="eastAsia" w:ascii="宋体" w:hAnsi="宋体" w:cs="宋体"/>
              </w:rPr>
              <w:t>筹资数额有限</w:t>
            </w:r>
          </w:p>
        </w:tc>
      </w:tr>
    </w:tbl>
    <w:p w14:paraId="1F3258BD">
      <w:pPr>
        <w:jc w:val="left"/>
        <w:rPr>
          <w:rFonts w:ascii="宋体" w:hAnsi="宋体" w:cs="宋体"/>
          <w:color w:val="FF0000"/>
        </w:rPr>
      </w:pPr>
      <w:r>
        <w:rPr>
          <w:rFonts w:hint="eastAsia" w:ascii="宋体" w:hAnsi="宋体" w:cs="宋体"/>
          <w:color w:val="FF0000"/>
        </w:rPr>
        <w:t>【知识点9】股权筹资的优缺点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9269"/>
      </w:tblGrid>
      <w:tr w14:paraId="754C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7" w:type="pct"/>
          </w:tcPr>
          <w:p w14:paraId="5D3A2C50">
            <w:pPr>
              <w:jc w:val="left"/>
              <w:rPr>
                <w:rFonts w:ascii="宋体" w:hAnsi="宋体" w:cs="宋体"/>
              </w:rPr>
            </w:pPr>
            <w:r>
              <w:rPr>
                <w:rFonts w:hint="eastAsia" w:ascii="宋体" w:hAnsi="宋体" w:cs="宋体"/>
              </w:rPr>
              <w:t>优点</w:t>
            </w:r>
          </w:p>
        </w:tc>
        <w:tc>
          <w:tcPr>
            <w:tcW w:w="4573" w:type="pct"/>
          </w:tcPr>
          <w:p w14:paraId="15B65F88">
            <w:pPr>
              <w:jc w:val="left"/>
              <w:rPr>
                <w:rFonts w:ascii="宋体" w:hAnsi="宋体" w:cs="宋体"/>
              </w:rPr>
            </w:pPr>
            <w:r>
              <w:rPr>
                <w:rFonts w:hint="eastAsia" w:ascii="宋体" w:hAnsi="宋体" w:cs="宋体"/>
              </w:rPr>
              <w:t>企业稳定的资本基础；企业良好的信誉基础；财务风险较小</w:t>
            </w:r>
          </w:p>
        </w:tc>
      </w:tr>
      <w:tr w14:paraId="3939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23E54552">
            <w:pPr>
              <w:jc w:val="left"/>
              <w:rPr>
                <w:rFonts w:ascii="宋体" w:hAnsi="宋体" w:cs="宋体"/>
              </w:rPr>
            </w:pPr>
            <w:r>
              <w:rPr>
                <w:rFonts w:hint="eastAsia" w:ascii="宋体" w:hAnsi="宋体" w:cs="宋体"/>
              </w:rPr>
              <w:t>缺点</w:t>
            </w:r>
          </w:p>
        </w:tc>
        <w:tc>
          <w:tcPr>
            <w:tcW w:w="4573" w:type="pct"/>
          </w:tcPr>
          <w:p w14:paraId="6D1207F2">
            <w:pPr>
              <w:jc w:val="left"/>
              <w:rPr>
                <w:rFonts w:ascii="宋体" w:hAnsi="宋体" w:cs="宋体"/>
              </w:rPr>
            </w:pPr>
            <w:r>
              <w:rPr>
                <w:rFonts w:hint="eastAsia" w:ascii="宋体" w:hAnsi="宋体" w:cs="宋体"/>
              </w:rPr>
              <w:t>资本成本负担较重；控制权变更可能影响企业长期稳定发展；信息沟通与披露成本较大</w:t>
            </w:r>
          </w:p>
        </w:tc>
      </w:tr>
    </w:tbl>
    <w:p w14:paraId="1E294B95">
      <w:pPr>
        <w:jc w:val="left"/>
        <w:rPr>
          <w:rFonts w:ascii="宋体" w:hAnsi="宋体" w:cs="宋体"/>
        </w:rPr>
      </w:pPr>
    </w:p>
    <w:p w14:paraId="72987198">
      <w:pPr>
        <w:jc w:val="center"/>
        <w:rPr>
          <w:rFonts w:ascii="宋体" w:hAnsi="宋体" w:cs="宋体"/>
          <w:b/>
          <w:bCs/>
        </w:rPr>
      </w:pPr>
      <w:r>
        <w:rPr>
          <w:rFonts w:hint="eastAsia" w:ascii="宋体" w:hAnsi="宋体" w:cs="宋体"/>
          <w:b/>
          <w:bCs/>
        </w:rPr>
        <w:t>第四节 衍生工具筹资</w:t>
      </w:r>
    </w:p>
    <w:p w14:paraId="407D1AB7">
      <w:pPr>
        <w:jc w:val="left"/>
        <w:rPr>
          <w:rFonts w:ascii="宋体" w:hAnsi="宋体" w:cs="宋体"/>
          <w:color w:val="FF0000"/>
        </w:rPr>
      </w:pPr>
      <w:r>
        <w:rPr>
          <w:rFonts w:hint="eastAsia" w:ascii="宋体" w:hAnsi="宋体" w:cs="宋体"/>
          <w:color w:val="FF0000"/>
        </w:rPr>
        <w:t>【知识点1】可转换债券的性质</w:t>
      </w:r>
    </w:p>
    <w:p w14:paraId="6D9A1C91">
      <w:pPr>
        <w:jc w:val="left"/>
        <w:rPr>
          <w:rFonts w:ascii="宋体" w:hAnsi="宋体" w:cs="宋体"/>
        </w:rPr>
      </w:pPr>
      <w:r>
        <w:rPr>
          <w:rFonts w:hint="eastAsia" w:ascii="宋体" w:hAnsi="宋体" w:cs="宋体"/>
        </w:rPr>
        <w:t>证券期权性；资本转换性；赎回与回售</w:t>
      </w:r>
    </w:p>
    <w:p w14:paraId="5E9A625D">
      <w:pPr>
        <w:jc w:val="left"/>
        <w:rPr>
          <w:rFonts w:hint="eastAsia" w:ascii="宋体" w:hAnsi="宋体" w:cs="宋体"/>
          <w:color w:val="FF0000"/>
        </w:rPr>
      </w:pPr>
      <w:r>
        <w:rPr>
          <w:rFonts w:hint="eastAsia" w:ascii="宋体" w:hAnsi="宋体" w:cs="宋体"/>
          <w:color w:val="FF0000"/>
        </w:rPr>
        <w:t>【知识点2】可转换债券的基本要素</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7674"/>
      </w:tblGrid>
      <w:tr w14:paraId="6DB6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0094E8D5">
            <w:pPr>
              <w:rPr>
                <w:rFonts w:ascii="宋体" w:hAnsi="宋体" w:cs="宋体"/>
              </w:rPr>
            </w:pPr>
            <w:r>
              <w:rPr>
                <w:rFonts w:hint="eastAsia" w:ascii="宋体" w:hAnsi="宋体" w:cs="宋体"/>
              </w:rPr>
              <w:t>转换比例</w:t>
            </w:r>
          </w:p>
        </w:tc>
        <w:tc>
          <w:tcPr>
            <w:tcW w:w="3786" w:type="pct"/>
          </w:tcPr>
          <w:p w14:paraId="3755AD0E">
            <w:pPr>
              <w:rPr>
                <w:rFonts w:ascii="宋体" w:hAnsi="宋体" w:cs="宋体"/>
              </w:rPr>
            </w:pPr>
            <w:r>
              <w:rPr>
                <w:rFonts w:hint="eastAsia" w:ascii="宋体" w:hAnsi="宋体" w:cs="宋体"/>
                <w:color w:val="FF0000"/>
              </w:rPr>
              <w:t>转换比率＝债券面值÷转换价格</w:t>
            </w:r>
          </w:p>
        </w:tc>
      </w:tr>
      <w:tr w14:paraId="5409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2929914E">
            <w:pPr>
              <w:rPr>
                <w:rFonts w:ascii="宋体" w:hAnsi="宋体" w:cs="宋体"/>
              </w:rPr>
            </w:pPr>
            <w:r>
              <w:rPr>
                <w:rFonts w:hint="eastAsia" w:ascii="宋体" w:hAnsi="宋体" w:cs="宋体"/>
              </w:rPr>
              <w:t>赎回条款（发行方角度）</w:t>
            </w:r>
          </w:p>
        </w:tc>
        <w:tc>
          <w:tcPr>
            <w:tcW w:w="3786" w:type="pct"/>
          </w:tcPr>
          <w:p w14:paraId="1A7E31C1">
            <w:pPr>
              <w:rPr>
                <w:rFonts w:ascii="宋体" w:hAnsi="宋体" w:cs="宋体"/>
              </w:rPr>
            </w:pPr>
            <w:r>
              <w:rPr>
                <w:rFonts w:hint="eastAsia" w:ascii="宋体" w:hAnsi="宋体" w:cs="宋体"/>
              </w:rPr>
              <w:t>发债公司按事先约定的价格买回未转股债券的条件规定。赎回一般发生在公司股票价格在一段时期内连续高于转股价格达到某一幅度时。设置赎回条款最主要的功能是强制债券持有者积极行使转股权，又被称为加速条款。也能使发债公司避免在市场利率下降后，继续向债券持有人按照较高的票面利率支付利息所蒙受的损失。</w:t>
            </w:r>
          </w:p>
        </w:tc>
      </w:tr>
      <w:tr w14:paraId="49B0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6900F822">
            <w:pPr>
              <w:rPr>
                <w:rFonts w:ascii="宋体" w:hAnsi="宋体" w:cs="宋体"/>
              </w:rPr>
            </w:pPr>
            <w:r>
              <w:rPr>
                <w:rFonts w:hint="eastAsia" w:ascii="宋体" w:hAnsi="宋体" w:cs="宋体"/>
              </w:rPr>
              <w:t>回售条款（投资者角度）</w:t>
            </w:r>
          </w:p>
        </w:tc>
        <w:tc>
          <w:tcPr>
            <w:tcW w:w="3786" w:type="pct"/>
          </w:tcPr>
          <w:p w14:paraId="027F28FD">
            <w:pPr>
              <w:rPr>
                <w:rFonts w:ascii="宋体" w:hAnsi="宋体" w:cs="宋体"/>
              </w:rPr>
            </w:pPr>
            <w:r>
              <w:rPr>
                <w:rFonts w:hint="eastAsia" w:ascii="宋体" w:hAnsi="宋体" w:cs="宋体"/>
              </w:rPr>
              <w:t>债券持有人有权按照事先约定的价格将债券卖回给发债公司的条件规定。回售一般发生在公司股票价格在一段时期内连续低于转股价格达到某一幅度时。回售有利于降低投资者的持券风险。</w:t>
            </w:r>
          </w:p>
        </w:tc>
      </w:tr>
      <w:tr w14:paraId="6BA6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1AAF0B26">
            <w:pPr>
              <w:rPr>
                <w:rFonts w:ascii="宋体" w:hAnsi="宋体" w:cs="宋体"/>
              </w:rPr>
            </w:pPr>
            <w:r>
              <w:rPr>
                <w:rFonts w:hint="eastAsia" w:ascii="宋体" w:hAnsi="宋体" w:cs="宋体"/>
              </w:rPr>
              <w:t>强制性转换条款</w:t>
            </w:r>
          </w:p>
        </w:tc>
        <w:tc>
          <w:tcPr>
            <w:tcW w:w="3786" w:type="pct"/>
          </w:tcPr>
          <w:p w14:paraId="1D17DA5B">
            <w:pPr>
              <w:rPr>
                <w:rFonts w:ascii="宋体" w:hAnsi="宋体" w:cs="宋体"/>
              </w:rPr>
            </w:pPr>
            <w:r>
              <w:rPr>
                <w:rFonts w:hint="eastAsia" w:ascii="宋体" w:hAnsi="宋体" w:cs="宋体"/>
              </w:rPr>
              <w:t>　在某些条件具备之后，债券持有人必须将可转换债券转换为股票，无权要求偿还债券本金的条件规定。</w:t>
            </w:r>
          </w:p>
        </w:tc>
      </w:tr>
    </w:tbl>
    <w:p w14:paraId="30D45EAE">
      <w:pPr>
        <w:jc w:val="left"/>
        <w:rPr>
          <w:rFonts w:ascii="宋体" w:hAnsi="宋体" w:cs="宋体"/>
          <w:color w:val="FF0000"/>
        </w:rPr>
      </w:pPr>
      <w:r>
        <w:rPr>
          <w:rFonts w:hint="eastAsia" w:ascii="宋体" w:hAnsi="宋体" w:cs="宋体"/>
          <w:color w:val="FF0000"/>
        </w:rPr>
        <w:t>【知识点3】可转换债券的筹资特点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9124"/>
      </w:tblGrid>
      <w:tr w14:paraId="2A8E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14D06FFA">
            <w:pPr>
              <w:jc w:val="left"/>
              <w:rPr>
                <w:rFonts w:ascii="宋体" w:hAnsi="宋体" w:cs="宋体"/>
              </w:rPr>
            </w:pPr>
            <w:r>
              <w:rPr>
                <w:rFonts w:hint="eastAsia" w:ascii="宋体" w:hAnsi="宋体" w:cs="宋体"/>
              </w:rPr>
              <w:t>优点</w:t>
            </w:r>
          </w:p>
        </w:tc>
        <w:tc>
          <w:tcPr>
            <w:tcW w:w="4501" w:type="pct"/>
          </w:tcPr>
          <w:p w14:paraId="792220D6">
            <w:pPr>
              <w:jc w:val="left"/>
              <w:rPr>
                <w:rFonts w:ascii="宋体" w:hAnsi="宋体" w:cs="宋体"/>
              </w:rPr>
            </w:pPr>
            <w:r>
              <w:rPr>
                <w:rFonts w:hint="eastAsia" w:ascii="宋体" w:hAnsi="宋体" w:cs="宋体"/>
              </w:rPr>
              <w:t>筹资灵活性；资本成本较低；筹资效率高</w:t>
            </w:r>
          </w:p>
        </w:tc>
      </w:tr>
      <w:tr w14:paraId="006A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544DE5A0">
            <w:pPr>
              <w:jc w:val="left"/>
              <w:rPr>
                <w:rFonts w:ascii="宋体" w:hAnsi="宋体" w:cs="宋体"/>
              </w:rPr>
            </w:pPr>
            <w:r>
              <w:rPr>
                <w:rFonts w:hint="eastAsia" w:ascii="宋体" w:hAnsi="宋体" w:cs="宋体"/>
              </w:rPr>
              <w:t>缺点</w:t>
            </w:r>
          </w:p>
        </w:tc>
        <w:tc>
          <w:tcPr>
            <w:tcW w:w="4501" w:type="pct"/>
          </w:tcPr>
          <w:p w14:paraId="5430B231">
            <w:pPr>
              <w:jc w:val="left"/>
              <w:rPr>
                <w:rFonts w:ascii="宋体" w:hAnsi="宋体" w:cs="宋体"/>
              </w:rPr>
            </w:pPr>
            <w:r>
              <w:rPr>
                <w:rFonts w:hint="eastAsia" w:ascii="宋体" w:hAnsi="宋体" w:cs="宋体"/>
              </w:rPr>
              <w:t>存在一定的财务压力</w:t>
            </w:r>
          </w:p>
        </w:tc>
      </w:tr>
    </w:tbl>
    <w:p w14:paraId="4377AA76">
      <w:pPr>
        <w:jc w:val="left"/>
        <w:rPr>
          <w:rFonts w:hint="eastAsia" w:ascii="宋体" w:hAnsi="宋体" w:cs="宋体"/>
          <w:color w:val="FF0000"/>
        </w:rPr>
      </w:pPr>
      <w:r>
        <w:rPr>
          <w:rFonts w:hint="eastAsia" w:ascii="宋体" w:hAnsi="宋体" w:cs="宋体"/>
          <w:color w:val="FF0000"/>
        </w:rPr>
        <w:t>【知识点4】认股权证</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836"/>
      </w:tblGrid>
      <w:tr w14:paraId="2C28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3E89B6A">
            <w:pPr>
              <w:rPr>
                <w:rFonts w:ascii="宋体" w:hAnsi="宋体" w:cs="宋体"/>
              </w:rPr>
            </w:pPr>
            <w:r>
              <w:rPr>
                <w:rFonts w:hint="eastAsia" w:ascii="宋体" w:hAnsi="宋体" w:cs="宋体"/>
              </w:rPr>
              <w:t>性质</w:t>
            </w:r>
          </w:p>
        </w:tc>
        <w:tc>
          <w:tcPr>
            <w:tcW w:w="4359" w:type="pct"/>
          </w:tcPr>
          <w:p w14:paraId="0EBE175C">
            <w:pPr>
              <w:rPr>
                <w:rFonts w:ascii="宋体" w:hAnsi="宋体" w:cs="宋体"/>
              </w:rPr>
            </w:pPr>
            <w:r>
              <w:rPr>
                <w:rFonts w:hint="eastAsia" w:ascii="宋体" w:hAnsi="宋体" w:cs="宋体"/>
              </w:rPr>
              <w:t>期权性；投资工具</w:t>
            </w:r>
          </w:p>
        </w:tc>
      </w:tr>
      <w:tr w14:paraId="4EF7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59A5CC2">
            <w:pPr>
              <w:rPr>
                <w:rFonts w:ascii="宋体" w:hAnsi="宋体" w:cs="宋体"/>
              </w:rPr>
            </w:pPr>
            <w:r>
              <w:rPr>
                <w:rFonts w:hint="eastAsia" w:ascii="宋体" w:hAnsi="宋体" w:cs="宋体"/>
              </w:rPr>
              <w:t>筹资特点</w:t>
            </w:r>
          </w:p>
        </w:tc>
        <w:tc>
          <w:tcPr>
            <w:tcW w:w="4359" w:type="pct"/>
          </w:tcPr>
          <w:p w14:paraId="7A534C42">
            <w:pPr>
              <w:rPr>
                <w:rFonts w:ascii="宋体" w:hAnsi="宋体" w:cs="宋体"/>
              </w:rPr>
            </w:pPr>
            <w:r>
              <w:rPr>
                <w:rFonts w:hint="eastAsia" w:ascii="宋体" w:hAnsi="宋体" w:cs="宋体"/>
              </w:rPr>
              <w:t>融资促进工具；有助于改善上市公司的治理结构；有利于推进上市公司的股权激励机制</w:t>
            </w:r>
          </w:p>
        </w:tc>
      </w:tr>
    </w:tbl>
    <w:p w14:paraId="6B088895">
      <w:pPr>
        <w:jc w:val="left"/>
        <w:rPr>
          <w:rFonts w:ascii="宋体" w:hAnsi="宋体" w:cs="宋体"/>
          <w:color w:val="FF0000"/>
        </w:rPr>
      </w:pPr>
      <w:r>
        <w:rPr>
          <w:rFonts w:hint="eastAsia" w:ascii="宋体" w:hAnsi="宋体" w:cs="宋体"/>
          <w:color w:val="FF0000"/>
        </w:rPr>
        <w:t>【知识点5】优先股性质</w:t>
      </w:r>
    </w:p>
    <w:p w14:paraId="4276E7AD">
      <w:pPr>
        <w:jc w:val="left"/>
        <w:rPr>
          <w:rFonts w:ascii="宋体" w:hAnsi="宋体" w:cs="宋体"/>
        </w:rPr>
      </w:pPr>
      <w:r>
        <w:rPr>
          <w:rFonts w:hint="eastAsia" w:ascii="宋体" w:hAnsi="宋体" w:cs="宋体"/>
        </w:rPr>
        <w:t>1.股息事先约定、相对固定</w:t>
      </w:r>
    </w:p>
    <w:p w14:paraId="13CEA6C4">
      <w:pPr>
        <w:jc w:val="left"/>
        <w:rPr>
          <w:rFonts w:ascii="宋体" w:hAnsi="宋体" w:cs="宋体"/>
        </w:rPr>
      </w:pPr>
      <w:r>
        <w:rPr>
          <w:rFonts w:hint="eastAsia" w:ascii="宋体" w:hAnsi="宋体" w:cs="宋体"/>
        </w:rPr>
        <w:t>2.在年度利润分配和剩余财产清偿分配方面，权力优先于普通股股东，次于债权人。</w:t>
      </w:r>
    </w:p>
    <w:p w14:paraId="3237FAE8">
      <w:pPr>
        <w:jc w:val="left"/>
        <w:rPr>
          <w:rFonts w:ascii="宋体" w:hAnsi="宋体" w:cs="宋体"/>
        </w:rPr>
      </w:pPr>
      <w:r>
        <w:rPr>
          <w:rFonts w:hint="eastAsia" w:ascii="宋体" w:hAnsi="宋体" w:cs="宋体"/>
        </w:rPr>
        <w:t>3.权利范围小</w:t>
      </w:r>
    </w:p>
    <w:p w14:paraId="5BE7F955">
      <w:pPr>
        <w:jc w:val="left"/>
        <w:rPr>
          <w:rFonts w:ascii="宋体" w:hAnsi="宋体" w:cs="宋体"/>
          <w:color w:val="FF0000"/>
        </w:rPr>
      </w:pPr>
      <w:r>
        <w:rPr>
          <w:rFonts w:hint="eastAsia" w:ascii="宋体" w:hAnsi="宋体" w:cs="宋体"/>
          <w:color w:val="FF0000"/>
        </w:rPr>
        <w:t>【知识点6】优先股特点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8256"/>
      </w:tblGrid>
      <w:tr w14:paraId="37D1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restart"/>
          </w:tcPr>
          <w:p w14:paraId="651C259E">
            <w:pPr>
              <w:jc w:val="center"/>
              <w:rPr>
                <w:rFonts w:ascii="宋体" w:hAnsi="宋体" w:cs="宋体"/>
              </w:rPr>
            </w:pPr>
            <w:r>
              <w:rPr>
                <w:rFonts w:hint="eastAsia" w:ascii="宋体" w:hAnsi="宋体" w:cs="宋体"/>
              </w:rPr>
              <w:t>优点</w:t>
            </w:r>
          </w:p>
        </w:tc>
        <w:tc>
          <w:tcPr>
            <w:tcW w:w="4073" w:type="pct"/>
          </w:tcPr>
          <w:p w14:paraId="5F3F6775">
            <w:pPr>
              <w:rPr>
                <w:rFonts w:ascii="宋体" w:hAnsi="宋体" w:cs="宋体"/>
              </w:rPr>
            </w:pPr>
            <w:r>
              <w:rPr>
                <w:rFonts w:hint="eastAsia" w:ascii="宋体" w:hAnsi="宋体" w:cs="宋体"/>
              </w:rPr>
              <w:t>（1）有利于丰富资本市场的投资结构</w:t>
            </w:r>
          </w:p>
        </w:tc>
      </w:tr>
      <w:tr w14:paraId="3622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1E8418C1">
            <w:pPr>
              <w:jc w:val="left"/>
              <w:rPr>
                <w:rFonts w:ascii="宋体" w:hAnsi="宋体" w:cs="宋体"/>
              </w:rPr>
            </w:pPr>
          </w:p>
        </w:tc>
        <w:tc>
          <w:tcPr>
            <w:tcW w:w="4073" w:type="pct"/>
          </w:tcPr>
          <w:p w14:paraId="65C20235">
            <w:pPr>
              <w:rPr>
                <w:rFonts w:ascii="宋体" w:hAnsi="宋体" w:cs="宋体"/>
              </w:rPr>
            </w:pPr>
            <w:r>
              <w:rPr>
                <w:rFonts w:hint="eastAsia" w:ascii="宋体" w:hAnsi="宋体" w:cs="宋体"/>
              </w:rPr>
              <w:t>（2）有利于股份有限公司股权资本结构的调整</w:t>
            </w:r>
          </w:p>
        </w:tc>
      </w:tr>
      <w:tr w14:paraId="527B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6BA57A6A">
            <w:pPr>
              <w:jc w:val="left"/>
              <w:rPr>
                <w:rFonts w:ascii="宋体" w:hAnsi="宋体" w:cs="宋体"/>
              </w:rPr>
            </w:pPr>
          </w:p>
        </w:tc>
        <w:tc>
          <w:tcPr>
            <w:tcW w:w="4073" w:type="pct"/>
          </w:tcPr>
          <w:p w14:paraId="7C362DDE">
            <w:pPr>
              <w:rPr>
                <w:rFonts w:ascii="宋体" w:hAnsi="宋体" w:cs="宋体"/>
              </w:rPr>
            </w:pPr>
            <w:r>
              <w:rPr>
                <w:rFonts w:hint="eastAsia" w:ascii="宋体" w:hAnsi="宋体" w:cs="宋体"/>
              </w:rPr>
              <w:t>（3）有利于保障普通股收益和控制权</w:t>
            </w:r>
          </w:p>
        </w:tc>
      </w:tr>
      <w:tr w14:paraId="7ED9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3409E538">
            <w:pPr>
              <w:jc w:val="left"/>
              <w:rPr>
                <w:rFonts w:ascii="宋体" w:hAnsi="宋体" w:cs="宋体"/>
              </w:rPr>
            </w:pPr>
          </w:p>
        </w:tc>
        <w:tc>
          <w:tcPr>
            <w:tcW w:w="4073" w:type="pct"/>
          </w:tcPr>
          <w:p w14:paraId="344E02ED">
            <w:pPr>
              <w:rPr>
                <w:rFonts w:ascii="宋体" w:hAnsi="宋体" w:cs="宋体"/>
              </w:rPr>
            </w:pPr>
            <w:r>
              <w:rPr>
                <w:rFonts w:hint="eastAsia" w:ascii="宋体" w:hAnsi="宋体" w:cs="宋体"/>
              </w:rPr>
              <w:t>（4）有利于降低公司财务风险（实质是永续性借款）</w:t>
            </w:r>
          </w:p>
        </w:tc>
      </w:tr>
      <w:tr w14:paraId="5D33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58A82B9E">
            <w:pPr>
              <w:jc w:val="center"/>
              <w:rPr>
                <w:rFonts w:ascii="宋体" w:hAnsi="宋体" w:cs="宋体"/>
              </w:rPr>
            </w:pPr>
            <w:r>
              <w:rPr>
                <w:rFonts w:hint="eastAsia" w:ascii="宋体" w:hAnsi="宋体" w:cs="宋体"/>
              </w:rPr>
              <w:t>缺点</w:t>
            </w:r>
          </w:p>
        </w:tc>
        <w:tc>
          <w:tcPr>
            <w:tcW w:w="4073" w:type="pct"/>
          </w:tcPr>
          <w:p w14:paraId="555F6F44">
            <w:pPr>
              <w:rPr>
                <w:rFonts w:ascii="宋体" w:hAnsi="宋体" w:cs="宋体"/>
              </w:rPr>
            </w:pPr>
            <w:r>
              <w:rPr>
                <w:rFonts w:hint="eastAsia" w:ascii="宋体" w:hAnsi="宋体" w:cs="宋体"/>
              </w:rPr>
              <w:t>（5）可能给股份公司带来一定的财务压力——股息</w:t>
            </w:r>
          </w:p>
        </w:tc>
      </w:tr>
    </w:tbl>
    <w:p w14:paraId="05D890FF">
      <w:pPr>
        <w:jc w:val="left"/>
        <w:rPr>
          <w:rFonts w:ascii="宋体" w:hAnsi="宋体" w:cs="宋体"/>
        </w:rPr>
      </w:pPr>
    </w:p>
    <w:p w14:paraId="0C1B2437">
      <w:pPr>
        <w:jc w:val="center"/>
        <w:rPr>
          <w:rFonts w:ascii="宋体" w:hAnsi="宋体" w:cs="宋体"/>
          <w:b/>
          <w:bCs/>
        </w:rPr>
      </w:pPr>
      <w:r>
        <w:rPr>
          <w:rFonts w:hint="eastAsia" w:ascii="宋体" w:hAnsi="宋体" w:cs="宋体"/>
          <w:b/>
          <w:bCs/>
        </w:rPr>
        <w:t>第五节  筹资实务创新</w:t>
      </w:r>
    </w:p>
    <w:p w14:paraId="7B48897F">
      <w:pPr>
        <w:jc w:val="left"/>
        <w:rPr>
          <w:rFonts w:ascii="宋体" w:hAnsi="宋体" w:cs="宋体"/>
        </w:rPr>
      </w:pPr>
      <w:r>
        <w:rPr>
          <w:rFonts w:hint="eastAsia" w:ascii="宋体" w:hAnsi="宋体" w:cs="宋体"/>
          <w:color w:val="FF0000"/>
        </w:rPr>
        <w:t>1.非公开定向债务融资工具（PPN）：</w:t>
      </w:r>
      <w:r>
        <w:rPr>
          <w:rFonts w:hint="eastAsia" w:ascii="宋体" w:hAnsi="宋体" w:cs="宋体"/>
        </w:rPr>
        <w:t>简化披露要求；规模没有明确限制；发行方案灵活；融资工具有限流通；发行价格存在流动性溢价</w:t>
      </w:r>
    </w:p>
    <w:p w14:paraId="3D3FEE9F">
      <w:pPr>
        <w:jc w:val="left"/>
        <w:rPr>
          <w:rFonts w:ascii="宋体" w:hAnsi="宋体" w:cs="宋体"/>
        </w:rPr>
      </w:pPr>
      <w:r>
        <w:rPr>
          <w:rFonts w:hint="eastAsia" w:ascii="宋体" w:hAnsi="宋体" w:cs="宋体"/>
          <w:color w:val="FF0000"/>
        </w:rPr>
        <w:t>2.私募股权投资：</w:t>
      </w:r>
      <w:r>
        <w:rPr>
          <w:rFonts w:hint="eastAsia" w:ascii="宋体" w:hAnsi="宋体" w:cs="宋体"/>
        </w:rPr>
        <w:t>非公开方式募集；多采取权益型投资，极少涉及债权投资；投资企业一般是成形的非上市公司；投资期限较长；流动性差；是被投资企业重要的股权募集方式</w:t>
      </w:r>
    </w:p>
    <w:p w14:paraId="0913E8A6">
      <w:pPr>
        <w:jc w:val="left"/>
        <w:rPr>
          <w:rFonts w:ascii="宋体" w:hAnsi="宋体" w:cs="宋体"/>
        </w:rPr>
      </w:pPr>
      <w:r>
        <w:rPr>
          <w:rFonts w:hint="eastAsia" w:ascii="宋体" w:hAnsi="宋体" w:cs="宋体"/>
          <w:color w:val="FF0000"/>
        </w:rPr>
        <w:t>3.产业基金：</w:t>
      </w:r>
      <w:r>
        <w:rPr>
          <w:rFonts w:hint="eastAsia" w:ascii="宋体" w:hAnsi="宋体" w:cs="宋体"/>
        </w:rPr>
        <w:t>产业基金主要投资于新兴的，有巨大增长潜力的企业</w:t>
      </w:r>
    </w:p>
    <w:p w14:paraId="7F9905EB">
      <w:pPr>
        <w:jc w:val="left"/>
        <w:rPr>
          <w:rFonts w:ascii="宋体" w:hAnsi="宋体" w:cs="宋体"/>
        </w:rPr>
      </w:pPr>
      <w:r>
        <w:rPr>
          <w:rFonts w:hint="eastAsia" w:ascii="宋体" w:hAnsi="宋体" w:cs="宋体"/>
          <w:color w:val="FF0000"/>
        </w:rPr>
        <w:t>4.商业票据融资：</w:t>
      </w:r>
      <w:r>
        <w:rPr>
          <w:rFonts w:hint="eastAsia" w:ascii="宋体" w:hAnsi="宋体" w:cs="宋体"/>
        </w:rPr>
        <w:t>融资成本低、灵活方便。</w:t>
      </w:r>
    </w:p>
    <w:p w14:paraId="0E908961">
      <w:pPr>
        <w:jc w:val="left"/>
        <w:rPr>
          <w:rFonts w:ascii="宋体" w:hAnsi="宋体" w:cs="宋体"/>
        </w:rPr>
      </w:pPr>
      <w:r>
        <w:rPr>
          <w:rFonts w:hint="eastAsia" w:ascii="宋体" w:hAnsi="宋体" w:cs="宋体"/>
          <w:color w:val="FF0000"/>
        </w:rPr>
        <w:t>5.中期票据融资：</w:t>
      </w:r>
      <w:r>
        <w:rPr>
          <w:rFonts w:hint="eastAsia" w:ascii="宋体" w:hAnsi="宋体" w:cs="宋体"/>
        </w:rPr>
        <w:t>具有法人资格的非金融类企业在银行间债券市场按计划分期发行；主体信用评级为AAA；发行机制灵活；用款方式灵活；融资额度大；使用期限长；成本低于中长期贷款；无须担保抵押。</w:t>
      </w:r>
    </w:p>
    <w:p w14:paraId="58CB5292">
      <w:pPr>
        <w:jc w:val="left"/>
        <w:rPr>
          <w:rFonts w:ascii="宋体" w:hAnsi="宋体" w:cs="宋体"/>
        </w:rPr>
      </w:pPr>
      <w:r>
        <w:rPr>
          <w:rFonts w:hint="eastAsia" w:ascii="宋体" w:hAnsi="宋体" w:cs="宋体"/>
          <w:color w:val="FF0000"/>
        </w:rPr>
        <w:t>6.股权众筹融资：</w:t>
      </w:r>
      <w:r>
        <w:rPr>
          <w:rFonts w:hint="eastAsia" w:ascii="宋体" w:hAnsi="宋体" w:cs="宋体"/>
        </w:rPr>
        <w:t>由证监会负责监管。</w:t>
      </w:r>
    </w:p>
    <w:p w14:paraId="3CD85026">
      <w:pPr>
        <w:jc w:val="left"/>
        <w:rPr>
          <w:rFonts w:ascii="宋体" w:hAnsi="宋体" w:cs="宋体"/>
          <w:color w:val="FF0000"/>
        </w:rPr>
      </w:pPr>
      <w:r>
        <w:rPr>
          <w:rFonts w:hint="eastAsia" w:ascii="宋体" w:hAnsi="宋体" w:cs="宋体"/>
          <w:color w:val="FF0000"/>
        </w:rPr>
        <w:t>7.企业应收账款证券化</w:t>
      </w:r>
    </w:p>
    <w:p w14:paraId="37630DB3">
      <w:pPr>
        <w:jc w:val="left"/>
        <w:rPr>
          <w:rFonts w:ascii="宋体" w:hAnsi="宋体" w:cs="宋体"/>
          <w:color w:val="FF0000"/>
        </w:rPr>
      </w:pPr>
      <w:r>
        <w:rPr>
          <w:rFonts w:hint="eastAsia" w:ascii="宋体" w:hAnsi="宋体" w:cs="宋体"/>
          <w:color w:val="FF0000"/>
        </w:rPr>
        <w:t>8.租赁债权资产证券化</w:t>
      </w:r>
    </w:p>
    <w:p w14:paraId="155B06AB">
      <w:pPr>
        <w:jc w:val="left"/>
        <w:rPr>
          <w:rFonts w:ascii="宋体" w:hAnsi="宋体" w:cs="宋体"/>
        </w:rPr>
      </w:pPr>
      <w:r>
        <w:rPr>
          <w:rFonts w:hint="eastAsia" w:ascii="宋体" w:hAnsi="宋体" w:cs="宋体"/>
          <w:color w:val="FF0000"/>
        </w:rPr>
        <w:t>9.商圈融资：</w:t>
      </w:r>
      <w:r>
        <w:rPr>
          <w:rFonts w:hint="eastAsia" w:ascii="宋体" w:hAnsi="宋体" w:cs="宋体"/>
        </w:rPr>
        <w:t>商圈担保融资、供应链融资、商铺经营权、租赁权质押、仓单质押、存货质押、动产质押、企业集合债券。</w:t>
      </w:r>
    </w:p>
    <w:p w14:paraId="4D597FA2">
      <w:pPr>
        <w:jc w:val="left"/>
        <w:rPr>
          <w:rFonts w:ascii="宋体" w:hAnsi="宋体" w:cs="宋体"/>
          <w:color w:val="FF0000"/>
        </w:rPr>
      </w:pPr>
      <w:r>
        <w:rPr>
          <w:rFonts w:hint="eastAsia" w:ascii="宋体" w:hAnsi="宋体" w:cs="宋体"/>
          <w:color w:val="FF0000"/>
        </w:rPr>
        <w:t>10.供应链融资</w:t>
      </w:r>
    </w:p>
    <w:p w14:paraId="69A58068">
      <w:pPr>
        <w:jc w:val="left"/>
        <w:rPr>
          <w:rFonts w:ascii="宋体" w:hAnsi="宋体" w:cs="宋体"/>
          <w:color w:val="FF0000"/>
        </w:rPr>
      </w:pPr>
      <w:r>
        <w:rPr>
          <w:rFonts w:hint="eastAsia" w:ascii="宋体" w:hAnsi="宋体" w:cs="宋体"/>
          <w:color w:val="FF0000"/>
        </w:rPr>
        <w:t>11.绿色信贷（可持续融资、环境融资）</w:t>
      </w:r>
    </w:p>
    <w:p w14:paraId="59894EA5">
      <w:pPr>
        <w:jc w:val="left"/>
        <w:rPr>
          <w:rFonts w:hint="eastAsia" w:ascii="宋体" w:hAnsi="宋体" w:cs="宋体"/>
          <w:color w:val="FF0000"/>
        </w:rPr>
      </w:pPr>
      <w:r>
        <w:rPr>
          <w:rFonts w:hint="eastAsia" w:ascii="宋体" w:hAnsi="宋体" w:cs="宋体"/>
          <w:color w:val="FF0000"/>
        </w:rPr>
        <w:t>12.能效信贷</w:t>
      </w:r>
    </w:p>
    <w:p w14:paraId="3BC1BA32">
      <w:pPr>
        <w:overflowPunct w:val="0"/>
        <w:jc w:val="center"/>
        <w:rPr>
          <w:rFonts w:ascii="宋体" w:hAnsi="宋体" w:cs="宋体"/>
          <w:b/>
          <w:bCs/>
        </w:rPr>
      </w:pPr>
      <w:r>
        <w:rPr>
          <w:rFonts w:hint="eastAsia" w:ascii="宋体" w:hAnsi="宋体" w:cs="宋体"/>
          <w:b/>
          <w:bCs/>
        </w:rPr>
        <w:t>第五章  筹资管理</w:t>
      </w:r>
    </w:p>
    <w:p w14:paraId="235E577B">
      <w:pPr>
        <w:jc w:val="left"/>
        <w:rPr>
          <w:rFonts w:ascii="宋体" w:hAnsi="宋体" w:cs="宋体"/>
        </w:rPr>
      </w:pPr>
      <w:r>
        <w:rPr>
          <w:rFonts w:hint="eastAsia" w:ascii="宋体" w:hAnsi="宋体" w:cs="宋体"/>
          <w:color w:val="FF0000"/>
        </w:rPr>
        <w:t>【考情分析】</w:t>
      </w:r>
      <w:r>
        <w:rPr>
          <w:rFonts w:hint="eastAsia" w:ascii="宋体" w:hAnsi="宋体" w:cs="宋体"/>
        </w:rPr>
        <w:t>预测2024年客观题和主观题都会涉及，分数在15分左右。</w:t>
      </w:r>
    </w:p>
    <w:p w14:paraId="2F6473C8">
      <w:pPr>
        <w:jc w:val="center"/>
        <w:rPr>
          <w:rFonts w:ascii="宋体" w:hAnsi="宋体" w:cs="宋体"/>
          <w:b/>
          <w:bCs/>
        </w:rPr>
      </w:pPr>
      <w:r>
        <w:rPr>
          <w:rFonts w:hint="eastAsia" w:ascii="宋体" w:hAnsi="宋体" w:cs="宋体"/>
          <w:b/>
          <w:bCs/>
        </w:rPr>
        <w:t>第一节  资金需要量预测</w:t>
      </w:r>
    </w:p>
    <w:p w14:paraId="15AAA188">
      <w:pPr>
        <w:jc w:val="left"/>
        <w:rPr>
          <w:rFonts w:ascii="宋体" w:hAnsi="宋体" w:cs="宋体"/>
          <w:color w:val="FF0000"/>
        </w:rPr>
      </w:pPr>
      <w:r>
        <w:rPr>
          <w:rFonts w:hint="eastAsia" w:ascii="宋体" w:hAnsi="宋体" w:cs="宋体"/>
          <w:color w:val="FF0000"/>
        </w:rPr>
        <w:t>【知识点1】因素分析法</w:t>
      </w:r>
    </w:p>
    <w:p w14:paraId="2AEFC138">
      <w:pPr>
        <w:jc w:val="left"/>
        <w:rPr>
          <w:rFonts w:ascii="宋体" w:hAnsi="宋体" w:cs="宋体"/>
        </w:rPr>
      </w:pPr>
      <w:r>
        <w:rPr>
          <w:rFonts w:hint="eastAsia" w:ascii="宋体" w:hAnsi="宋体" w:cs="宋体"/>
        </w:rPr>
        <w:t>资金需要量=（基期资金平均占用额－不合理资金占用额）×（1+预测期销售增长率）/（1+预测期资金周转速度增长率）</w:t>
      </w:r>
    </w:p>
    <w:p w14:paraId="578AADD6">
      <w:pPr>
        <w:jc w:val="left"/>
        <w:rPr>
          <w:rFonts w:ascii="宋体" w:hAnsi="宋体" w:cs="宋体"/>
          <w:color w:val="FF0000"/>
        </w:rPr>
      </w:pPr>
      <w:r>
        <w:rPr>
          <w:rFonts w:hint="eastAsia" w:ascii="宋体" w:hAnsi="宋体" w:cs="宋体"/>
          <w:color w:val="FF0000"/>
        </w:rPr>
        <w:t>【知识点2】销售百分比法</w:t>
      </w:r>
    </w:p>
    <w:p w14:paraId="3AFF5A76">
      <w:pPr>
        <w:jc w:val="left"/>
        <w:rPr>
          <w:rFonts w:ascii="宋体" w:hAnsi="宋体" w:cs="宋体"/>
          <w:color w:val="FF0000"/>
        </w:rPr>
      </w:pPr>
      <w:r>
        <w:rPr>
          <w:rFonts w:hint="eastAsia" w:ascii="宋体" w:hAnsi="宋体" w:cs="宋体"/>
          <w:color w:val="FF0000"/>
        </w:rPr>
        <w:t>1.确定随销售额变动而变动的资产和负债项目；</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7"/>
        <w:gridCol w:w="5068"/>
      </w:tblGrid>
      <w:tr w14:paraId="664F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1346593">
            <w:pPr>
              <w:jc w:val="left"/>
              <w:rPr>
                <w:rFonts w:ascii="宋体" w:hAnsi="宋体" w:cs="宋体"/>
              </w:rPr>
            </w:pPr>
            <w:r>
              <w:rPr>
                <w:rFonts w:hint="eastAsia" w:ascii="宋体" w:hAnsi="宋体" w:cs="宋体"/>
              </w:rPr>
              <w:t>经营性（敏感性）资产</w:t>
            </w:r>
          </w:p>
        </w:tc>
        <w:tc>
          <w:tcPr>
            <w:tcW w:w="2500" w:type="pct"/>
          </w:tcPr>
          <w:p w14:paraId="5F5DC2A2">
            <w:pPr>
              <w:jc w:val="left"/>
              <w:rPr>
                <w:rFonts w:ascii="宋体" w:hAnsi="宋体" w:cs="宋体"/>
              </w:rPr>
            </w:pPr>
            <w:r>
              <w:rPr>
                <w:rFonts w:hint="eastAsia" w:ascii="宋体" w:hAnsi="宋体" w:cs="宋体"/>
              </w:rPr>
              <w:t>库存现金、应收账款、存货等。</w:t>
            </w:r>
          </w:p>
        </w:tc>
      </w:tr>
      <w:tr w14:paraId="20C4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5C012C6C">
            <w:pPr>
              <w:jc w:val="left"/>
              <w:rPr>
                <w:rFonts w:ascii="宋体" w:hAnsi="宋体" w:cs="宋体"/>
              </w:rPr>
            </w:pPr>
            <w:r>
              <w:rPr>
                <w:rFonts w:hint="eastAsia" w:ascii="宋体" w:hAnsi="宋体" w:cs="宋体"/>
              </w:rPr>
              <w:t>经营性（敏感性）负债</w:t>
            </w:r>
          </w:p>
        </w:tc>
        <w:tc>
          <w:tcPr>
            <w:tcW w:w="2500" w:type="pct"/>
          </w:tcPr>
          <w:p w14:paraId="55A2A8DD">
            <w:pPr>
              <w:jc w:val="left"/>
              <w:rPr>
                <w:rFonts w:ascii="宋体" w:hAnsi="宋体" w:cs="宋体"/>
              </w:rPr>
            </w:pPr>
            <w:r>
              <w:rPr>
                <w:rFonts w:hint="eastAsia" w:ascii="宋体" w:hAnsi="宋体" w:cs="宋体"/>
              </w:rPr>
              <w:t>应付票据、应付账款等。</w:t>
            </w:r>
          </w:p>
        </w:tc>
      </w:tr>
    </w:tbl>
    <w:p w14:paraId="05D2579C">
      <w:pPr>
        <w:jc w:val="left"/>
        <w:rPr>
          <w:rFonts w:ascii="宋体" w:hAnsi="宋体" w:cs="宋体"/>
        </w:rPr>
      </w:pPr>
      <w:r>
        <w:rPr>
          <w:rFonts w:hint="eastAsia" w:ascii="宋体" w:hAnsi="宋体" w:cs="宋体"/>
          <w:color w:val="FF0000"/>
        </w:rPr>
        <w:t>【提示】</w:t>
      </w:r>
      <w:r>
        <w:rPr>
          <w:rFonts w:hint="eastAsia" w:ascii="宋体" w:hAnsi="宋体" w:cs="宋体"/>
        </w:rPr>
        <w:t>经营负债中不包括短期借款、短期融资券、长期负债等筹资性负债。</w:t>
      </w:r>
    </w:p>
    <w:p w14:paraId="18122FB0">
      <w:pPr>
        <w:jc w:val="left"/>
        <w:rPr>
          <w:rFonts w:ascii="宋体" w:hAnsi="宋体" w:cs="宋体"/>
          <w:color w:val="FF0000"/>
        </w:rPr>
      </w:pPr>
      <w:r>
        <w:rPr>
          <w:rFonts w:hint="eastAsia" w:ascii="宋体" w:hAnsi="宋体" w:cs="宋体"/>
          <w:color w:val="FF0000"/>
        </w:rPr>
        <w:t>2.基本公式</w:t>
      </w:r>
    </w:p>
    <w:p w14:paraId="465A3DE8">
      <w:pPr>
        <w:jc w:val="left"/>
        <w:rPr>
          <w:rFonts w:ascii="宋体" w:hAnsi="宋体" w:cs="宋体"/>
        </w:rPr>
      </w:pPr>
      <w:r>
        <w:rPr>
          <w:rFonts w:hint="eastAsia" w:ascii="宋体" w:hAnsi="宋体" w:cs="宋体"/>
        </w:rPr>
        <w:t>（1）总融资需求额=经营性资产增加额-经营性负债增加额= 营业收入增加*（敏感资产销售百分比-敏感负债销售百分比）=预计营业收入增长率*（基期敏感资产-基期敏感负债）</w:t>
      </w:r>
    </w:p>
    <w:p w14:paraId="0717E7A5">
      <w:pPr>
        <w:jc w:val="left"/>
        <w:rPr>
          <w:rFonts w:ascii="宋体" w:hAnsi="宋体" w:cs="宋体"/>
        </w:rPr>
      </w:pPr>
      <w:r>
        <w:rPr>
          <w:rFonts w:hint="eastAsia" w:ascii="宋体" w:hAnsi="宋体" w:cs="宋体"/>
        </w:rPr>
        <w:t>（2）预测留存收益增加额＝预计净利润－预计股利支付额＝预计销售额×销售净利率×（1－股利支付率）</w:t>
      </w:r>
    </w:p>
    <w:p w14:paraId="006C988C">
      <w:pPr>
        <w:jc w:val="left"/>
        <w:rPr>
          <w:rFonts w:ascii="宋体" w:hAnsi="宋体" w:cs="宋体"/>
        </w:rPr>
      </w:pPr>
      <w:r>
        <w:rPr>
          <w:rFonts w:hint="eastAsia" w:ascii="宋体" w:hAnsi="宋体" w:cs="宋体"/>
        </w:rPr>
        <w:t>（3）外部融资需求额=总融资需求额-预测留存收益增加额</w:t>
      </w:r>
    </w:p>
    <w:p w14:paraId="0D4CB09F">
      <w:pPr>
        <w:jc w:val="left"/>
        <w:rPr>
          <w:rFonts w:ascii="宋体" w:hAnsi="宋体" w:cs="宋体"/>
          <w:color w:val="FF0000"/>
        </w:rPr>
      </w:pPr>
      <w:r>
        <w:rPr>
          <w:rFonts w:hint="eastAsia" w:ascii="宋体" w:hAnsi="宋体" w:cs="宋体"/>
          <w:color w:val="FF0000"/>
        </w:rPr>
        <w:t>【知识点3】资金习性预测法</w:t>
      </w:r>
    </w:p>
    <w:p w14:paraId="42DC033D">
      <w:pPr>
        <w:jc w:val="left"/>
        <w:rPr>
          <w:rFonts w:ascii="宋体" w:hAnsi="宋体" w:cs="宋体"/>
        </w:rPr>
      </w:pPr>
      <w:r>
        <w:rPr>
          <w:rFonts w:hint="eastAsia" w:ascii="宋体" w:hAnsi="宋体" w:cs="宋体"/>
        </w:rPr>
        <w:t>资金习性，是指资金的变动同产销量变动之间的依存关系。按照资金同产销量之间的依存关系，可以把资金区分为不变资金、变动资金和半变动资金。</w:t>
      </w:r>
    </w:p>
    <w:p w14:paraId="16A08D7F">
      <w:pPr>
        <w:jc w:val="left"/>
        <w:rPr>
          <w:rFonts w:ascii="宋体" w:hAnsi="宋体" w:cs="宋体"/>
          <w:color w:val="FF0000"/>
        </w:rPr>
      </w:pPr>
      <w:r>
        <w:rPr>
          <w:rFonts w:hint="eastAsia" w:ascii="宋体" w:hAnsi="宋体" w:cs="宋体"/>
          <w:color w:val="FF0000"/>
        </w:rPr>
        <w:t>资金习性模型：y＝a＋bx</w:t>
      </w:r>
    </w:p>
    <w:p w14:paraId="07D432D4">
      <w:pPr>
        <w:jc w:val="left"/>
        <w:rPr>
          <w:rFonts w:ascii="宋体" w:hAnsi="宋体" w:cs="宋体"/>
        </w:rPr>
      </w:pPr>
      <w:r>
        <w:rPr>
          <w:rFonts w:hint="eastAsia" w:ascii="宋体" w:hAnsi="宋体" w:cs="宋体"/>
        </w:rPr>
        <w:t>（1）根据资金占用总额与产销量的关系预测，回归直线法</w:t>
      </w:r>
    </w:p>
    <w:p w14:paraId="469CF408">
      <w:pPr>
        <w:jc w:val="left"/>
        <w:rPr>
          <w:rFonts w:ascii="宋体" w:hAnsi="宋体" w:cs="宋体"/>
        </w:rPr>
      </w:pPr>
      <w:r>
        <w:rPr>
          <w:rFonts w:hint="eastAsia" w:ascii="宋体" w:hAnsi="宋体" w:cs="宋体"/>
        </w:rPr>
        <w:t>（2）采用逐项分析法预测，高低点法</w:t>
      </w:r>
    </w:p>
    <w:p w14:paraId="7F822609">
      <w:pPr>
        <w:jc w:val="left"/>
        <w:rPr>
          <w:rFonts w:ascii="宋体" w:hAnsi="宋体" w:cs="宋体"/>
        </w:rPr>
      </w:pPr>
    </w:p>
    <w:p w14:paraId="3E02FD61">
      <w:pPr>
        <w:jc w:val="center"/>
        <w:rPr>
          <w:rFonts w:ascii="宋体" w:hAnsi="宋体" w:cs="宋体"/>
          <w:b/>
          <w:bCs/>
        </w:rPr>
      </w:pPr>
      <w:r>
        <w:rPr>
          <w:rFonts w:hint="eastAsia" w:ascii="宋体" w:hAnsi="宋体" w:cs="宋体"/>
          <w:b/>
          <w:bCs/>
        </w:rPr>
        <w:t>第二节  资本成本</w:t>
      </w:r>
    </w:p>
    <w:p w14:paraId="3CCC1DC7">
      <w:pPr>
        <w:jc w:val="left"/>
        <w:rPr>
          <w:rFonts w:ascii="宋体" w:hAnsi="宋体" w:cs="宋体"/>
          <w:color w:val="FF0000"/>
        </w:rPr>
      </w:pPr>
      <w:r>
        <w:rPr>
          <w:rFonts w:hint="eastAsia" w:ascii="宋体" w:hAnsi="宋体" w:cs="宋体"/>
          <w:color w:val="FF0000"/>
        </w:rPr>
        <w:t>【知识点1】资本成本基本概述</w:t>
      </w:r>
    </w:p>
    <w:p w14:paraId="66826C6B">
      <w:pPr>
        <w:jc w:val="left"/>
        <w:rPr>
          <w:rFonts w:ascii="宋体" w:hAnsi="宋体" w:cs="宋体"/>
        </w:rPr>
      </w:pPr>
      <w:r>
        <w:rPr>
          <w:rFonts w:hint="eastAsia" w:ascii="宋体" w:hAnsi="宋体" w:cs="宋体"/>
          <w:color w:val="FF0000"/>
        </w:rPr>
        <w:t>1.含义：</w:t>
      </w:r>
      <w:r>
        <w:rPr>
          <w:rFonts w:hint="eastAsia" w:ascii="宋体" w:hAnsi="宋体" w:cs="宋体"/>
        </w:rPr>
        <w:t>是指企业为筹集和使用资本而付出的代价包括筹资费用和用资费用。</w:t>
      </w:r>
    </w:p>
    <w:p w14:paraId="08C22B14">
      <w:pPr>
        <w:jc w:val="left"/>
        <w:rPr>
          <w:rFonts w:ascii="宋体" w:hAnsi="宋体" w:cs="宋体"/>
        </w:rPr>
      </w:pPr>
      <w:r>
        <w:rPr>
          <w:rFonts w:hint="eastAsia" w:ascii="宋体" w:hAnsi="宋体" w:cs="宋体"/>
          <w:color w:val="FF0000"/>
        </w:rPr>
        <w:t>2.作用：</w:t>
      </w:r>
      <w:r>
        <w:rPr>
          <w:rFonts w:hint="eastAsia" w:ascii="宋体" w:hAnsi="宋体" w:cs="宋体"/>
        </w:rPr>
        <w:t>筹资决策、衡量资本结构、投资决策、业绩评价</w:t>
      </w:r>
    </w:p>
    <w:p w14:paraId="0D3420D0">
      <w:pPr>
        <w:jc w:val="left"/>
        <w:rPr>
          <w:rFonts w:ascii="宋体" w:hAnsi="宋体" w:cs="宋体"/>
        </w:rPr>
      </w:pPr>
      <w:r>
        <w:rPr>
          <w:rFonts w:hint="eastAsia" w:ascii="宋体" w:hAnsi="宋体" w:cs="宋体"/>
          <w:color w:val="FF0000"/>
        </w:rPr>
        <w:t>3.影响资本成本的因素：</w:t>
      </w:r>
      <w:r>
        <w:rPr>
          <w:rFonts w:hint="eastAsia" w:ascii="宋体" w:hAnsi="宋体" w:cs="宋体"/>
        </w:rPr>
        <w:t>总体经济环境；资本市场条件；企业经营状况和融资状况；企业对筹资规模和时限的需求</w:t>
      </w:r>
    </w:p>
    <w:p w14:paraId="4008278B">
      <w:pPr>
        <w:jc w:val="left"/>
        <w:rPr>
          <w:rFonts w:ascii="宋体" w:hAnsi="宋体" w:cs="宋体"/>
          <w:color w:val="FF0000"/>
        </w:rPr>
      </w:pPr>
      <w:r>
        <w:rPr>
          <w:rFonts w:hint="eastAsia" w:ascii="宋体" w:hAnsi="宋体" w:cs="宋体"/>
          <w:color w:val="FF0000"/>
        </w:rPr>
        <w:t>【知识点2】个别资本成本两种基本模式</w:t>
      </w:r>
    </w:p>
    <w:p w14:paraId="0E33FDDB">
      <w:pPr>
        <w:jc w:val="left"/>
        <w:rPr>
          <w:rFonts w:ascii="宋体" w:hAnsi="宋体" w:cs="宋体"/>
          <w:color w:val="FF0000"/>
        </w:rPr>
      </w:pPr>
      <w:r>
        <w:rPr>
          <w:rFonts w:hint="eastAsia" w:ascii="宋体" w:hAnsi="宋体" w:cs="宋体"/>
          <w:color w:val="FF0000"/>
        </w:rPr>
        <w:t>1.一般模式（不考虑货币时间价值），主要适用于债务资本成本计算。</w:t>
      </w:r>
    </w:p>
    <w:p w14:paraId="2F78289B">
      <w:pPr>
        <w:jc w:val="left"/>
        <w:rPr>
          <w:rFonts w:ascii="宋体" w:hAnsi="宋体" w:cs="宋体"/>
        </w:rPr>
      </w:pPr>
      <w:r>
        <w:rPr>
          <w:rFonts w:hint="eastAsia" w:ascii="宋体" w:hAnsi="宋体" w:cs="宋体"/>
        </w:rPr>
        <w:drawing>
          <wp:inline distT="0" distB="0" distL="114300" distR="114300">
            <wp:extent cx="4164330" cy="44069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r:link="rId23">
                      <a:extLst>
                        <a:ext uri="{BEBA8EAE-BF5A-486C-A8C5-ECC9F3942E4B}">
                          <a14:imgProps xmlns:a14="http://schemas.microsoft.com/office/drawing/2010/main">
                            <a14:imgLayer r:embed="rId24">
                              <a14:imgEffect>
                                <a14:brightnessContrast bright="-100000" contrast="-5000"/>
                              </a14:imgEffect>
                            </a14:imgLayer>
                          </a14:imgProps>
                        </a:ext>
                      </a:extLst>
                    </a:blip>
                    <a:stretch>
                      <a:fillRect/>
                    </a:stretch>
                  </pic:blipFill>
                  <pic:spPr>
                    <a:xfrm>
                      <a:off x="0" y="0"/>
                      <a:ext cx="4293135" cy="454445"/>
                    </a:xfrm>
                    <a:prstGeom prst="rect">
                      <a:avLst/>
                    </a:prstGeom>
                    <a:noFill/>
                    <a:ln>
                      <a:noFill/>
                    </a:ln>
                  </pic:spPr>
                </pic:pic>
              </a:graphicData>
            </a:graphic>
          </wp:inline>
        </w:drawing>
      </w:r>
    </w:p>
    <w:p w14:paraId="39A7171F">
      <w:pPr>
        <w:jc w:val="left"/>
        <w:rPr>
          <w:rFonts w:ascii="宋体" w:hAnsi="宋体" w:cs="宋体"/>
        </w:rPr>
      </w:pPr>
      <w:r>
        <w:rPr>
          <w:rFonts w:hint="eastAsia" w:ascii="宋体" w:hAnsi="宋体" w:cs="宋体"/>
          <w:color w:val="FF0000"/>
        </w:rPr>
        <w:t>2.贴现模式（考虑货币时间价值），</w:t>
      </w:r>
      <w:r>
        <w:rPr>
          <w:rFonts w:hint="eastAsia" w:ascii="宋体" w:hAnsi="宋体" w:cs="宋体"/>
        </w:rPr>
        <w:t>适用金额大，借贷资本时间长的情形。</w:t>
      </w:r>
    </w:p>
    <w:p w14:paraId="1AC9D3DE">
      <w:pPr>
        <w:jc w:val="left"/>
        <w:rPr>
          <w:rFonts w:ascii="宋体" w:hAnsi="宋体" w:cs="宋体"/>
        </w:rPr>
      </w:pPr>
      <w:r>
        <w:rPr>
          <w:rFonts w:hint="eastAsia" w:ascii="宋体" w:hAnsi="宋体" w:cs="宋体"/>
        </w:rPr>
        <w:t>能使现金流入现值与现金流出现值相等的折现率，即为资本成本率</w:t>
      </w:r>
    </w:p>
    <w:p w14:paraId="530BD7C3">
      <w:pPr>
        <w:jc w:val="left"/>
        <w:rPr>
          <w:rFonts w:ascii="宋体" w:hAnsi="宋体" w:cs="宋体"/>
        </w:rPr>
      </w:pPr>
      <w:r>
        <w:rPr>
          <w:rFonts w:hint="eastAsia" w:ascii="宋体" w:hAnsi="宋体" w:cs="宋体"/>
        </w:rPr>
        <w:t>求解折现率，即为资本成本率。</w:t>
      </w:r>
    </w:p>
    <w:p w14:paraId="011AC59A">
      <w:pPr>
        <w:jc w:val="left"/>
        <w:rPr>
          <w:rFonts w:ascii="宋体" w:hAnsi="宋体" w:cs="宋体"/>
        </w:rPr>
      </w:pPr>
      <w:r>
        <w:rPr>
          <w:rFonts w:hint="eastAsia" w:ascii="宋体" w:hAnsi="宋体" w:cs="宋体"/>
          <w:color w:val="FF0000"/>
        </w:rPr>
        <w:t>【提示】</w:t>
      </w:r>
      <w:r>
        <w:rPr>
          <w:rFonts w:hint="eastAsia" w:ascii="宋体" w:hAnsi="宋体" w:cs="宋体"/>
        </w:rPr>
        <w:t>若资金来源为负债，由于存在利息的税前抵扣情况，故存在税前资本成本和税后资本成本的区别，如果不做特殊说明，债务资本成本一般均指债务的税后资本成本。</w:t>
      </w:r>
    </w:p>
    <w:p w14:paraId="66A4D43A">
      <w:pPr>
        <w:jc w:val="left"/>
        <w:rPr>
          <w:rFonts w:ascii="宋体" w:hAnsi="宋体" w:cs="宋体"/>
          <w:color w:val="FF0000"/>
        </w:rPr>
      </w:pPr>
      <w:r>
        <w:rPr>
          <w:rFonts w:hint="eastAsia" w:ascii="宋体" w:hAnsi="宋体" w:cs="宋体"/>
          <w:color w:val="FF0000"/>
        </w:rPr>
        <w:t>【知识点3】银行借款资本成本率</w:t>
      </w:r>
    </w:p>
    <w:p w14:paraId="05592163">
      <w:pPr>
        <w:jc w:val="left"/>
        <w:rPr>
          <w:rFonts w:ascii="宋体" w:hAnsi="宋体" w:cs="宋体"/>
        </w:rPr>
      </w:pPr>
      <w:r>
        <w:rPr>
          <w:rFonts w:hint="eastAsia" w:ascii="宋体" w:hAnsi="宋体" w:cs="宋体"/>
        </w:rPr>
        <w:drawing>
          <wp:inline distT="0" distB="0" distL="114300" distR="114300">
            <wp:extent cx="3485515" cy="773430"/>
            <wp:effectExtent l="0" t="0" r="0" b="7620"/>
            <wp:docPr id="3" name="图片 2" descr="1584593398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84593398410-0"/>
                    <pic:cNvPicPr>
                      <a:picLocks noChangeAspect="1"/>
                    </pic:cNvPicPr>
                  </pic:nvPicPr>
                  <pic:blipFill>
                    <a:blip r:embed="rId25">
                      <a:extLst>
                        <a:ext uri="{BEBA8EAE-BF5A-486C-A8C5-ECC9F3942E4B}">
                          <a14:imgProps xmlns:a14="http://schemas.microsoft.com/office/drawing/2010/main">
                            <a14:imgLayer r:embed="rId26">
                              <a14:imgEffect>
                                <a14:brightnessContrast bright="-100000" contrast="38000"/>
                              </a14:imgEffect>
                            </a14:imgLayer>
                          </a14:imgProps>
                        </a:ext>
                      </a:extLst>
                    </a:blip>
                    <a:stretch>
                      <a:fillRect/>
                    </a:stretch>
                  </pic:blipFill>
                  <pic:spPr>
                    <a:xfrm>
                      <a:off x="0" y="0"/>
                      <a:ext cx="3615344" cy="802285"/>
                    </a:xfrm>
                    <a:prstGeom prst="rect">
                      <a:avLst/>
                    </a:prstGeom>
                    <a:noFill/>
                    <a:ln>
                      <a:noFill/>
                    </a:ln>
                  </pic:spPr>
                </pic:pic>
              </a:graphicData>
            </a:graphic>
          </wp:inline>
        </w:drawing>
      </w:r>
    </w:p>
    <w:p w14:paraId="23E0A4A8">
      <w:pPr>
        <w:jc w:val="left"/>
        <w:rPr>
          <w:rFonts w:ascii="宋体" w:hAnsi="宋体" w:cs="宋体"/>
          <w:color w:val="FF0000"/>
        </w:rPr>
      </w:pPr>
      <w:r>
        <w:rPr>
          <w:rFonts w:hint="eastAsia" w:ascii="宋体" w:hAnsi="宋体" w:cs="宋体"/>
          <w:color w:val="FF0000"/>
        </w:rPr>
        <w:t>【知识点4】公司债券资本成本率</w:t>
      </w:r>
    </w:p>
    <w:p w14:paraId="4B00160F">
      <w:pPr>
        <w:jc w:val="left"/>
        <w:rPr>
          <w:rFonts w:ascii="宋体" w:hAnsi="宋体" w:cs="宋体"/>
        </w:rPr>
      </w:pPr>
      <w:r>
        <w:rPr>
          <w:rFonts w:hint="eastAsia" w:ascii="宋体" w:hAnsi="宋体" w:cs="宋体"/>
        </w:rPr>
        <w:drawing>
          <wp:inline distT="0" distB="0" distL="114300" distR="114300">
            <wp:extent cx="4354195" cy="460375"/>
            <wp:effectExtent l="0" t="0" r="8255"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r:link="rId23">
                      <a:extLst>
                        <a:ext uri="{BEBA8EAE-BF5A-486C-A8C5-ECC9F3942E4B}">
                          <a14:imgProps xmlns:a14="http://schemas.microsoft.com/office/drawing/2010/main">
                            <a14:imgLayer r:embed="rId27">
                              <a14:imgEffect>
                                <a14:brightnessContrast bright="-100000" contrast="39000"/>
                              </a14:imgEffect>
                            </a14:imgLayer>
                          </a14:imgProps>
                        </a:ext>
                      </a:extLst>
                    </a:blip>
                    <a:stretch>
                      <a:fillRect/>
                    </a:stretch>
                  </pic:blipFill>
                  <pic:spPr>
                    <a:xfrm>
                      <a:off x="0" y="0"/>
                      <a:ext cx="4513658" cy="477787"/>
                    </a:xfrm>
                    <a:prstGeom prst="rect">
                      <a:avLst/>
                    </a:prstGeom>
                    <a:noFill/>
                    <a:ln>
                      <a:noFill/>
                    </a:ln>
                  </pic:spPr>
                </pic:pic>
              </a:graphicData>
            </a:graphic>
          </wp:inline>
        </w:drawing>
      </w:r>
    </w:p>
    <w:p w14:paraId="5E358EA6">
      <w:pPr>
        <w:jc w:val="left"/>
        <w:rPr>
          <w:rFonts w:ascii="宋体" w:hAnsi="宋体" w:cs="宋体"/>
        </w:rPr>
      </w:pPr>
      <w:r>
        <w:rPr>
          <w:rFonts w:hint="eastAsia" w:ascii="宋体" w:hAnsi="宋体" w:cs="宋体"/>
          <w:color w:val="FF0000"/>
        </w:rPr>
        <w:t>【注意】</w:t>
      </w:r>
      <w:r>
        <w:rPr>
          <w:rFonts w:hint="eastAsia" w:ascii="宋体" w:hAnsi="宋体" w:cs="宋体"/>
        </w:rPr>
        <w:t>年资金占用费=年利息，要根据面值和票面利率计算，但筹资总额是根据债券发行价格计算。</w:t>
      </w:r>
    </w:p>
    <w:p w14:paraId="11E156D9">
      <w:pPr>
        <w:jc w:val="left"/>
        <w:rPr>
          <w:rFonts w:ascii="宋体" w:hAnsi="宋体" w:cs="宋体"/>
        </w:rPr>
      </w:pPr>
      <w:r>
        <w:rPr>
          <w:rFonts w:hint="eastAsia" w:ascii="宋体" w:hAnsi="宋体" w:cs="宋体"/>
          <w:color w:val="FF0000"/>
        </w:rPr>
        <w:t>【贴现模式】</w:t>
      </w:r>
      <w:r>
        <w:rPr>
          <w:rFonts w:hint="eastAsia" w:ascii="宋体" w:hAnsi="宋体" w:cs="宋体"/>
        </w:rPr>
        <w:t>年利息×（1－所得税税率）×（P/A，k，n）＋面值（或本金）×（P/F，k，n）=筹资总额×（1－筹资费用率）</w:t>
      </w:r>
    </w:p>
    <w:p w14:paraId="240AA26B">
      <w:pPr>
        <w:jc w:val="left"/>
        <w:rPr>
          <w:rFonts w:ascii="宋体" w:hAnsi="宋体" w:cs="宋体"/>
          <w:color w:val="FF0000"/>
        </w:rPr>
      </w:pPr>
      <w:r>
        <w:rPr>
          <w:rFonts w:hint="eastAsia" w:ascii="宋体" w:hAnsi="宋体" w:cs="宋体"/>
          <w:color w:val="FF0000"/>
        </w:rPr>
        <w:t>【知识点5】优先股</w:t>
      </w:r>
    </w:p>
    <w:p w14:paraId="0C6A125D">
      <w:pPr>
        <w:jc w:val="left"/>
        <w:rPr>
          <w:rFonts w:ascii="宋体" w:hAnsi="宋体" w:cs="宋体"/>
          <w:color w:val="FF0000"/>
        </w:rPr>
      </w:pPr>
      <w:r>
        <w:rPr>
          <w:rFonts w:hint="eastAsia" w:ascii="宋体" w:hAnsi="宋体" w:cs="宋体"/>
          <w:color w:val="FF0000"/>
        </w:rPr>
        <w:t>1.固定股息率</w:t>
      </w:r>
    </w:p>
    <w:p w14:paraId="36138DBB">
      <w:pPr>
        <w:jc w:val="left"/>
        <w:rPr>
          <w:rFonts w:ascii="宋体" w:hAnsi="宋体" w:cs="宋体"/>
        </w:rPr>
      </w:pPr>
      <w:r>
        <w:rPr>
          <w:rFonts w:hint="eastAsia" w:ascii="宋体" w:hAnsi="宋体" w:cs="宋体"/>
        </w:rPr>
        <w:t>优先股资本成本率K</w:t>
      </w:r>
    </w:p>
    <w:p w14:paraId="5CE0FB3A">
      <w:pPr>
        <w:jc w:val="left"/>
        <w:rPr>
          <w:rFonts w:ascii="宋体" w:hAnsi="宋体" w:cs="宋体"/>
        </w:rPr>
      </w:pPr>
      <w:r>
        <w:rPr>
          <w:rFonts w:hint="eastAsia" w:ascii="宋体" w:hAnsi="宋体" w:cs="宋体"/>
        </w:rPr>
        <w:drawing>
          <wp:inline distT="0" distB="0" distL="114300" distR="114300">
            <wp:extent cx="2806065" cy="467995"/>
            <wp:effectExtent l="0" t="0" r="1333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r:link="rId23">
                      <a:extLst>
                        <a:ext uri="{BEBA8EAE-BF5A-486C-A8C5-ECC9F3942E4B}">
                          <a14:imgProps xmlns:a14="http://schemas.microsoft.com/office/drawing/2010/main">
                            <a14:imgLayer r:embed="rId29">
                              <a14:imgEffect>
                                <a14:brightnessContrast bright="-100000" contrast="38000"/>
                              </a14:imgEffect>
                            </a14:imgLayer>
                          </a14:imgProps>
                        </a:ext>
                      </a:extLst>
                    </a:blip>
                    <a:stretch>
                      <a:fillRect/>
                    </a:stretch>
                  </pic:blipFill>
                  <pic:spPr>
                    <a:xfrm>
                      <a:off x="0" y="0"/>
                      <a:ext cx="2894250" cy="482786"/>
                    </a:xfrm>
                    <a:prstGeom prst="rect">
                      <a:avLst/>
                    </a:prstGeom>
                    <a:noFill/>
                    <a:ln>
                      <a:noFill/>
                    </a:ln>
                  </pic:spPr>
                </pic:pic>
              </a:graphicData>
            </a:graphic>
          </wp:inline>
        </w:drawing>
      </w:r>
    </w:p>
    <w:p w14:paraId="6A98AD79">
      <w:pPr>
        <w:jc w:val="left"/>
        <w:rPr>
          <w:rFonts w:ascii="宋体" w:hAnsi="宋体" w:cs="宋体"/>
        </w:rPr>
      </w:pPr>
      <w:r>
        <w:rPr>
          <w:rFonts w:hint="eastAsia" w:ascii="宋体" w:hAnsi="宋体" w:cs="宋体"/>
          <w:color w:val="FF0000"/>
        </w:rPr>
        <w:t>2.浮动股息率：</w:t>
      </w:r>
      <w:r>
        <w:rPr>
          <w:rFonts w:hint="eastAsia" w:ascii="宋体" w:hAnsi="宋体" w:cs="宋体"/>
        </w:rPr>
        <w:t>资本成本率只能按照贴现模式计算</w:t>
      </w:r>
    </w:p>
    <w:p w14:paraId="47D983E3">
      <w:pPr>
        <w:jc w:val="left"/>
        <w:rPr>
          <w:rFonts w:ascii="宋体" w:hAnsi="宋体" w:cs="宋体"/>
          <w:color w:val="FF0000"/>
        </w:rPr>
      </w:pPr>
      <w:r>
        <w:rPr>
          <w:rFonts w:hint="eastAsia" w:ascii="宋体" w:hAnsi="宋体" w:cs="宋体"/>
          <w:color w:val="FF0000"/>
        </w:rPr>
        <w:t>【知识点6】普通股资本成本率</w:t>
      </w:r>
    </w:p>
    <w:p w14:paraId="6E312FD9">
      <w:pPr>
        <w:jc w:val="left"/>
        <w:rPr>
          <w:rFonts w:ascii="宋体" w:hAnsi="宋体" w:cs="宋体"/>
          <w:color w:val="FF0000"/>
        </w:rPr>
      </w:pPr>
      <w:r>
        <w:rPr>
          <w:rFonts w:hint="eastAsia" w:ascii="宋体" w:hAnsi="宋体" w:cs="宋体"/>
          <w:color w:val="FF0000"/>
        </w:rPr>
        <w:t>1.股利增长模型法</w:t>
      </w:r>
    </w:p>
    <w:p w14:paraId="2BA0987B">
      <w:pPr>
        <w:jc w:val="left"/>
        <w:rPr>
          <w:rFonts w:ascii="宋体" w:hAnsi="宋体" w:cs="宋体"/>
        </w:rPr>
      </w:pPr>
      <w:r>
        <w:rPr>
          <w:rFonts w:hint="eastAsia" w:ascii="宋体" w:hAnsi="宋体" w:cs="宋体"/>
        </w:rPr>
        <w:drawing>
          <wp:inline distT="0" distB="0" distL="114300" distR="114300">
            <wp:extent cx="2543810" cy="559435"/>
            <wp:effectExtent l="0" t="0" r="8890" b="12700"/>
            <wp:docPr id="6" name="图片 5" descr="1584593398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84593398351-0"/>
                    <pic:cNvPicPr>
                      <a:picLocks noChangeAspect="1"/>
                    </pic:cNvPicPr>
                  </pic:nvPicPr>
                  <pic:blipFill>
                    <a:blip r:embed="rId30">
                      <a:extLst>
                        <a:ext uri="{BEBA8EAE-BF5A-486C-A8C5-ECC9F3942E4B}">
                          <a14:imgProps xmlns:a14="http://schemas.microsoft.com/office/drawing/2010/main">
                            <a14:imgLayer r:embed="rId31">
                              <a14:imgEffect>
                                <a14:brightnessContrast bright="-100000" contrast="37000"/>
                              </a14:imgEffect>
                            </a14:imgLayer>
                          </a14:imgProps>
                        </a:ext>
                      </a:extLst>
                    </a:blip>
                    <a:stretch>
                      <a:fillRect/>
                    </a:stretch>
                  </pic:blipFill>
                  <pic:spPr>
                    <a:xfrm>
                      <a:off x="0" y="0"/>
                      <a:ext cx="2622964" cy="577067"/>
                    </a:xfrm>
                    <a:prstGeom prst="rect">
                      <a:avLst/>
                    </a:prstGeom>
                    <a:noFill/>
                    <a:ln>
                      <a:noFill/>
                    </a:ln>
                  </pic:spPr>
                </pic:pic>
              </a:graphicData>
            </a:graphic>
          </wp:inline>
        </w:drawing>
      </w:r>
    </w:p>
    <w:p w14:paraId="66BC25F1">
      <w:pPr>
        <w:jc w:val="left"/>
        <w:rPr>
          <w:rFonts w:ascii="宋体" w:hAnsi="宋体" w:cs="宋体"/>
        </w:rPr>
      </w:pPr>
      <w:r>
        <w:rPr>
          <w:rFonts w:hint="eastAsia" w:ascii="宋体" w:hAnsi="宋体" w:cs="宋体"/>
          <w:color w:val="FF0000"/>
        </w:rPr>
        <w:t>【注意】</w:t>
      </w:r>
      <w:r>
        <w:rPr>
          <w:rFonts w:hint="eastAsia" w:ascii="宋体" w:hAnsi="宋体" w:cs="宋体"/>
        </w:rPr>
        <w:t>Do是本期已经支付的股利，D1是将要支付还未支付的股利。</w:t>
      </w:r>
    </w:p>
    <w:p w14:paraId="610E9B57">
      <w:pPr>
        <w:jc w:val="left"/>
        <w:rPr>
          <w:rFonts w:hint="eastAsia" w:ascii="宋体" w:hAnsi="宋体" w:cs="宋体"/>
        </w:rPr>
      </w:pPr>
      <w:r>
        <w:rPr>
          <w:rFonts w:hint="eastAsia" w:ascii="宋体" w:hAnsi="宋体" w:cs="宋体"/>
        </w:rPr>
        <w:t>2.资本资产定价模型法</w:t>
      </w:r>
    </w:p>
    <w:p w14:paraId="17816A09">
      <w:pPr>
        <w:jc w:val="left"/>
        <w:rPr>
          <w:rFonts w:ascii="宋体" w:hAnsi="宋体" w:cs="宋体"/>
        </w:rPr>
      </w:pPr>
      <w:r>
        <w:rPr>
          <w:rFonts w:hint="eastAsia" w:ascii="宋体" w:hAnsi="宋体" w:cs="宋体"/>
        </w:rPr>
        <w:drawing>
          <wp:inline distT="0" distB="0" distL="114300" distR="114300">
            <wp:extent cx="1647190" cy="314960"/>
            <wp:effectExtent l="0" t="0" r="0" b="7620"/>
            <wp:docPr id="7" name="图片 7" descr="1584593398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4593398423-0"/>
                    <pic:cNvPicPr>
                      <a:picLocks noChangeAspect="1"/>
                    </pic:cNvPicPr>
                  </pic:nvPicPr>
                  <pic:blipFill>
                    <a:blip r:embed="rId32">
                      <a:extLst>
                        <a:ext uri="{BEBA8EAE-BF5A-486C-A8C5-ECC9F3942E4B}">
                          <a14:imgProps xmlns:a14="http://schemas.microsoft.com/office/drawing/2010/main">
                            <a14:imgLayer r:embed="rId33">
                              <a14:imgEffect>
                                <a14:brightnessContrast bright="-100000" contrast="-17000"/>
                              </a14:imgEffect>
                            </a14:imgLayer>
                          </a14:imgProps>
                        </a:ext>
                      </a:extLst>
                    </a:blip>
                    <a:stretch>
                      <a:fillRect/>
                    </a:stretch>
                  </pic:blipFill>
                  <pic:spPr>
                    <a:xfrm>
                      <a:off x="0" y="0"/>
                      <a:ext cx="1740167" cy="332851"/>
                    </a:xfrm>
                    <a:prstGeom prst="rect">
                      <a:avLst/>
                    </a:prstGeom>
                    <a:noFill/>
                    <a:ln>
                      <a:noFill/>
                    </a:ln>
                  </pic:spPr>
                </pic:pic>
              </a:graphicData>
            </a:graphic>
          </wp:inline>
        </w:drawing>
      </w:r>
    </w:p>
    <w:p w14:paraId="3851E97E">
      <w:pPr>
        <w:jc w:val="left"/>
        <w:rPr>
          <w:rFonts w:ascii="宋体" w:hAnsi="宋体" w:cs="宋体"/>
          <w:color w:val="FF0000"/>
        </w:rPr>
      </w:pPr>
      <w:r>
        <w:rPr>
          <w:rFonts w:hint="eastAsia" w:ascii="宋体" w:hAnsi="宋体" w:cs="宋体"/>
          <w:color w:val="FF0000"/>
        </w:rPr>
        <w:t>【知识点7】留存收益的资本成本率</w:t>
      </w:r>
    </w:p>
    <w:p w14:paraId="755EAEBB">
      <w:pPr>
        <w:jc w:val="left"/>
        <w:rPr>
          <w:rFonts w:ascii="宋体" w:hAnsi="宋体" w:cs="宋体"/>
        </w:rPr>
      </w:pPr>
      <w:r>
        <w:rPr>
          <w:rFonts w:hint="eastAsia" w:ascii="宋体" w:hAnsi="宋体" w:cs="宋体"/>
        </w:rPr>
        <w:t>留存收益作为企业内部融资来源，与普通股资本成本计算相同，也分为股利增长模型法和资本资产定价模型法，但不考虑筹资费用。</w:t>
      </w:r>
    </w:p>
    <w:p w14:paraId="753E122A">
      <w:pPr>
        <w:jc w:val="left"/>
        <w:rPr>
          <w:rFonts w:ascii="宋体" w:hAnsi="宋体" w:cs="宋体"/>
          <w:color w:val="FF0000"/>
        </w:rPr>
      </w:pPr>
      <w:r>
        <w:rPr>
          <w:rFonts w:hint="eastAsia" w:ascii="宋体" w:hAnsi="宋体" w:cs="宋体"/>
          <w:color w:val="FF0000"/>
        </w:rPr>
        <w:t>【知识点8】加权平均资本成本</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8256"/>
      </w:tblGrid>
      <w:tr w14:paraId="55DF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6513A89C">
            <w:pPr>
              <w:jc w:val="left"/>
              <w:rPr>
                <w:rFonts w:ascii="宋体" w:hAnsi="宋体" w:cs="宋体"/>
              </w:rPr>
            </w:pPr>
            <w:r>
              <w:rPr>
                <w:rFonts w:hint="eastAsia" w:ascii="宋体" w:hAnsi="宋体" w:cs="宋体"/>
              </w:rPr>
              <w:t>账面价值权数</w:t>
            </w:r>
          </w:p>
        </w:tc>
        <w:tc>
          <w:tcPr>
            <w:tcW w:w="4073" w:type="pct"/>
          </w:tcPr>
          <w:p w14:paraId="3EE2974C">
            <w:pPr>
              <w:jc w:val="left"/>
              <w:rPr>
                <w:rFonts w:ascii="宋体" w:hAnsi="宋体" w:cs="宋体"/>
              </w:rPr>
            </w:pPr>
            <w:r>
              <w:rPr>
                <w:rFonts w:hint="eastAsia" w:ascii="宋体" w:hAnsi="宋体" w:cs="宋体"/>
              </w:rPr>
              <w:t>反映过去。资料容易取得，计算结果比较稳定。不适合评价现时的资本结构</w:t>
            </w:r>
          </w:p>
        </w:tc>
      </w:tr>
      <w:tr w14:paraId="38B3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51803B18">
            <w:pPr>
              <w:jc w:val="left"/>
              <w:rPr>
                <w:rFonts w:ascii="宋体" w:hAnsi="宋体" w:cs="宋体"/>
              </w:rPr>
            </w:pPr>
            <w:r>
              <w:rPr>
                <w:rFonts w:hint="eastAsia" w:ascii="宋体" w:hAnsi="宋体" w:cs="宋体"/>
              </w:rPr>
              <w:t>市场价值权数</w:t>
            </w:r>
          </w:p>
        </w:tc>
        <w:tc>
          <w:tcPr>
            <w:tcW w:w="4073" w:type="pct"/>
          </w:tcPr>
          <w:p w14:paraId="258A36B9">
            <w:pPr>
              <w:jc w:val="left"/>
              <w:rPr>
                <w:rFonts w:ascii="宋体" w:hAnsi="宋体" w:cs="宋体"/>
              </w:rPr>
            </w:pPr>
            <w:r>
              <w:rPr>
                <w:rFonts w:hint="eastAsia" w:ascii="宋体" w:hAnsi="宋体" w:cs="宋体"/>
              </w:rPr>
              <w:t>反映现在。能够反映现时的资本成本水平，有利于进行资本结构决策。不适用于未来的筹资决策</w:t>
            </w:r>
          </w:p>
        </w:tc>
      </w:tr>
      <w:tr w14:paraId="2C6D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A9A25E6">
            <w:pPr>
              <w:jc w:val="left"/>
              <w:rPr>
                <w:rFonts w:ascii="宋体" w:hAnsi="宋体" w:cs="宋体"/>
              </w:rPr>
            </w:pPr>
            <w:r>
              <w:rPr>
                <w:rFonts w:hint="eastAsia" w:ascii="宋体" w:hAnsi="宋体" w:cs="宋体"/>
              </w:rPr>
              <w:t>目标价值权数</w:t>
            </w:r>
          </w:p>
        </w:tc>
        <w:tc>
          <w:tcPr>
            <w:tcW w:w="4073" w:type="pct"/>
          </w:tcPr>
          <w:p w14:paraId="13F7C80A">
            <w:pPr>
              <w:jc w:val="left"/>
              <w:rPr>
                <w:rFonts w:ascii="宋体" w:hAnsi="宋体" w:cs="宋体"/>
              </w:rPr>
            </w:pPr>
            <w:r>
              <w:rPr>
                <w:rFonts w:hint="eastAsia" w:ascii="宋体" w:hAnsi="宋体" w:cs="宋体"/>
              </w:rPr>
              <w:t>反映未来。能适用于未来的筹资决策；目标价值的确定难免具有主观性</w:t>
            </w:r>
          </w:p>
        </w:tc>
      </w:tr>
    </w:tbl>
    <w:p w14:paraId="414A0627">
      <w:pPr>
        <w:jc w:val="left"/>
        <w:rPr>
          <w:rFonts w:ascii="宋体" w:hAnsi="宋体" w:cs="宋体"/>
          <w:color w:val="FF0000"/>
        </w:rPr>
      </w:pPr>
      <w:r>
        <w:rPr>
          <w:rFonts w:hint="eastAsia" w:ascii="宋体" w:hAnsi="宋体" w:cs="宋体"/>
          <w:color w:val="FF0000"/>
        </w:rPr>
        <w:t>【知识点9】边际资本成本</w:t>
      </w:r>
    </w:p>
    <w:p w14:paraId="3EFD475C">
      <w:pPr>
        <w:jc w:val="left"/>
        <w:rPr>
          <w:rFonts w:ascii="宋体" w:hAnsi="宋体" w:cs="宋体"/>
        </w:rPr>
      </w:pPr>
      <w:r>
        <w:rPr>
          <w:rFonts w:hint="eastAsia" w:ascii="宋体" w:hAnsi="宋体" w:cs="宋体"/>
        </w:rPr>
        <w:t>是企业进行追加筹资的决策依据，企业追加筹资的加权平均成本，在筹资方案组合时，边际资本成本的权数采用目标价值权数。</w:t>
      </w:r>
    </w:p>
    <w:p w14:paraId="4F506C99">
      <w:pPr>
        <w:jc w:val="left"/>
        <w:rPr>
          <w:rFonts w:ascii="宋体" w:hAnsi="宋体" w:cs="宋体"/>
          <w:color w:val="FF0000"/>
        </w:rPr>
      </w:pPr>
      <w:r>
        <w:rPr>
          <w:rFonts w:hint="eastAsia" w:ascii="宋体" w:hAnsi="宋体" w:cs="宋体"/>
          <w:color w:val="FF0000"/>
        </w:rPr>
        <w:t>【知识点10】项目资本成本</w:t>
      </w:r>
    </w:p>
    <w:p w14:paraId="6F68EE48">
      <w:pPr>
        <w:jc w:val="left"/>
        <w:rPr>
          <w:rFonts w:ascii="宋体" w:hAnsi="宋体" w:cs="宋体"/>
          <w:color w:val="FF0000"/>
        </w:rPr>
      </w:pPr>
      <w:r>
        <w:rPr>
          <w:rFonts w:hint="eastAsia" w:ascii="宋体" w:hAnsi="宋体" w:cs="宋体"/>
          <w:color w:val="FF0000"/>
        </w:rPr>
        <w:t>一、使用企业当期加权平均资本成本作为投资项目的资本成本</w:t>
      </w:r>
    </w:p>
    <w:p w14:paraId="4C05A093">
      <w:pPr>
        <w:jc w:val="left"/>
        <w:rPr>
          <w:rFonts w:ascii="宋体" w:hAnsi="宋体" w:cs="宋体"/>
        </w:rPr>
      </w:pPr>
      <w:r>
        <w:rPr>
          <w:rFonts w:hint="eastAsia" w:ascii="宋体" w:hAnsi="宋体" w:cs="宋体"/>
        </w:rPr>
        <w:t>使用企业当前的资本成本作为项目的资本成本，应具备两个条件：</w:t>
      </w:r>
    </w:p>
    <w:p w14:paraId="66B89EA7">
      <w:pPr>
        <w:jc w:val="left"/>
        <w:rPr>
          <w:rFonts w:ascii="宋体" w:hAnsi="宋体" w:cs="宋体"/>
        </w:rPr>
      </w:pPr>
      <w:r>
        <w:rPr>
          <w:rFonts w:hint="eastAsia" w:ascii="宋体" w:hAnsi="宋体" w:cs="宋体"/>
        </w:rPr>
        <w:t>1.项目的风险与企业当前资产的平均风险相同（即经营风险相同）；</w:t>
      </w:r>
    </w:p>
    <w:p w14:paraId="5F772455">
      <w:pPr>
        <w:jc w:val="left"/>
        <w:rPr>
          <w:rFonts w:ascii="宋体" w:hAnsi="宋体" w:cs="宋体"/>
        </w:rPr>
      </w:pPr>
      <w:r>
        <w:rPr>
          <w:rFonts w:hint="eastAsia" w:ascii="宋体" w:hAnsi="宋体" w:cs="宋体"/>
        </w:rPr>
        <w:t>2.公司继续采用相同的资本结构为新项目筹资（即财务风险相同）。</w:t>
      </w:r>
    </w:p>
    <w:p w14:paraId="43F39857">
      <w:pPr>
        <w:jc w:val="left"/>
        <w:rPr>
          <w:rFonts w:ascii="宋体" w:hAnsi="宋体" w:cs="宋体"/>
          <w:color w:val="FF0000"/>
        </w:rPr>
      </w:pPr>
      <w:r>
        <w:rPr>
          <w:rFonts w:hint="eastAsia" w:ascii="宋体" w:hAnsi="宋体" w:cs="宋体"/>
          <w:color w:val="FF0000"/>
        </w:rPr>
        <w:t>二、运用可比公司法估计投资项目的资本成本</w:t>
      </w:r>
    </w:p>
    <w:p w14:paraId="2368EDE2">
      <w:pPr>
        <w:jc w:val="left"/>
        <w:rPr>
          <w:rFonts w:ascii="宋体" w:hAnsi="宋体" w:cs="宋体"/>
        </w:rPr>
      </w:pPr>
      <w:r>
        <w:rPr>
          <w:rFonts w:hint="eastAsia" w:ascii="宋体" w:hAnsi="宋体" w:cs="宋体"/>
        </w:rPr>
        <w:t>可比公司法是寻找一个经营业务与待评价项目类似的上市公司（即经营风险类似），以该上市公司的β值作为待评价项目的β值。如果可比公司的资本结构域项目所在企业显著不同，那么估计项目β值时，应针对资本结构差异做出相应调整。</w:t>
      </w:r>
    </w:p>
    <w:p w14:paraId="43C55C00">
      <w:pPr>
        <w:jc w:val="left"/>
        <w:rPr>
          <w:rFonts w:ascii="宋体" w:hAnsi="宋体" w:cs="宋体"/>
        </w:rPr>
      </w:pPr>
      <w:r>
        <w:rPr>
          <w:rFonts w:hint="eastAsia" w:ascii="宋体" w:hAnsi="宋体" w:cs="宋体"/>
        </w:rPr>
        <w:t>调整步骤：</w:t>
      </w:r>
    </w:p>
    <w:p w14:paraId="51AC0FE2">
      <w:pPr>
        <w:jc w:val="left"/>
        <w:rPr>
          <w:rFonts w:ascii="宋体" w:hAnsi="宋体" w:cs="宋体"/>
        </w:rPr>
      </w:pPr>
      <w:r>
        <w:rPr>
          <w:rFonts w:hint="eastAsia" w:ascii="宋体" w:hAnsi="宋体" w:cs="宋体"/>
        </w:rPr>
        <w:t>1.卸载可比公司财务杠杆</w:t>
      </w:r>
    </w:p>
    <w:p w14:paraId="0AA902DA">
      <w:pPr>
        <w:jc w:val="left"/>
        <w:rPr>
          <w:rFonts w:ascii="宋体" w:hAnsi="宋体" w:cs="宋体"/>
        </w:rPr>
      </w:pPr>
      <w:r>
        <w:rPr>
          <w:rFonts w:hint="eastAsia" w:ascii="宋体" w:hAnsi="宋体" w:cs="宋体"/>
        </w:rPr>
        <w:t>β资产=β权益÷【1+（1-T）×负债/权益】</w:t>
      </w:r>
    </w:p>
    <w:p w14:paraId="5D4C7621">
      <w:pPr>
        <w:jc w:val="left"/>
        <w:rPr>
          <w:rFonts w:ascii="宋体" w:hAnsi="宋体" w:cs="宋体"/>
        </w:rPr>
      </w:pPr>
      <w:r>
        <w:rPr>
          <w:rFonts w:hint="eastAsia" w:ascii="宋体" w:hAnsi="宋体" w:cs="宋体"/>
        </w:rPr>
        <w:t>β资产是假设全部用权益资本融资的β，此时没有财务风险。</w:t>
      </w:r>
    </w:p>
    <w:p w14:paraId="2065651D">
      <w:pPr>
        <w:jc w:val="left"/>
        <w:rPr>
          <w:rFonts w:ascii="宋体" w:hAnsi="宋体" w:cs="宋体"/>
        </w:rPr>
      </w:pPr>
      <w:r>
        <w:rPr>
          <w:rFonts w:hint="eastAsia" w:ascii="宋体" w:hAnsi="宋体" w:cs="宋体"/>
        </w:rPr>
        <w:t>2.加载目标企业财务杠杆</w:t>
      </w:r>
    </w:p>
    <w:p w14:paraId="7AB4EBE0">
      <w:pPr>
        <w:jc w:val="left"/>
        <w:rPr>
          <w:rFonts w:ascii="宋体" w:hAnsi="宋体" w:cs="宋体"/>
        </w:rPr>
      </w:pPr>
      <w:r>
        <w:rPr>
          <w:rFonts w:hint="eastAsia" w:ascii="宋体" w:hAnsi="宋体" w:cs="宋体"/>
        </w:rPr>
        <w:t>β权益=β资产×【1+（1-T）×负债/权益】</w:t>
      </w:r>
    </w:p>
    <w:p w14:paraId="54868A50">
      <w:pPr>
        <w:jc w:val="left"/>
        <w:rPr>
          <w:rFonts w:ascii="宋体" w:hAnsi="宋体" w:cs="宋体"/>
        </w:rPr>
      </w:pPr>
      <w:r>
        <w:rPr>
          <w:rFonts w:hint="eastAsia" w:ascii="宋体" w:hAnsi="宋体" w:cs="宋体"/>
        </w:rPr>
        <w:t>3.根据目标企业的β权益计算股东要求的报酬率</w:t>
      </w:r>
    </w:p>
    <w:p w14:paraId="1CBFF479">
      <w:pPr>
        <w:jc w:val="left"/>
        <w:rPr>
          <w:rFonts w:hint="eastAsia" w:ascii="宋体" w:hAnsi="宋体" w:cs="宋体"/>
        </w:rPr>
      </w:pPr>
      <w:r>
        <w:rPr>
          <w:rFonts w:hint="eastAsia" w:ascii="宋体" w:hAnsi="宋体" w:cs="宋体"/>
        </w:rPr>
        <w:t>股东要求的报酬率=无风险利率+β权益×风险溢价</w:t>
      </w:r>
    </w:p>
    <w:p w14:paraId="6BFF55E8">
      <w:pPr>
        <w:overflowPunct w:val="0"/>
        <w:jc w:val="center"/>
        <w:rPr>
          <w:rFonts w:ascii="宋体" w:hAnsi="宋体" w:cs="宋体"/>
          <w:b/>
          <w:bCs/>
        </w:rPr>
      </w:pPr>
      <w:r>
        <w:rPr>
          <w:rFonts w:hint="eastAsia" w:ascii="宋体" w:hAnsi="宋体" w:cs="宋体"/>
          <w:b/>
          <w:bCs/>
        </w:rPr>
        <w:t>第五章  筹资管理</w:t>
      </w:r>
    </w:p>
    <w:p w14:paraId="5159E304">
      <w:pPr>
        <w:jc w:val="left"/>
        <w:rPr>
          <w:rFonts w:ascii="宋体" w:hAnsi="宋体" w:cs="宋体"/>
          <w:color w:val="FF0000"/>
        </w:rPr>
      </w:pPr>
      <w:r>
        <w:rPr>
          <w:rFonts w:hint="eastAsia" w:ascii="宋体" w:hAnsi="宋体" w:cs="宋体"/>
          <w:color w:val="FF0000"/>
        </w:rPr>
        <w:t>【知识点11】金融工具价值评估</w:t>
      </w:r>
    </w:p>
    <w:p w14:paraId="1FCDA48B">
      <w:pPr>
        <w:jc w:val="left"/>
        <w:rPr>
          <w:rFonts w:ascii="宋体" w:hAnsi="宋体" w:cs="宋体"/>
          <w:color w:val="FF0000"/>
        </w:rPr>
      </w:pPr>
      <w:r>
        <w:rPr>
          <w:rFonts w:hint="eastAsia" w:ascii="宋体" w:hAnsi="宋体" w:cs="宋体"/>
          <w:color w:val="FF0000"/>
        </w:rPr>
        <w:t>1.债券的估值模型</w:t>
      </w:r>
    </w:p>
    <w:p w14:paraId="3F520527">
      <w:pPr>
        <w:jc w:val="left"/>
        <w:rPr>
          <w:rFonts w:ascii="宋体" w:hAnsi="宋体" w:cs="宋体"/>
        </w:rPr>
      </w:pPr>
      <w:r>
        <w:rPr>
          <w:rFonts w:hint="eastAsia" w:ascii="宋体" w:hAnsi="宋体" w:cs="宋体"/>
        </w:rPr>
        <w:t>债券的价值是发行者按照合同规定从现在至到期日所支付的款项的现值。折现率取决于等风险投资的市场利率。</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690"/>
      </w:tblGrid>
      <w:tr w14:paraId="214B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5FECFB56">
            <w:pPr>
              <w:jc w:val="left"/>
              <w:rPr>
                <w:rFonts w:ascii="宋体" w:hAnsi="宋体" w:cs="宋体"/>
              </w:rPr>
            </w:pPr>
            <w:r>
              <w:rPr>
                <w:rFonts w:hint="eastAsia" w:ascii="宋体" w:hAnsi="宋体" w:cs="宋体"/>
              </w:rPr>
              <w:t>典型债券</w:t>
            </w:r>
          </w:p>
        </w:tc>
        <w:tc>
          <w:tcPr>
            <w:tcW w:w="4287" w:type="pct"/>
          </w:tcPr>
          <w:p w14:paraId="737F1A11">
            <w:pPr>
              <w:jc w:val="left"/>
              <w:rPr>
                <w:rFonts w:ascii="宋体" w:hAnsi="宋体" w:cs="宋体"/>
              </w:rPr>
            </w:pPr>
            <w:r>
              <w:rPr>
                <w:rFonts w:hint="eastAsia" w:ascii="宋体" w:hAnsi="宋体" w:cs="宋体"/>
              </w:rPr>
              <w:t>债券价值=未来现金流入量现值之和（利息求现值，面值求现值）</w:t>
            </w:r>
          </w:p>
        </w:tc>
      </w:tr>
      <w:tr w14:paraId="2008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0809B28E">
            <w:pPr>
              <w:jc w:val="left"/>
              <w:rPr>
                <w:rFonts w:ascii="宋体" w:hAnsi="宋体" w:cs="宋体"/>
              </w:rPr>
            </w:pPr>
            <w:r>
              <w:rPr>
                <w:rFonts w:hint="eastAsia" w:ascii="宋体" w:hAnsi="宋体" w:cs="宋体"/>
              </w:rPr>
              <w:t>纯贴现债券</w:t>
            </w:r>
          </w:p>
        </w:tc>
        <w:tc>
          <w:tcPr>
            <w:tcW w:w="4287" w:type="pct"/>
          </w:tcPr>
          <w:p w14:paraId="5325C7E8">
            <w:pPr>
              <w:jc w:val="left"/>
              <w:rPr>
                <w:rFonts w:ascii="宋体" w:hAnsi="宋体" w:cs="宋体"/>
              </w:rPr>
            </w:pPr>
            <w:r>
              <w:rPr>
                <w:rFonts w:hint="eastAsia" w:ascii="宋体" w:hAnsi="宋体" w:cs="宋体"/>
              </w:rPr>
              <w:t>未来某一确定日期按面值支付</w:t>
            </w:r>
          </w:p>
          <w:p w14:paraId="76924CEA">
            <w:pPr>
              <w:jc w:val="left"/>
              <w:rPr>
                <w:rFonts w:ascii="宋体" w:hAnsi="宋体" w:cs="宋体"/>
              </w:rPr>
            </w:pPr>
            <w:r>
              <w:rPr>
                <w:rFonts w:hint="eastAsia" w:ascii="宋体" w:hAnsi="宋体" w:cs="宋体"/>
              </w:rPr>
              <w:t>Vd=M/ （1+i）n=M×（P/F , r , n）</w:t>
            </w:r>
          </w:p>
        </w:tc>
      </w:tr>
      <w:tr w14:paraId="746D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67AC3C55">
            <w:pPr>
              <w:jc w:val="left"/>
              <w:rPr>
                <w:rFonts w:ascii="宋体" w:hAnsi="宋体" w:cs="宋体"/>
              </w:rPr>
            </w:pPr>
            <w:r>
              <w:rPr>
                <w:rFonts w:hint="eastAsia" w:ascii="宋体" w:hAnsi="宋体" w:cs="宋体"/>
              </w:rPr>
              <w:t>永续债券</w:t>
            </w:r>
          </w:p>
        </w:tc>
        <w:tc>
          <w:tcPr>
            <w:tcW w:w="4287" w:type="pct"/>
          </w:tcPr>
          <w:p w14:paraId="2906ED4C">
            <w:pPr>
              <w:jc w:val="left"/>
              <w:rPr>
                <w:rFonts w:ascii="宋体" w:hAnsi="宋体" w:cs="宋体"/>
              </w:rPr>
            </w:pPr>
            <w:r>
              <w:rPr>
                <w:rFonts w:hint="eastAsia" w:ascii="宋体" w:hAnsi="宋体" w:cs="宋体"/>
              </w:rPr>
              <w:t>又称无期债券，没有到期日V=I/i</w:t>
            </w:r>
          </w:p>
        </w:tc>
      </w:tr>
    </w:tbl>
    <w:p w14:paraId="037BC88B">
      <w:pPr>
        <w:jc w:val="left"/>
        <w:rPr>
          <w:rFonts w:ascii="宋体" w:hAnsi="宋体" w:cs="宋体"/>
          <w:color w:val="FF0000"/>
        </w:rPr>
      </w:pPr>
      <w:r>
        <w:rPr>
          <w:rFonts w:hint="eastAsia" w:ascii="宋体" w:hAnsi="宋体" w:cs="宋体"/>
          <w:color w:val="FF0000"/>
        </w:rPr>
        <w:t>2.普通股价值评估</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8110"/>
      </w:tblGrid>
      <w:tr w14:paraId="40A5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EA01574">
            <w:pPr>
              <w:jc w:val="left"/>
              <w:rPr>
                <w:rFonts w:hint="eastAsia" w:ascii="宋体" w:hAnsi="宋体" w:cs="宋体"/>
              </w:rPr>
            </w:pPr>
            <w:r>
              <w:rPr>
                <w:rFonts w:hint="eastAsia" w:ascii="宋体" w:hAnsi="宋体" w:cs="宋体"/>
              </w:rPr>
              <w:t>股票估价基本模型</w:t>
            </w:r>
          </w:p>
        </w:tc>
        <w:tc>
          <w:tcPr>
            <w:tcW w:w="4001" w:type="pct"/>
          </w:tcPr>
          <w:p w14:paraId="6AFFC36E">
            <w:pPr>
              <w:jc w:val="left"/>
              <w:rPr>
                <w:rFonts w:ascii="宋体" w:hAnsi="宋体" w:cs="宋体"/>
              </w:rPr>
            </w:pPr>
            <w:r>
              <w:rPr>
                <w:rFonts w:hint="eastAsia" w:ascii="宋体" w:hAnsi="宋体" w:cs="宋体"/>
              </w:rPr>
              <w:t>股票的价值是投资于股票预期获得的未来现金流量的现值。如果股东永远持有股票，只获得股利</w:t>
            </w:r>
          </w:p>
          <w:p w14:paraId="66AFF44C">
            <w:pPr>
              <w:jc w:val="left"/>
              <w:rPr>
                <w:rFonts w:hint="eastAsia" w:ascii="宋体" w:hAnsi="宋体" w:cs="宋体"/>
              </w:rPr>
            </w:pPr>
            <w:r>
              <w:rPr>
                <w:rFonts w:hint="eastAsia" w:ascii="宋体" w:hAnsi="宋体" w:cs="宋体"/>
              </w:rPr>
              <w:drawing>
                <wp:inline distT="0" distB="0" distL="114300" distR="114300">
                  <wp:extent cx="2353310" cy="690880"/>
                  <wp:effectExtent l="0" t="0" r="8890" b="13970"/>
                  <wp:docPr id="3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 name="Picture 1"/>
                          <pic:cNvPicPr>
                            <a:picLocks noChangeAspect="1" noChangeArrowheads="1"/>
                          </pic:cNvPicPr>
                        </pic:nvPicPr>
                        <pic:blipFill>
                          <a:blip r:embed="rId3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380592" cy="699270"/>
                          </a:xfrm>
                          <a:prstGeom prst="rect">
                            <a:avLst/>
                          </a:prstGeom>
                          <a:noFill/>
                          <a:ln>
                            <a:noFill/>
                          </a:ln>
                          <a:effectLst/>
                        </pic:spPr>
                      </pic:pic>
                    </a:graphicData>
                  </a:graphic>
                </wp:inline>
              </w:drawing>
            </w:r>
          </w:p>
        </w:tc>
      </w:tr>
      <w:tr w14:paraId="5FD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D91D5C5">
            <w:pPr>
              <w:jc w:val="left"/>
              <w:rPr>
                <w:rFonts w:ascii="宋体" w:hAnsi="宋体" w:cs="宋体"/>
              </w:rPr>
            </w:pPr>
            <w:r>
              <w:rPr>
                <w:rFonts w:hint="eastAsia" w:ascii="宋体" w:hAnsi="宋体" w:cs="宋体"/>
              </w:rPr>
              <w:t>固定增长模式</w:t>
            </w:r>
          </w:p>
        </w:tc>
        <w:tc>
          <w:tcPr>
            <w:tcW w:w="4001" w:type="pct"/>
          </w:tcPr>
          <w:p w14:paraId="6DF79F0D">
            <w:pPr>
              <w:jc w:val="left"/>
              <w:rPr>
                <w:rFonts w:ascii="宋体" w:hAnsi="宋体" w:cs="宋体"/>
              </w:rPr>
            </w:pPr>
            <w:r>
              <w:rPr>
                <w:rFonts w:hint="eastAsia" w:ascii="宋体" w:hAnsi="宋体" w:cs="宋体"/>
              </w:rPr>
              <w:drawing>
                <wp:inline distT="0" distB="0" distL="114300" distR="114300">
                  <wp:extent cx="1321435" cy="410210"/>
                  <wp:effectExtent l="0" t="0" r="12065" b="8890"/>
                  <wp:docPr id="3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3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1327883" cy="412386"/>
                          </a:xfrm>
                          <a:prstGeom prst="rect">
                            <a:avLst/>
                          </a:prstGeom>
                          <a:noFill/>
                          <a:ln>
                            <a:noFill/>
                          </a:ln>
                          <a:effectLst/>
                        </pic:spPr>
                      </pic:pic>
                    </a:graphicData>
                  </a:graphic>
                </wp:inline>
              </w:drawing>
            </w:r>
          </w:p>
        </w:tc>
      </w:tr>
      <w:tr w14:paraId="242D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7A28A7E">
            <w:pPr>
              <w:jc w:val="left"/>
              <w:rPr>
                <w:rFonts w:ascii="宋体" w:hAnsi="宋体" w:cs="宋体"/>
              </w:rPr>
            </w:pPr>
            <w:r>
              <w:rPr>
                <w:rFonts w:hint="eastAsia" w:ascii="宋体" w:hAnsi="宋体" w:cs="宋体"/>
              </w:rPr>
              <w:t>零增长模式</w:t>
            </w:r>
          </w:p>
        </w:tc>
        <w:tc>
          <w:tcPr>
            <w:tcW w:w="4001" w:type="pct"/>
          </w:tcPr>
          <w:p w14:paraId="289DDCE0">
            <w:pPr>
              <w:jc w:val="left"/>
              <w:rPr>
                <w:rFonts w:ascii="宋体" w:hAnsi="宋体" w:cs="宋体"/>
              </w:rPr>
            </w:pPr>
            <w:r>
              <w:rPr>
                <w:rFonts w:hint="eastAsia" w:ascii="宋体" w:hAnsi="宋体" w:cs="宋体"/>
              </w:rPr>
              <w:t>VS＝D0/RS</w:t>
            </w:r>
          </w:p>
        </w:tc>
      </w:tr>
    </w:tbl>
    <w:p w14:paraId="3A41FABE">
      <w:pPr>
        <w:jc w:val="left"/>
        <w:rPr>
          <w:rFonts w:ascii="宋体" w:hAnsi="宋体" w:cs="宋体"/>
        </w:rPr>
      </w:pPr>
      <w:r>
        <w:rPr>
          <w:rFonts w:hint="eastAsia" w:ascii="宋体" w:hAnsi="宋体" w:cs="宋体"/>
          <w:color w:val="FF0000"/>
        </w:rPr>
        <w:t>3.优先股价值评估</w:t>
      </w:r>
    </w:p>
    <w:p w14:paraId="15793638">
      <w:pPr>
        <w:jc w:val="left"/>
        <w:rPr>
          <w:rFonts w:ascii="宋体" w:hAnsi="宋体" w:cs="宋体"/>
        </w:rPr>
      </w:pPr>
      <w:r>
        <w:rPr>
          <w:rFonts w:hint="eastAsia" w:ascii="宋体" w:hAnsi="宋体" w:cs="宋体"/>
        </w:rPr>
        <w:t>优先股价值是指优先股投资者预期的未来现金流入的现值。</w:t>
      </w:r>
    </w:p>
    <w:p w14:paraId="2E5C401D">
      <w:pPr>
        <w:jc w:val="left"/>
        <w:rPr>
          <w:rFonts w:ascii="宋体" w:hAnsi="宋体" w:cs="宋体"/>
        </w:rPr>
      </w:pPr>
      <w:r>
        <w:rPr>
          <w:rFonts w:ascii="宋体" w:hAnsi="宋体" w:cs="宋体"/>
        </w:rPr>
        <w:t>V=D</w:t>
      </w:r>
      <w:r>
        <w:rPr>
          <w:rFonts w:ascii="宋体" w:hAnsi="宋体" w:cs="宋体"/>
          <w:vertAlign w:val="subscript"/>
        </w:rPr>
        <w:t>P</w:t>
      </w:r>
      <w:r>
        <w:rPr>
          <w:rFonts w:ascii="宋体" w:hAnsi="宋体" w:cs="宋体"/>
        </w:rPr>
        <w:t>/R</w:t>
      </w:r>
    </w:p>
    <w:p w14:paraId="7EE574AA">
      <w:pPr>
        <w:jc w:val="left"/>
        <w:rPr>
          <w:rFonts w:ascii="宋体" w:hAnsi="宋体" w:cs="宋体"/>
        </w:rPr>
      </w:pPr>
    </w:p>
    <w:p w14:paraId="4B254A10">
      <w:pPr>
        <w:jc w:val="center"/>
        <w:rPr>
          <w:rFonts w:ascii="宋体" w:hAnsi="宋体" w:cs="宋体"/>
          <w:b/>
          <w:bCs/>
        </w:rPr>
      </w:pPr>
      <w:r>
        <w:rPr>
          <w:rFonts w:hint="eastAsia" w:ascii="宋体" w:hAnsi="宋体" w:cs="宋体"/>
          <w:b/>
          <w:bCs/>
        </w:rPr>
        <w:t>第三节  杠杆效应</w:t>
      </w:r>
    </w:p>
    <w:p w14:paraId="1D0E1BAE">
      <w:pPr>
        <w:jc w:val="left"/>
        <w:rPr>
          <w:rFonts w:ascii="宋体" w:hAnsi="宋体" w:cs="宋体"/>
          <w:color w:val="FF0000"/>
        </w:rPr>
      </w:pPr>
      <w:r>
        <w:rPr>
          <w:rFonts w:hint="eastAsia" w:ascii="宋体" w:hAnsi="宋体" w:cs="宋体"/>
          <w:color w:val="FF0000"/>
        </w:rPr>
        <w:t>【知识点1】经营杠杆效应</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400"/>
      </w:tblGrid>
      <w:tr w14:paraId="2CEA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06492482">
            <w:pPr>
              <w:jc w:val="left"/>
              <w:rPr>
                <w:rFonts w:ascii="宋体" w:hAnsi="宋体" w:cs="宋体"/>
              </w:rPr>
            </w:pPr>
            <w:r>
              <w:rPr>
                <w:rFonts w:hint="eastAsia" w:ascii="宋体" w:hAnsi="宋体" w:cs="宋体"/>
              </w:rPr>
              <w:t>经营杠杆效应</w:t>
            </w:r>
          </w:p>
        </w:tc>
        <w:tc>
          <w:tcPr>
            <w:tcW w:w="4144" w:type="pct"/>
          </w:tcPr>
          <w:p w14:paraId="301EB048">
            <w:pPr>
              <w:jc w:val="left"/>
              <w:rPr>
                <w:rFonts w:ascii="宋体" w:hAnsi="宋体" w:cs="宋体"/>
              </w:rPr>
            </w:pPr>
            <w:r>
              <w:rPr>
                <w:rFonts w:hint="eastAsia" w:ascii="宋体" w:hAnsi="宋体" w:cs="宋体"/>
              </w:rPr>
              <w:t>由于固定性经营成本得存在，而使得企业的资产收益（息税前利润）变动率大于业务量变动率得现象</w:t>
            </w:r>
          </w:p>
        </w:tc>
      </w:tr>
      <w:tr w14:paraId="5035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0D492DA">
            <w:pPr>
              <w:jc w:val="left"/>
              <w:rPr>
                <w:rFonts w:ascii="宋体" w:hAnsi="宋体" w:cs="宋体"/>
              </w:rPr>
            </w:pPr>
            <w:r>
              <w:rPr>
                <w:rFonts w:hint="eastAsia" w:ascii="宋体" w:hAnsi="宋体" w:cs="宋体"/>
              </w:rPr>
              <w:t>经营杠杆系数</w:t>
            </w:r>
          </w:p>
        </w:tc>
        <w:tc>
          <w:tcPr>
            <w:tcW w:w="4144" w:type="pct"/>
          </w:tcPr>
          <w:p w14:paraId="4CD6BFB7">
            <w:pPr>
              <w:jc w:val="left"/>
              <w:rPr>
                <w:rFonts w:ascii="宋体" w:hAnsi="宋体" w:cs="宋体"/>
              </w:rPr>
            </w:pPr>
            <w:r>
              <w:rPr>
                <w:rFonts w:hint="eastAsia" w:ascii="宋体" w:hAnsi="宋体" w:cs="宋体"/>
              </w:rPr>
              <w:t>经营杠杆系数＝息税前利润变动率/产销业务量变动率</w:t>
            </w:r>
            <w:r>
              <w:rPr>
                <w:rFonts w:hint="eastAsia" w:ascii="宋体" w:hAnsi="宋体" w:cs="宋体"/>
              </w:rPr>
              <w:br w:type="textWrapping"/>
            </w:r>
            <w:r>
              <w:rPr>
                <w:rFonts w:hint="eastAsia" w:ascii="宋体" w:hAnsi="宋体" w:cs="宋体"/>
              </w:rPr>
              <w:t>　　        ＝基期边际贡献/基期息税前利润</w:t>
            </w:r>
          </w:p>
        </w:tc>
      </w:tr>
    </w:tbl>
    <w:p w14:paraId="128BAE52">
      <w:pPr>
        <w:jc w:val="left"/>
        <w:rPr>
          <w:rFonts w:ascii="宋体" w:hAnsi="宋体" w:cs="宋体"/>
          <w:color w:val="FF0000"/>
        </w:rPr>
      </w:pPr>
      <w:r>
        <w:rPr>
          <w:rFonts w:hint="eastAsia" w:ascii="宋体" w:hAnsi="宋体" w:cs="宋体"/>
          <w:color w:val="FF0000"/>
        </w:rPr>
        <w:t>【知识点2】财务杠杆效应</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8256"/>
      </w:tblGrid>
      <w:tr w14:paraId="7D4A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0C90186B">
            <w:pPr>
              <w:jc w:val="left"/>
              <w:rPr>
                <w:rFonts w:ascii="宋体" w:hAnsi="宋体" w:cs="宋体"/>
              </w:rPr>
            </w:pPr>
            <w:r>
              <w:rPr>
                <w:rFonts w:hint="eastAsia" w:ascii="宋体" w:hAnsi="宋体" w:cs="宋体"/>
              </w:rPr>
              <w:t>财务杠杆效应</w:t>
            </w:r>
          </w:p>
        </w:tc>
        <w:tc>
          <w:tcPr>
            <w:tcW w:w="4073" w:type="pct"/>
          </w:tcPr>
          <w:p w14:paraId="3DE8A011">
            <w:pPr>
              <w:jc w:val="left"/>
              <w:rPr>
                <w:rFonts w:ascii="宋体" w:hAnsi="宋体" w:cs="宋体"/>
              </w:rPr>
            </w:pPr>
            <w:r>
              <w:rPr>
                <w:rFonts w:hint="eastAsia" w:ascii="宋体" w:hAnsi="宋体" w:cs="宋体"/>
              </w:rPr>
              <w:t>由于固定性资本成本（固定利息、优先股股利、固定租赁费）的存在，而使得企业的普通股收益（或每股收益EPS）变动率大于息税前利润变动率的现象。</w:t>
            </w:r>
          </w:p>
        </w:tc>
      </w:tr>
      <w:tr w14:paraId="3EE3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771C7FE4">
            <w:pPr>
              <w:jc w:val="left"/>
              <w:rPr>
                <w:rFonts w:ascii="宋体" w:hAnsi="宋体" w:cs="宋体"/>
              </w:rPr>
            </w:pPr>
            <w:r>
              <w:rPr>
                <w:rFonts w:hint="eastAsia" w:ascii="宋体" w:hAnsi="宋体" w:cs="宋体"/>
              </w:rPr>
              <w:t>财务杠杆系数</w:t>
            </w:r>
          </w:p>
        </w:tc>
        <w:tc>
          <w:tcPr>
            <w:tcW w:w="4073" w:type="pct"/>
          </w:tcPr>
          <w:p w14:paraId="2A1FB3C4">
            <w:pPr>
              <w:jc w:val="left"/>
              <w:rPr>
                <w:rFonts w:ascii="宋体" w:hAnsi="宋体" w:cs="宋体"/>
              </w:rPr>
            </w:pPr>
            <w:r>
              <w:rPr>
                <w:rFonts w:hint="eastAsia" w:ascii="宋体" w:hAnsi="宋体" w:cs="宋体"/>
              </w:rPr>
              <w:t>财务杠杆系数＝每股收益变动率/息税前利润变动率</w:t>
            </w:r>
            <w:r>
              <w:rPr>
                <w:rFonts w:hint="eastAsia" w:ascii="宋体" w:hAnsi="宋体" w:cs="宋体"/>
              </w:rPr>
              <w:br w:type="textWrapping"/>
            </w:r>
            <w:r>
              <w:rPr>
                <w:rFonts w:hint="eastAsia" w:ascii="宋体" w:hAnsi="宋体" w:cs="宋体"/>
              </w:rPr>
              <w:t>　　＝基期息税前利润/[基期息税前利润－利息－优先股股利/（1－所得税税率）]</w:t>
            </w:r>
          </w:p>
        </w:tc>
      </w:tr>
    </w:tbl>
    <w:p w14:paraId="6ACFD68C">
      <w:pPr>
        <w:jc w:val="left"/>
        <w:rPr>
          <w:rFonts w:hint="eastAsia" w:ascii="宋体" w:hAnsi="宋体" w:cs="宋体"/>
          <w:color w:val="FF0000"/>
        </w:rPr>
      </w:pPr>
      <w:r>
        <w:rPr>
          <w:rFonts w:hint="eastAsia" w:ascii="宋体" w:hAnsi="宋体" w:cs="宋体"/>
          <w:color w:val="FF0000"/>
        </w:rPr>
        <w:t>【知识点3】总杠杠效应</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8544"/>
      </w:tblGrid>
      <w:tr w14:paraId="3B2A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5BD5181D">
            <w:pPr>
              <w:rPr>
                <w:rFonts w:ascii="宋体" w:hAnsi="宋体" w:cs="宋体"/>
              </w:rPr>
            </w:pPr>
            <w:r>
              <w:rPr>
                <w:rFonts w:hint="eastAsia" w:ascii="宋体" w:hAnsi="宋体" w:cs="宋体"/>
              </w:rPr>
              <w:t>总杠杆效应</w:t>
            </w:r>
          </w:p>
        </w:tc>
        <w:tc>
          <w:tcPr>
            <w:tcW w:w="4215" w:type="pct"/>
          </w:tcPr>
          <w:p w14:paraId="3ED991D7">
            <w:pPr>
              <w:jc w:val="left"/>
              <w:rPr>
                <w:rFonts w:ascii="宋体" w:hAnsi="宋体" w:cs="宋体"/>
              </w:rPr>
            </w:pPr>
            <w:r>
              <w:rPr>
                <w:rFonts w:hint="eastAsia" w:ascii="宋体" w:hAnsi="宋体" w:cs="宋体"/>
              </w:rPr>
              <w:t>由于固定经营成本和固定资本成本的存在，导致普通股每股收益变动率大于产销业务量的变动率的现象。</w:t>
            </w:r>
          </w:p>
        </w:tc>
      </w:tr>
      <w:tr w14:paraId="250C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6D96459F">
            <w:pPr>
              <w:rPr>
                <w:rFonts w:ascii="宋体" w:hAnsi="宋体" w:cs="宋体"/>
              </w:rPr>
            </w:pPr>
            <w:r>
              <w:rPr>
                <w:rFonts w:hint="eastAsia" w:ascii="宋体" w:hAnsi="宋体" w:cs="宋体"/>
              </w:rPr>
              <w:t>总杠杆系数</w:t>
            </w:r>
          </w:p>
        </w:tc>
        <w:tc>
          <w:tcPr>
            <w:tcW w:w="4215" w:type="pct"/>
          </w:tcPr>
          <w:p w14:paraId="58A54FD9">
            <w:pPr>
              <w:rPr>
                <w:rFonts w:ascii="宋体" w:hAnsi="宋体" w:cs="宋体"/>
              </w:rPr>
            </w:pPr>
            <w:r>
              <w:rPr>
                <w:rFonts w:hint="eastAsia" w:ascii="宋体" w:hAnsi="宋体" w:cs="宋体"/>
              </w:rPr>
              <w:t>总杠杆系数＝经营杠杆系数×财务杠杆系数</w:t>
            </w:r>
          </w:p>
        </w:tc>
      </w:tr>
      <w:tr w14:paraId="37C3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46549D61">
            <w:pPr>
              <w:rPr>
                <w:rFonts w:ascii="宋体" w:hAnsi="宋体" w:cs="宋体"/>
              </w:rPr>
            </w:pPr>
            <w:r>
              <w:rPr>
                <w:rFonts w:hint="eastAsia" w:ascii="宋体" w:hAnsi="宋体" w:cs="宋体"/>
              </w:rPr>
              <w:t>总风险</w:t>
            </w:r>
          </w:p>
        </w:tc>
        <w:tc>
          <w:tcPr>
            <w:tcW w:w="4215" w:type="pct"/>
          </w:tcPr>
          <w:p w14:paraId="50A3DAB5">
            <w:pPr>
              <w:rPr>
                <w:rFonts w:ascii="宋体" w:hAnsi="宋体" w:cs="宋体"/>
              </w:rPr>
            </w:pPr>
            <w:r>
              <w:rPr>
                <w:rFonts w:hint="eastAsia" w:ascii="宋体" w:hAnsi="宋体" w:cs="宋体"/>
              </w:rPr>
              <w:t>经营风险与财务风险此消彼长</w:t>
            </w:r>
          </w:p>
        </w:tc>
      </w:tr>
    </w:tbl>
    <w:p w14:paraId="06F9D96D">
      <w:pPr>
        <w:jc w:val="left"/>
        <w:rPr>
          <w:rFonts w:ascii="宋体" w:hAnsi="宋体" w:cs="宋体"/>
        </w:rPr>
      </w:pPr>
    </w:p>
    <w:p w14:paraId="7F59E7A5">
      <w:pPr>
        <w:jc w:val="center"/>
        <w:rPr>
          <w:rFonts w:ascii="宋体" w:hAnsi="宋体" w:cs="宋体"/>
          <w:b/>
          <w:bCs/>
        </w:rPr>
      </w:pPr>
      <w:r>
        <w:rPr>
          <w:rFonts w:hint="eastAsia" w:ascii="宋体" w:hAnsi="宋体" w:cs="宋体"/>
          <w:b/>
          <w:bCs/>
        </w:rPr>
        <w:t>第四节资本结构</w:t>
      </w:r>
    </w:p>
    <w:p w14:paraId="2032016A">
      <w:pPr>
        <w:jc w:val="left"/>
        <w:rPr>
          <w:rFonts w:ascii="宋体" w:hAnsi="宋体" w:cs="宋体"/>
          <w:color w:val="FF0000"/>
        </w:rPr>
      </w:pPr>
      <w:r>
        <w:rPr>
          <w:rFonts w:hint="eastAsia" w:ascii="宋体" w:hAnsi="宋体" w:cs="宋体"/>
          <w:color w:val="FF0000"/>
        </w:rPr>
        <w:t>【知识点1】资本结构的概括</w:t>
      </w:r>
    </w:p>
    <w:p w14:paraId="48672B39">
      <w:pPr>
        <w:jc w:val="left"/>
        <w:rPr>
          <w:rFonts w:ascii="宋体" w:hAnsi="宋体" w:cs="宋体"/>
        </w:rPr>
      </w:pPr>
      <w:r>
        <w:rPr>
          <w:rFonts w:hint="eastAsia" w:ascii="宋体" w:hAnsi="宋体" w:cs="宋体"/>
          <w:color w:val="FF0000"/>
        </w:rPr>
        <w:t>1.狭义资本结构：</w:t>
      </w:r>
      <w:r>
        <w:rPr>
          <w:rFonts w:hint="eastAsia" w:ascii="宋体" w:hAnsi="宋体" w:cs="宋体"/>
        </w:rPr>
        <w:t>长期负债与股东权益的构成比例</w:t>
      </w:r>
    </w:p>
    <w:p w14:paraId="42AB628C">
      <w:pPr>
        <w:jc w:val="left"/>
        <w:rPr>
          <w:rFonts w:ascii="宋体" w:hAnsi="宋体" w:cs="宋体"/>
          <w:color w:val="FF0000"/>
        </w:rPr>
      </w:pPr>
      <w:r>
        <w:rPr>
          <w:rFonts w:hint="eastAsia" w:ascii="宋体" w:hAnsi="宋体" w:cs="宋体"/>
          <w:color w:val="FF0000"/>
        </w:rPr>
        <w:t>2.最佳资本结构应同时满足两个条件：</w:t>
      </w:r>
    </w:p>
    <w:p w14:paraId="45E29085">
      <w:pPr>
        <w:jc w:val="left"/>
        <w:rPr>
          <w:rFonts w:ascii="宋体" w:hAnsi="宋体" w:cs="宋体"/>
          <w:color w:val="FF0000"/>
        </w:rPr>
      </w:pPr>
      <w:r>
        <w:rPr>
          <w:rFonts w:hint="eastAsia" w:ascii="宋体" w:hAnsi="宋体" w:cs="宋体"/>
          <w:color w:val="FF0000"/>
        </w:rPr>
        <w:t>（1）加权平均资本最低；</w:t>
      </w:r>
    </w:p>
    <w:p w14:paraId="595F79E8">
      <w:pPr>
        <w:jc w:val="left"/>
        <w:rPr>
          <w:rFonts w:ascii="宋体" w:hAnsi="宋体" w:cs="宋体"/>
          <w:color w:val="FF0000"/>
        </w:rPr>
      </w:pPr>
      <w:r>
        <w:rPr>
          <w:rFonts w:hint="eastAsia" w:ascii="宋体" w:hAnsi="宋体" w:cs="宋体"/>
          <w:color w:val="FF0000"/>
        </w:rPr>
        <w:t>（2）企业价值最大。</w:t>
      </w:r>
    </w:p>
    <w:p w14:paraId="471DB2D3">
      <w:pPr>
        <w:jc w:val="left"/>
        <w:rPr>
          <w:rFonts w:hint="eastAsia" w:ascii="宋体" w:hAnsi="宋体" w:cs="宋体"/>
          <w:color w:val="FF0000"/>
        </w:rPr>
      </w:pPr>
      <w:r>
        <w:rPr>
          <w:rFonts w:hint="eastAsia" w:ascii="宋体" w:hAnsi="宋体" w:cs="宋体"/>
          <w:color w:val="FF0000"/>
        </w:rPr>
        <w:t>【知识点2】资本结构理论</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400"/>
      </w:tblGrid>
      <w:tr w14:paraId="4711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2C6B0B9A">
            <w:pPr>
              <w:jc w:val="left"/>
              <w:rPr>
                <w:rFonts w:ascii="宋体" w:hAnsi="宋体" w:cs="宋体"/>
              </w:rPr>
            </w:pPr>
            <w:r>
              <w:rPr>
                <w:rFonts w:hint="eastAsia" w:ascii="宋体" w:hAnsi="宋体" w:cs="宋体"/>
              </w:rPr>
              <w:t>无税MM理论</w:t>
            </w:r>
          </w:p>
        </w:tc>
        <w:tc>
          <w:tcPr>
            <w:tcW w:w="4144" w:type="pct"/>
          </w:tcPr>
          <w:p w14:paraId="36A19E6D">
            <w:pPr>
              <w:jc w:val="left"/>
              <w:rPr>
                <w:rFonts w:ascii="宋体" w:hAnsi="宋体" w:cs="宋体"/>
              </w:rPr>
            </w:pPr>
            <w:r>
              <w:rPr>
                <w:rFonts w:hint="eastAsia" w:ascii="宋体" w:hAnsi="宋体" w:cs="宋体"/>
              </w:rPr>
              <w:t>（1）企业价值不受资本结构影响，即：有负债企业价值＝无负债企业价值；</w:t>
            </w:r>
            <w:r>
              <w:rPr>
                <w:rFonts w:hint="eastAsia" w:ascii="宋体" w:hAnsi="宋体" w:cs="宋体"/>
              </w:rPr>
              <w:br w:type="textWrapping"/>
            </w:r>
            <w:r>
              <w:rPr>
                <w:rFonts w:hint="eastAsia" w:ascii="宋体" w:hAnsi="宋体" w:cs="宋体"/>
              </w:rPr>
              <w:t>（2）有负债企业的股权成本随着负债程度的增大而增大，即：有负债企业的股权成本＝无负债企业的股权成本＋风险报酬；风险报酬取决于债务比例</w:t>
            </w:r>
          </w:p>
        </w:tc>
      </w:tr>
      <w:tr w14:paraId="09B8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9B0D19D">
            <w:pPr>
              <w:jc w:val="left"/>
              <w:rPr>
                <w:rFonts w:ascii="宋体" w:hAnsi="宋体" w:cs="宋体"/>
              </w:rPr>
            </w:pPr>
            <w:r>
              <w:rPr>
                <w:rFonts w:hint="eastAsia" w:ascii="宋体" w:hAnsi="宋体" w:cs="宋体"/>
              </w:rPr>
              <w:t>有税MM理论</w:t>
            </w:r>
          </w:p>
        </w:tc>
        <w:tc>
          <w:tcPr>
            <w:tcW w:w="4144" w:type="pct"/>
          </w:tcPr>
          <w:p w14:paraId="5856D279">
            <w:pPr>
              <w:jc w:val="left"/>
              <w:rPr>
                <w:rFonts w:ascii="宋体" w:hAnsi="宋体" w:cs="宋体"/>
              </w:rPr>
            </w:pPr>
            <w:r>
              <w:rPr>
                <w:rFonts w:hint="eastAsia" w:ascii="宋体" w:hAnsi="宋体" w:cs="宋体"/>
              </w:rPr>
              <w:t>（1）负债企业价值＝无负债企业价值＋负债利息抵税价值；</w:t>
            </w:r>
          </w:p>
          <w:p w14:paraId="44B8EBE5">
            <w:pPr>
              <w:jc w:val="left"/>
              <w:rPr>
                <w:rFonts w:ascii="宋体" w:hAnsi="宋体" w:cs="宋体"/>
              </w:rPr>
            </w:pPr>
            <w:r>
              <w:rPr>
                <w:rFonts w:hint="eastAsia" w:ascii="宋体" w:hAnsi="宋体" w:cs="宋体"/>
              </w:rPr>
              <w:t>（2）债务利息可以抵税，企业价值会随着债务资本比例上升而增加。有负债的企业价值等于同一风险等级中无负债企业价值加上税赋节约的价值。</w:t>
            </w:r>
          </w:p>
        </w:tc>
      </w:tr>
      <w:tr w14:paraId="47EB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59786D8">
            <w:pPr>
              <w:jc w:val="left"/>
              <w:rPr>
                <w:rFonts w:ascii="宋体" w:hAnsi="宋体" w:cs="宋体"/>
              </w:rPr>
            </w:pPr>
            <w:r>
              <w:rPr>
                <w:rFonts w:hint="eastAsia" w:ascii="宋体" w:hAnsi="宋体" w:cs="宋体"/>
              </w:rPr>
              <w:t>权衡理论</w:t>
            </w:r>
          </w:p>
        </w:tc>
        <w:tc>
          <w:tcPr>
            <w:tcW w:w="4144" w:type="pct"/>
          </w:tcPr>
          <w:p w14:paraId="1A659801">
            <w:pPr>
              <w:jc w:val="left"/>
              <w:rPr>
                <w:rFonts w:ascii="宋体" w:hAnsi="宋体" w:cs="宋体"/>
              </w:rPr>
            </w:pPr>
            <w:r>
              <w:rPr>
                <w:rFonts w:hint="eastAsia" w:ascii="宋体" w:hAnsi="宋体" w:cs="宋体"/>
              </w:rPr>
              <w:t>（1）考虑税收、财务困境成本</w:t>
            </w:r>
          </w:p>
          <w:p w14:paraId="64222D67">
            <w:pPr>
              <w:jc w:val="left"/>
              <w:rPr>
                <w:rFonts w:ascii="宋体" w:hAnsi="宋体" w:cs="宋体"/>
              </w:rPr>
            </w:pPr>
            <w:r>
              <w:rPr>
                <w:rFonts w:hint="eastAsia" w:ascii="宋体" w:hAnsi="宋体" w:cs="宋体"/>
              </w:rPr>
              <w:t>（2）有负债企业价值＝无负债企业价值＋负债利息抵税价值－财务困境成本现值</w:t>
            </w:r>
          </w:p>
        </w:tc>
      </w:tr>
      <w:tr w14:paraId="4A49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B74858E">
            <w:pPr>
              <w:jc w:val="left"/>
              <w:rPr>
                <w:rFonts w:ascii="宋体" w:hAnsi="宋体" w:cs="宋体"/>
              </w:rPr>
            </w:pPr>
            <w:r>
              <w:rPr>
                <w:rFonts w:hint="eastAsia" w:ascii="宋体" w:hAnsi="宋体" w:cs="宋体"/>
              </w:rPr>
              <w:t>代理理论</w:t>
            </w:r>
          </w:p>
        </w:tc>
        <w:tc>
          <w:tcPr>
            <w:tcW w:w="4144" w:type="pct"/>
          </w:tcPr>
          <w:p w14:paraId="135ED88F">
            <w:pPr>
              <w:jc w:val="left"/>
              <w:rPr>
                <w:rFonts w:ascii="宋体" w:hAnsi="宋体" w:cs="宋体"/>
              </w:rPr>
            </w:pPr>
            <w:r>
              <w:rPr>
                <w:rFonts w:hint="eastAsia" w:ascii="宋体" w:hAnsi="宋体" w:cs="宋体"/>
              </w:rPr>
              <w:t>均衡的企业所有权结构由股权代理成本和债务代理成本之间的平衡关系决定</w:t>
            </w:r>
          </w:p>
        </w:tc>
      </w:tr>
      <w:tr w14:paraId="7672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A83B160">
            <w:pPr>
              <w:jc w:val="left"/>
              <w:rPr>
                <w:rFonts w:ascii="宋体" w:hAnsi="宋体" w:cs="宋体"/>
              </w:rPr>
            </w:pPr>
            <w:r>
              <w:rPr>
                <w:rFonts w:hint="eastAsia" w:ascii="宋体" w:hAnsi="宋体" w:cs="宋体"/>
              </w:rPr>
              <w:t>优序融资理论</w:t>
            </w:r>
          </w:p>
        </w:tc>
        <w:tc>
          <w:tcPr>
            <w:tcW w:w="4144" w:type="pct"/>
          </w:tcPr>
          <w:p w14:paraId="1F622E71">
            <w:pPr>
              <w:jc w:val="left"/>
              <w:rPr>
                <w:rFonts w:ascii="宋体" w:hAnsi="宋体" w:cs="宋体"/>
              </w:rPr>
            </w:pPr>
            <w:r>
              <w:rPr>
                <w:rFonts w:hint="eastAsia" w:ascii="宋体" w:hAnsi="宋体" w:cs="宋体"/>
              </w:rPr>
              <w:t>（1）融资顺序（从前到后）：留存收益、借款、公司债券、可转债、股权融资</w:t>
            </w:r>
            <w:r>
              <w:rPr>
                <w:rFonts w:hint="eastAsia" w:ascii="宋体" w:hAnsi="宋体" w:cs="宋体"/>
              </w:rPr>
              <w:br w:type="textWrapping"/>
            </w:r>
            <w:r>
              <w:rPr>
                <w:rFonts w:hint="eastAsia" w:ascii="宋体" w:hAnsi="宋体" w:cs="宋体"/>
              </w:rPr>
              <w:t xml:space="preserve">（2）先内后外，先债后股 </w:t>
            </w:r>
          </w:p>
        </w:tc>
      </w:tr>
    </w:tbl>
    <w:p w14:paraId="0CD37ABB">
      <w:pPr>
        <w:jc w:val="left"/>
        <w:rPr>
          <w:rFonts w:ascii="宋体" w:hAnsi="宋体" w:cs="宋体"/>
          <w:color w:val="FF0000"/>
        </w:rPr>
      </w:pPr>
      <w:r>
        <w:rPr>
          <w:rFonts w:hint="eastAsia" w:ascii="宋体" w:hAnsi="宋体" w:cs="宋体"/>
          <w:color w:val="FF0000"/>
        </w:rPr>
        <w:t>【知识点3】最优资本结构决策——每股收益无差别点</w:t>
      </w:r>
    </w:p>
    <w:p w14:paraId="24B3E274">
      <w:pPr>
        <w:jc w:val="left"/>
        <w:rPr>
          <w:rFonts w:ascii="宋体" w:hAnsi="宋体" w:cs="宋体"/>
          <w:color w:val="FF0000"/>
        </w:rPr>
      </w:pPr>
      <w:r>
        <w:rPr>
          <w:rFonts w:hint="eastAsia" w:ascii="宋体" w:hAnsi="宋体" w:cs="宋体"/>
          <w:color w:val="FF0000"/>
        </w:rPr>
        <w:t>1.每股收益=归属于普通股的净利润/发行在外普通股的加权平均数</w:t>
      </w:r>
    </w:p>
    <w:p w14:paraId="1591C839">
      <w:pPr>
        <w:jc w:val="left"/>
        <w:rPr>
          <w:rFonts w:ascii="宋体" w:hAnsi="宋体" w:cs="宋体"/>
        </w:rPr>
      </w:pPr>
      <w:r>
        <w:rPr>
          <w:rFonts w:hint="eastAsia" w:ascii="宋体" w:hAnsi="宋体" w:cs="宋体"/>
        </w:rPr>
        <w:t>2.寻找</w:t>
      </w:r>
      <w:r>
        <w:rPr>
          <w:rFonts w:hint="eastAsia" w:ascii="宋体" w:hAnsi="宋体" w:cs="宋体"/>
          <w:color w:val="FF0000"/>
        </w:rPr>
        <w:t>每股收益无差别点，</w:t>
      </w:r>
      <w:r>
        <w:rPr>
          <w:rFonts w:hint="eastAsia" w:ascii="宋体" w:hAnsi="宋体" w:cs="宋体"/>
        </w:rPr>
        <w:t>即使两种筹资方式下每股收益相等的息税前利润（或业务量）水平。</w:t>
      </w:r>
    </w:p>
    <w:p w14:paraId="1B128CD3">
      <w:pPr>
        <w:jc w:val="left"/>
        <w:rPr>
          <w:rFonts w:hint="eastAsia" w:ascii="宋体" w:hAnsi="宋体" w:cs="宋体"/>
        </w:rPr>
      </w:pPr>
      <w:r>
        <w:rPr>
          <w:rFonts w:hint="eastAsia" w:ascii="宋体" w:hAnsi="宋体" w:cs="宋体"/>
        </w:rPr>
        <w:drawing>
          <wp:inline distT="0" distB="0" distL="114300" distR="114300">
            <wp:extent cx="2588895" cy="401955"/>
            <wp:effectExtent l="0" t="0" r="1905" b="17145"/>
            <wp:docPr id="8" name="图片 3" descr="1554609905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54609905930-0"/>
                    <pic:cNvPicPr>
                      <a:picLocks noChangeAspect="1"/>
                    </pic:cNvPicPr>
                  </pic:nvPicPr>
                  <pic:blipFill>
                    <a:blip r:embed="rId36">
                      <a:extLst>
                        <a:ext uri="{BEBA8EAE-BF5A-486C-A8C5-ECC9F3942E4B}">
                          <a14:imgProps xmlns:a14="http://schemas.microsoft.com/office/drawing/2010/main">
                            <a14:imgLayer r:embed="rId37">
                              <a14:imgEffect>
                                <a14:brightnessContrast bright="-100000" contrast="64000"/>
                              </a14:imgEffect>
                            </a14:imgLayer>
                          </a14:imgProps>
                        </a:ext>
                      </a:extLst>
                    </a:blip>
                    <a:stretch>
                      <a:fillRect/>
                    </a:stretch>
                  </pic:blipFill>
                  <pic:spPr>
                    <a:xfrm>
                      <a:off x="0" y="0"/>
                      <a:ext cx="2661162" cy="413310"/>
                    </a:xfrm>
                    <a:prstGeom prst="rect">
                      <a:avLst/>
                    </a:prstGeom>
                    <a:noFill/>
                    <a:ln>
                      <a:noFill/>
                    </a:ln>
                  </pic:spPr>
                </pic:pic>
              </a:graphicData>
            </a:graphic>
          </wp:inline>
        </w:drawing>
      </w:r>
    </w:p>
    <w:p w14:paraId="60E23021">
      <w:pPr>
        <w:jc w:val="left"/>
        <w:rPr>
          <w:rFonts w:ascii="宋体" w:hAnsi="宋体" w:cs="宋体"/>
        </w:rPr>
      </w:pPr>
      <w:r>
        <w:rPr>
          <w:rFonts w:hint="eastAsia" w:ascii="宋体" w:hAnsi="宋体" w:cs="宋体"/>
        </w:rPr>
        <w:t>其中，</w:t>
      </w:r>
      <w:r>
        <w:rPr>
          <w:rFonts w:hint="eastAsia" w:ascii="宋体" w:hAnsi="宋体" w:cs="宋体"/>
        </w:rPr>
        <w:drawing>
          <wp:inline distT="0" distB="0" distL="114300" distR="114300">
            <wp:extent cx="401320" cy="189865"/>
            <wp:effectExtent l="0" t="0" r="1778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8">
                      <a:extLst>
                        <a:ext uri="{BEBA8EAE-BF5A-486C-A8C5-ECC9F3942E4B}">
                          <a14:imgProps xmlns:a14="http://schemas.microsoft.com/office/drawing/2010/main">
                            <a14:imgLayer r:embed="rId39">
                              <a14:imgEffect>
                                <a14:brightnessContrast bright="-100000" contrast="44000"/>
                              </a14:imgEffect>
                            </a14:imgLayer>
                          </a14:imgProps>
                        </a:ext>
                      </a:extLst>
                    </a:blip>
                    <a:stretch>
                      <a:fillRect/>
                    </a:stretch>
                  </pic:blipFill>
                  <pic:spPr>
                    <a:xfrm>
                      <a:off x="0" y="0"/>
                      <a:ext cx="411156" cy="194778"/>
                    </a:xfrm>
                    <a:prstGeom prst="rect">
                      <a:avLst/>
                    </a:prstGeom>
                    <a:noFill/>
                    <a:ln>
                      <a:noFill/>
                    </a:ln>
                  </pic:spPr>
                </pic:pic>
              </a:graphicData>
            </a:graphic>
          </wp:inline>
        </w:drawing>
      </w:r>
      <w:r>
        <w:rPr>
          <w:rFonts w:hint="eastAsia" w:ascii="宋体" w:hAnsi="宋体" w:cs="宋体"/>
        </w:rPr>
        <w:t>表示平衡点下的息税前利润；DP表示优先股股息</w:t>
      </w:r>
    </w:p>
    <w:p w14:paraId="16F73D8A">
      <w:pPr>
        <w:jc w:val="left"/>
        <w:rPr>
          <w:rFonts w:ascii="宋体" w:hAnsi="宋体" w:cs="宋体"/>
          <w:color w:val="FF0000"/>
        </w:rPr>
      </w:pPr>
      <w:r>
        <w:rPr>
          <w:rFonts w:hint="eastAsia" w:ascii="宋体" w:hAnsi="宋体" w:cs="宋体"/>
          <w:color w:val="FF0000"/>
        </w:rPr>
        <w:t>3.决策原则总结：</w:t>
      </w:r>
    </w:p>
    <w:p w14:paraId="130B770C">
      <w:pPr>
        <w:jc w:val="left"/>
        <w:rPr>
          <w:rFonts w:ascii="宋体" w:hAnsi="宋体" w:cs="宋体"/>
        </w:rPr>
      </w:pPr>
      <w:r>
        <w:rPr>
          <w:rFonts w:hint="eastAsia" w:ascii="宋体" w:hAnsi="宋体" w:cs="宋体"/>
        </w:rPr>
        <w:t>（1）对负债筹资方式和权益筹资方式比较：</w:t>
      </w:r>
    </w:p>
    <w:p w14:paraId="1D862CAC">
      <w:pPr>
        <w:jc w:val="left"/>
        <w:rPr>
          <w:rFonts w:ascii="宋体" w:hAnsi="宋体" w:cs="宋体"/>
        </w:rPr>
      </w:pPr>
      <w:r>
        <w:rPr>
          <w:rFonts w:hint="eastAsia" w:ascii="宋体" w:hAnsi="宋体" w:cs="宋体"/>
        </w:rPr>
        <w:t xml:space="preserve">如果预期的息税前利润大于每股收益无差别点的息税前利润，则运用负债筹资方式； </w:t>
      </w:r>
    </w:p>
    <w:p w14:paraId="3F32FF4F">
      <w:pPr>
        <w:jc w:val="left"/>
        <w:rPr>
          <w:rFonts w:ascii="宋体" w:hAnsi="宋体" w:cs="宋体"/>
        </w:rPr>
      </w:pPr>
      <w:r>
        <w:rPr>
          <w:rFonts w:hint="eastAsia" w:ascii="宋体" w:hAnsi="宋体" w:cs="宋体"/>
        </w:rPr>
        <w:t xml:space="preserve">如果预期的息税前利润小于每股收益无差别点的息税前利润，则运用权益筹资方式。 </w:t>
      </w:r>
    </w:p>
    <w:p w14:paraId="680FA00F">
      <w:pPr>
        <w:jc w:val="left"/>
        <w:rPr>
          <w:rFonts w:ascii="宋体" w:hAnsi="宋体" w:cs="宋体"/>
          <w:color w:val="FF0000"/>
        </w:rPr>
      </w:pPr>
      <w:r>
        <w:rPr>
          <w:rFonts w:hint="eastAsia" w:ascii="宋体" w:hAnsi="宋体" w:cs="宋体"/>
          <w:color w:val="FF0000"/>
        </w:rPr>
        <w:t>【知识点4】最优资本结构决策——平均资本成本比较法</w:t>
      </w:r>
    </w:p>
    <w:p w14:paraId="3893F0E7">
      <w:pPr>
        <w:jc w:val="left"/>
        <w:rPr>
          <w:rFonts w:ascii="宋体" w:hAnsi="宋体" w:cs="宋体"/>
        </w:rPr>
      </w:pPr>
      <w:r>
        <w:rPr>
          <w:rFonts w:hint="eastAsia" w:ascii="宋体" w:hAnsi="宋体" w:cs="宋体"/>
        </w:rPr>
        <w:t>计算和比较各种可能的筹资组合方案的平均资本成本，选择平均资本成本率最低的方案</w:t>
      </w:r>
    </w:p>
    <w:p w14:paraId="2D02262B">
      <w:pPr>
        <w:jc w:val="left"/>
        <w:rPr>
          <w:rFonts w:ascii="宋体" w:hAnsi="宋体" w:cs="宋体"/>
          <w:color w:val="FF0000"/>
        </w:rPr>
      </w:pPr>
      <w:r>
        <w:rPr>
          <w:rFonts w:hint="eastAsia" w:ascii="宋体" w:hAnsi="宋体" w:cs="宋体"/>
          <w:color w:val="FF0000"/>
        </w:rPr>
        <w:t>【知识点5】最优资本结构决策——公司价值分析法</w:t>
      </w:r>
    </w:p>
    <w:p w14:paraId="4D0E6D55">
      <w:pPr>
        <w:jc w:val="left"/>
        <w:rPr>
          <w:rFonts w:ascii="宋体" w:hAnsi="宋体" w:cs="宋体"/>
        </w:rPr>
      </w:pPr>
      <w:r>
        <w:rPr>
          <w:rFonts w:hint="eastAsia" w:ascii="宋体" w:hAnsi="宋体" w:cs="宋体"/>
        </w:rPr>
        <w:t>企业价值（V）＝股票市场价值（S）＋长期债务市场价值（B）</w:t>
      </w:r>
    </w:p>
    <w:p w14:paraId="463E2786">
      <w:pPr>
        <w:jc w:val="left"/>
        <w:rPr>
          <w:rFonts w:ascii="宋体" w:hAnsi="宋体" w:cs="宋体"/>
        </w:rPr>
      </w:pPr>
      <w:r>
        <w:rPr>
          <w:rFonts w:hint="eastAsia" w:ascii="宋体" w:hAnsi="宋体" w:cs="宋体"/>
        </w:rPr>
        <w:t>　　         ＝净利润/权益资本成本＋长期债务面值</w:t>
      </w:r>
    </w:p>
    <w:p w14:paraId="46B5D1C7">
      <w:pPr>
        <w:jc w:val="left"/>
        <w:rPr>
          <w:rFonts w:ascii="宋体" w:hAnsi="宋体" w:cs="宋体"/>
        </w:rPr>
      </w:pPr>
      <w:r>
        <w:rPr>
          <w:rFonts w:hint="eastAsia" w:ascii="宋体" w:hAnsi="宋体" w:cs="宋体"/>
          <w:color w:val="FF0000"/>
        </w:rPr>
        <w:t>【提示1】</w:t>
      </w:r>
      <w:r>
        <w:rPr>
          <w:rFonts w:hint="eastAsia" w:ascii="宋体" w:hAnsi="宋体" w:cs="宋体"/>
        </w:rPr>
        <w:t>公司价值法考虑了市场反应和风险因素</w:t>
      </w:r>
    </w:p>
    <w:p w14:paraId="444C98A6">
      <w:pPr>
        <w:jc w:val="left"/>
        <w:rPr>
          <w:rFonts w:ascii="宋体" w:hAnsi="宋体" w:cs="宋体"/>
        </w:rPr>
      </w:pPr>
      <w:r>
        <w:rPr>
          <w:rFonts w:hint="eastAsia" w:ascii="宋体" w:hAnsi="宋体" w:cs="宋体"/>
          <w:color w:val="FF0000"/>
        </w:rPr>
        <w:t>【提示2】</w:t>
      </w:r>
      <w:r>
        <w:rPr>
          <w:rFonts w:hint="eastAsia" w:ascii="宋体" w:hAnsi="宋体" w:cs="宋体"/>
        </w:rPr>
        <w:t>股票市场价值S，分子是净利润，分母是权益资本成本。原理：假定净利润是永续的，并且净利润全部用于发放股利，这样，净利润的支付构成了永续年金的形式即P＝A/i，所以，股票的市场价值＝净利润/权益资本成本；债券价值B ，假设债务的市场价值等于其面值</w:t>
      </w:r>
    </w:p>
    <w:p w14:paraId="52A3D85C">
      <w:pPr>
        <w:jc w:val="left"/>
        <w:rPr>
          <w:rFonts w:hint="eastAsia" w:ascii="宋体" w:hAnsi="宋体" w:cs="宋体"/>
        </w:rPr>
      </w:pPr>
      <w:r>
        <w:rPr>
          <w:rFonts w:hint="eastAsia" w:ascii="宋体" w:hAnsi="宋体" w:cs="宋体"/>
          <w:color w:val="FF0000"/>
        </w:rPr>
        <w:t>【提示3】</w:t>
      </w:r>
      <w:r>
        <w:rPr>
          <w:rFonts w:hint="eastAsia" w:ascii="宋体" w:hAnsi="宋体" w:cs="宋体"/>
        </w:rPr>
        <w:t>加权平均资本成本＝税前债务资本成本×（1－税率）×债务资本比重＋权益资本成本×权益资本比重</w:t>
      </w:r>
    </w:p>
    <w:p w14:paraId="688EAA95">
      <w:pPr>
        <w:overflowPunct w:val="0"/>
        <w:jc w:val="center"/>
        <w:rPr>
          <w:rFonts w:ascii="宋体" w:hAnsi="宋体" w:cs="宋体"/>
          <w:b/>
          <w:bCs/>
        </w:rPr>
      </w:pPr>
      <w:r>
        <w:rPr>
          <w:rFonts w:hint="eastAsia" w:ascii="宋体" w:hAnsi="宋体" w:cs="宋体"/>
          <w:b/>
          <w:bCs/>
        </w:rPr>
        <w:t>第六章  投资管理</w:t>
      </w:r>
    </w:p>
    <w:p w14:paraId="740AE9A2">
      <w:pPr>
        <w:jc w:val="left"/>
        <w:rPr>
          <w:rFonts w:ascii="宋体" w:hAnsi="宋体" w:cs="宋体"/>
        </w:rPr>
      </w:pPr>
      <w:r>
        <w:rPr>
          <w:rFonts w:hint="eastAsia" w:ascii="宋体" w:hAnsi="宋体" w:cs="宋体"/>
          <w:color w:val="FF0000"/>
        </w:rPr>
        <w:t>【考情分析】</w:t>
      </w:r>
      <w:r>
        <w:rPr>
          <w:rFonts w:hint="eastAsia" w:ascii="宋体" w:hAnsi="宋体" w:cs="宋体"/>
        </w:rPr>
        <w:t>预测2024年分数在12分左右，主观题和客观题都会涉及。</w:t>
      </w:r>
    </w:p>
    <w:p w14:paraId="1AFEE5D0">
      <w:pPr>
        <w:jc w:val="center"/>
        <w:rPr>
          <w:rFonts w:ascii="宋体" w:hAnsi="宋体" w:cs="宋体"/>
          <w:b/>
          <w:bCs/>
        </w:rPr>
      </w:pPr>
      <w:r>
        <w:rPr>
          <w:rFonts w:hint="eastAsia" w:ascii="宋体" w:hAnsi="宋体" w:cs="宋体"/>
          <w:b/>
          <w:bCs/>
        </w:rPr>
        <w:t>第一节投资管理概述</w:t>
      </w:r>
    </w:p>
    <w:p w14:paraId="33A485E7">
      <w:pPr>
        <w:jc w:val="left"/>
        <w:rPr>
          <w:rFonts w:hint="eastAsia" w:ascii="宋体" w:hAnsi="宋体" w:cs="宋体"/>
          <w:color w:val="FF0000"/>
        </w:rPr>
      </w:pPr>
      <w:r>
        <w:rPr>
          <w:rFonts w:hint="eastAsia" w:ascii="宋体" w:hAnsi="宋体" w:cs="宋体"/>
          <w:color w:val="FF0000"/>
        </w:rPr>
        <w:t>【知识点1】企业投资的分类</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1303"/>
        <w:gridCol w:w="6661"/>
      </w:tblGrid>
      <w:tr w14:paraId="6E37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180918C2">
            <w:pPr>
              <w:jc w:val="left"/>
              <w:rPr>
                <w:rFonts w:ascii="宋体" w:hAnsi="宋体" w:cs="宋体"/>
              </w:rPr>
            </w:pPr>
            <w:r>
              <w:rPr>
                <w:rFonts w:hint="eastAsia" w:ascii="宋体" w:hAnsi="宋体" w:cs="宋体"/>
              </w:rPr>
              <w:t>按投资活动与企业本身的生产经营活动的关系（方式性）</w:t>
            </w:r>
          </w:p>
        </w:tc>
        <w:tc>
          <w:tcPr>
            <w:tcW w:w="643" w:type="pct"/>
          </w:tcPr>
          <w:p w14:paraId="7CD452DC">
            <w:pPr>
              <w:jc w:val="left"/>
              <w:rPr>
                <w:rFonts w:ascii="宋体" w:hAnsi="宋体" w:cs="宋体"/>
              </w:rPr>
            </w:pPr>
            <w:r>
              <w:rPr>
                <w:rFonts w:hint="eastAsia" w:ascii="宋体" w:hAnsi="宋体" w:cs="宋体"/>
              </w:rPr>
              <w:t>直接投资</w:t>
            </w:r>
          </w:p>
        </w:tc>
        <w:tc>
          <w:tcPr>
            <w:tcW w:w="3286" w:type="pct"/>
          </w:tcPr>
          <w:p w14:paraId="7BCD6E63">
            <w:pPr>
              <w:jc w:val="left"/>
              <w:rPr>
                <w:rFonts w:ascii="宋体" w:hAnsi="宋体" w:cs="宋体"/>
              </w:rPr>
            </w:pPr>
            <w:r>
              <w:rPr>
                <w:rFonts w:hint="eastAsia" w:ascii="宋体" w:hAnsi="宋体" w:cs="宋体"/>
              </w:rPr>
              <w:t>将资金直接投放于形成生产经营能力的实体性资产，直接谋取经营利润的企业投资</w:t>
            </w:r>
          </w:p>
        </w:tc>
      </w:tr>
      <w:tr w14:paraId="0213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4C3CD8D1">
            <w:pPr>
              <w:jc w:val="left"/>
              <w:rPr>
                <w:rFonts w:ascii="宋体" w:hAnsi="宋体" w:cs="宋体"/>
              </w:rPr>
            </w:pPr>
          </w:p>
        </w:tc>
        <w:tc>
          <w:tcPr>
            <w:tcW w:w="643" w:type="pct"/>
          </w:tcPr>
          <w:p w14:paraId="593510F6">
            <w:pPr>
              <w:jc w:val="left"/>
              <w:rPr>
                <w:rFonts w:ascii="宋体" w:hAnsi="宋体" w:cs="宋体"/>
              </w:rPr>
            </w:pPr>
            <w:r>
              <w:rPr>
                <w:rFonts w:hint="eastAsia" w:ascii="宋体" w:hAnsi="宋体" w:cs="宋体"/>
              </w:rPr>
              <w:t>间接投资</w:t>
            </w:r>
          </w:p>
        </w:tc>
        <w:tc>
          <w:tcPr>
            <w:tcW w:w="3286" w:type="pct"/>
          </w:tcPr>
          <w:p w14:paraId="4BF44628">
            <w:pPr>
              <w:jc w:val="left"/>
              <w:rPr>
                <w:rFonts w:ascii="宋体" w:hAnsi="宋体" w:cs="宋体"/>
              </w:rPr>
            </w:pPr>
            <w:r>
              <w:rPr>
                <w:rFonts w:hint="eastAsia" w:ascii="宋体" w:hAnsi="宋体" w:cs="宋体"/>
              </w:rPr>
              <w:t>将资金投放于股票、债券、基金等权益性资产上的企业投资</w:t>
            </w:r>
          </w:p>
        </w:tc>
      </w:tr>
      <w:tr w14:paraId="204E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65A570C6">
            <w:pPr>
              <w:jc w:val="left"/>
              <w:rPr>
                <w:rFonts w:ascii="宋体" w:hAnsi="宋体" w:cs="宋体"/>
              </w:rPr>
            </w:pPr>
            <w:r>
              <w:rPr>
                <w:rFonts w:hint="eastAsia" w:ascii="宋体" w:hAnsi="宋体" w:cs="宋体"/>
              </w:rPr>
              <w:t>投资对象的存在形态和性质（对象性）</w:t>
            </w:r>
          </w:p>
        </w:tc>
        <w:tc>
          <w:tcPr>
            <w:tcW w:w="643" w:type="pct"/>
          </w:tcPr>
          <w:p w14:paraId="2EA73EF5">
            <w:pPr>
              <w:jc w:val="left"/>
              <w:rPr>
                <w:rFonts w:ascii="宋体" w:hAnsi="宋体" w:cs="宋体"/>
              </w:rPr>
            </w:pPr>
            <w:r>
              <w:rPr>
                <w:rFonts w:hint="eastAsia" w:ascii="宋体" w:hAnsi="宋体" w:cs="宋体"/>
              </w:rPr>
              <w:t>项目投资</w:t>
            </w:r>
          </w:p>
        </w:tc>
        <w:tc>
          <w:tcPr>
            <w:tcW w:w="3286" w:type="pct"/>
          </w:tcPr>
          <w:p w14:paraId="66B536C5">
            <w:pPr>
              <w:jc w:val="left"/>
              <w:rPr>
                <w:rFonts w:ascii="宋体" w:hAnsi="宋体" w:cs="宋体"/>
              </w:rPr>
            </w:pPr>
            <w:r>
              <w:rPr>
                <w:rFonts w:hint="eastAsia" w:ascii="宋体" w:hAnsi="宋体" w:cs="宋体"/>
              </w:rPr>
              <w:t>购买具有实质内涵的经营资产，包括有形资产和无形资产，形成具体的生产经营能力，开展实质性的生产经营活动，谋取经营利润。</w:t>
            </w:r>
          </w:p>
          <w:p w14:paraId="28967194">
            <w:pPr>
              <w:jc w:val="left"/>
              <w:rPr>
                <w:rFonts w:ascii="宋体" w:hAnsi="宋体" w:cs="宋体"/>
              </w:rPr>
            </w:pPr>
            <w:r>
              <w:rPr>
                <w:rFonts w:hint="eastAsia" w:ascii="宋体" w:hAnsi="宋体" w:cs="宋体"/>
              </w:rPr>
              <w:t>项目投资属于直接投资</w:t>
            </w:r>
          </w:p>
        </w:tc>
      </w:tr>
      <w:tr w14:paraId="493C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06957C26">
            <w:pPr>
              <w:jc w:val="left"/>
              <w:rPr>
                <w:rFonts w:ascii="宋体" w:hAnsi="宋体" w:cs="宋体"/>
              </w:rPr>
            </w:pPr>
          </w:p>
        </w:tc>
        <w:tc>
          <w:tcPr>
            <w:tcW w:w="643" w:type="pct"/>
          </w:tcPr>
          <w:p w14:paraId="408A9630">
            <w:pPr>
              <w:jc w:val="left"/>
              <w:rPr>
                <w:rFonts w:ascii="宋体" w:hAnsi="宋体" w:cs="宋体"/>
              </w:rPr>
            </w:pPr>
            <w:r>
              <w:rPr>
                <w:rFonts w:hint="eastAsia" w:ascii="宋体" w:hAnsi="宋体" w:cs="宋体"/>
              </w:rPr>
              <w:t>证券投资</w:t>
            </w:r>
          </w:p>
        </w:tc>
        <w:tc>
          <w:tcPr>
            <w:tcW w:w="3286" w:type="pct"/>
          </w:tcPr>
          <w:p w14:paraId="7597026A">
            <w:pPr>
              <w:jc w:val="left"/>
              <w:rPr>
                <w:rFonts w:ascii="宋体" w:hAnsi="宋体" w:cs="宋体"/>
              </w:rPr>
            </w:pPr>
            <w:r>
              <w:rPr>
                <w:rFonts w:hint="eastAsia" w:ascii="宋体" w:hAnsi="宋体" w:cs="宋体"/>
              </w:rPr>
              <w:t>通过证券资产上所赋予的权利，间接控制被投资企业的生产经营活动，获取投资收益，即购买属于综合生产要素的权益性权利资产的企业投资。</w:t>
            </w:r>
          </w:p>
          <w:p w14:paraId="79BFD86E">
            <w:pPr>
              <w:jc w:val="left"/>
              <w:rPr>
                <w:rFonts w:ascii="宋体" w:hAnsi="宋体" w:cs="宋体"/>
              </w:rPr>
            </w:pPr>
            <w:r>
              <w:rPr>
                <w:rFonts w:hint="eastAsia" w:ascii="宋体" w:hAnsi="宋体" w:cs="宋体"/>
              </w:rPr>
              <w:t>证券投资属于间接投资</w:t>
            </w:r>
          </w:p>
        </w:tc>
      </w:tr>
      <w:tr w14:paraId="5E40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305BDA97">
            <w:pPr>
              <w:jc w:val="left"/>
              <w:rPr>
                <w:rFonts w:ascii="宋体" w:hAnsi="宋体" w:cs="宋体"/>
              </w:rPr>
            </w:pPr>
            <w:r>
              <w:rPr>
                <w:rFonts w:hint="eastAsia" w:ascii="宋体" w:hAnsi="宋体" w:cs="宋体"/>
              </w:rPr>
              <w:t>按对企业生产经营前景的影响</w:t>
            </w:r>
          </w:p>
        </w:tc>
        <w:tc>
          <w:tcPr>
            <w:tcW w:w="643" w:type="pct"/>
          </w:tcPr>
          <w:p w14:paraId="7E3301AF">
            <w:pPr>
              <w:jc w:val="left"/>
              <w:rPr>
                <w:rFonts w:ascii="宋体" w:hAnsi="宋体" w:cs="宋体"/>
              </w:rPr>
            </w:pPr>
            <w:r>
              <w:rPr>
                <w:rFonts w:hint="eastAsia" w:ascii="宋体" w:hAnsi="宋体" w:cs="宋体"/>
              </w:rPr>
              <w:t>发展性投资</w:t>
            </w:r>
          </w:p>
        </w:tc>
        <w:tc>
          <w:tcPr>
            <w:tcW w:w="3286" w:type="pct"/>
          </w:tcPr>
          <w:p w14:paraId="146FEAB2">
            <w:pPr>
              <w:jc w:val="left"/>
              <w:rPr>
                <w:rFonts w:ascii="宋体" w:hAnsi="宋体" w:cs="宋体"/>
              </w:rPr>
            </w:pPr>
            <w:r>
              <w:rPr>
                <w:rFonts w:hint="eastAsia" w:ascii="宋体" w:hAnsi="宋体" w:cs="宋体"/>
              </w:rPr>
              <w:t>对企业未来的生产经营发展全局有重大影响的企业投资，也称为战略性投资</w:t>
            </w:r>
          </w:p>
        </w:tc>
      </w:tr>
      <w:tr w14:paraId="170D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249FB699">
            <w:pPr>
              <w:overflowPunct w:val="0"/>
              <w:jc w:val="left"/>
              <w:rPr>
                <w:rFonts w:ascii="宋体" w:hAnsi="宋体" w:cs="宋体"/>
              </w:rPr>
            </w:pPr>
          </w:p>
        </w:tc>
        <w:tc>
          <w:tcPr>
            <w:tcW w:w="643" w:type="pct"/>
          </w:tcPr>
          <w:p w14:paraId="74A96B85">
            <w:pPr>
              <w:jc w:val="left"/>
              <w:rPr>
                <w:rFonts w:ascii="宋体" w:hAnsi="宋体" w:cs="宋体"/>
              </w:rPr>
            </w:pPr>
            <w:r>
              <w:rPr>
                <w:rFonts w:hint="eastAsia" w:ascii="宋体" w:hAnsi="宋体" w:cs="宋体"/>
              </w:rPr>
              <w:t>维持性投资</w:t>
            </w:r>
          </w:p>
        </w:tc>
        <w:tc>
          <w:tcPr>
            <w:tcW w:w="3286" w:type="pct"/>
          </w:tcPr>
          <w:p w14:paraId="1193C782">
            <w:pPr>
              <w:jc w:val="left"/>
              <w:rPr>
                <w:rFonts w:ascii="宋体" w:hAnsi="宋体" w:cs="宋体"/>
              </w:rPr>
            </w:pPr>
            <w:r>
              <w:rPr>
                <w:rFonts w:hint="eastAsia" w:ascii="宋体" w:hAnsi="宋体" w:cs="宋体"/>
              </w:rPr>
              <w:t>为了维持企业现有的生产经营正常顺利进行，不会改变企业未来生产经营发展全局的企业投资，也称为战术性投资</w:t>
            </w:r>
          </w:p>
        </w:tc>
      </w:tr>
      <w:tr w14:paraId="0EEE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35C0BE83">
            <w:pPr>
              <w:jc w:val="left"/>
              <w:rPr>
                <w:rFonts w:ascii="宋体" w:hAnsi="宋体" w:cs="宋体"/>
              </w:rPr>
            </w:pPr>
            <w:r>
              <w:rPr>
                <w:rFonts w:hint="eastAsia" w:ascii="宋体" w:hAnsi="宋体" w:cs="宋体"/>
              </w:rPr>
              <w:t>按投资的方向</w:t>
            </w:r>
          </w:p>
        </w:tc>
        <w:tc>
          <w:tcPr>
            <w:tcW w:w="643" w:type="pct"/>
          </w:tcPr>
          <w:p w14:paraId="5F91638E">
            <w:pPr>
              <w:jc w:val="left"/>
              <w:rPr>
                <w:rFonts w:ascii="宋体" w:hAnsi="宋体" w:cs="宋体"/>
              </w:rPr>
            </w:pPr>
            <w:r>
              <w:rPr>
                <w:rFonts w:hint="eastAsia" w:ascii="宋体" w:hAnsi="宋体" w:cs="宋体"/>
              </w:rPr>
              <w:t>对内投资</w:t>
            </w:r>
          </w:p>
        </w:tc>
        <w:tc>
          <w:tcPr>
            <w:tcW w:w="3286" w:type="pct"/>
          </w:tcPr>
          <w:p w14:paraId="32582AC9">
            <w:pPr>
              <w:jc w:val="left"/>
              <w:rPr>
                <w:rFonts w:ascii="宋体" w:hAnsi="宋体" w:cs="宋体"/>
              </w:rPr>
            </w:pPr>
            <w:r>
              <w:rPr>
                <w:rFonts w:hint="eastAsia" w:ascii="宋体" w:hAnsi="宋体" w:cs="宋体"/>
              </w:rPr>
              <w:t>是在本企业范围内部的资金投放，用于购买和配置各种生产经营所需要的经营性资产。</w:t>
            </w:r>
          </w:p>
          <w:p w14:paraId="3BA2ABCA">
            <w:pPr>
              <w:jc w:val="left"/>
              <w:rPr>
                <w:rFonts w:ascii="宋体" w:hAnsi="宋体" w:cs="宋体"/>
              </w:rPr>
            </w:pPr>
            <w:r>
              <w:rPr>
                <w:rFonts w:hint="eastAsia" w:ascii="宋体" w:hAnsi="宋体" w:cs="宋体"/>
              </w:rPr>
              <w:t>对内投资都是直接投资</w:t>
            </w:r>
          </w:p>
        </w:tc>
      </w:tr>
      <w:tr w14:paraId="1AB0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7407550B">
            <w:pPr>
              <w:overflowPunct w:val="0"/>
              <w:jc w:val="left"/>
              <w:rPr>
                <w:rFonts w:ascii="宋体" w:hAnsi="宋体" w:cs="宋体"/>
              </w:rPr>
            </w:pPr>
          </w:p>
        </w:tc>
        <w:tc>
          <w:tcPr>
            <w:tcW w:w="643" w:type="pct"/>
          </w:tcPr>
          <w:p w14:paraId="4D652533">
            <w:pPr>
              <w:jc w:val="left"/>
              <w:rPr>
                <w:rFonts w:ascii="宋体" w:hAnsi="宋体" w:cs="宋体"/>
              </w:rPr>
            </w:pPr>
            <w:r>
              <w:rPr>
                <w:rFonts w:hint="eastAsia" w:ascii="宋体" w:hAnsi="宋体" w:cs="宋体"/>
              </w:rPr>
              <w:t>对外投资</w:t>
            </w:r>
          </w:p>
        </w:tc>
        <w:tc>
          <w:tcPr>
            <w:tcW w:w="3286" w:type="pct"/>
          </w:tcPr>
          <w:p w14:paraId="30034130">
            <w:pPr>
              <w:jc w:val="left"/>
              <w:rPr>
                <w:rFonts w:ascii="宋体" w:hAnsi="宋体" w:cs="宋体"/>
              </w:rPr>
            </w:pPr>
            <w:r>
              <w:rPr>
                <w:rFonts w:hint="eastAsia" w:ascii="宋体" w:hAnsi="宋体" w:cs="宋体"/>
              </w:rPr>
              <w:t>向本企业范围以外的其他单位的资金投放。</w:t>
            </w:r>
          </w:p>
          <w:p w14:paraId="0F8AAF6F">
            <w:pPr>
              <w:jc w:val="left"/>
              <w:rPr>
                <w:rFonts w:ascii="宋体" w:hAnsi="宋体" w:cs="宋体"/>
              </w:rPr>
            </w:pPr>
            <w:r>
              <w:rPr>
                <w:rFonts w:hint="eastAsia" w:ascii="宋体" w:hAnsi="宋体" w:cs="宋体"/>
              </w:rPr>
              <w:t>主要是间接投资，也可以是直接投资</w:t>
            </w:r>
          </w:p>
        </w:tc>
      </w:tr>
      <w:tr w14:paraId="6699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0C5E0146">
            <w:pPr>
              <w:jc w:val="left"/>
              <w:rPr>
                <w:rFonts w:ascii="宋体" w:hAnsi="宋体" w:cs="宋体"/>
              </w:rPr>
            </w:pPr>
            <w:r>
              <w:rPr>
                <w:rFonts w:hint="eastAsia" w:ascii="宋体" w:hAnsi="宋体" w:cs="宋体"/>
              </w:rPr>
              <w:t>按投资项目之间的相互关系</w:t>
            </w:r>
          </w:p>
        </w:tc>
        <w:tc>
          <w:tcPr>
            <w:tcW w:w="643" w:type="pct"/>
          </w:tcPr>
          <w:p w14:paraId="4B6B9769">
            <w:pPr>
              <w:jc w:val="left"/>
              <w:rPr>
                <w:rFonts w:ascii="宋体" w:hAnsi="宋体" w:cs="宋体"/>
              </w:rPr>
            </w:pPr>
            <w:r>
              <w:rPr>
                <w:rFonts w:hint="eastAsia" w:ascii="宋体" w:hAnsi="宋体" w:cs="宋体"/>
              </w:rPr>
              <w:t>独立投资</w:t>
            </w:r>
          </w:p>
        </w:tc>
        <w:tc>
          <w:tcPr>
            <w:tcW w:w="3286" w:type="pct"/>
          </w:tcPr>
          <w:p w14:paraId="7AAC1570">
            <w:pPr>
              <w:jc w:val="left"/>
              <w:rPr>
                <w:rFonts w:ascii="宋体" w:hAnsi="宋体" w:cs="宋体"/>
              </w:rPr>
            </w:pPr>
            <w:r>
              <w:rPr>
                <w:rFonts w:hint="eastAsia" w:ascii="宋体" w:hAnsi="宋体" w:cs="宋体"/>
              </w:rPr>
              <w:t>各个投资项目互不关联、互不影响，可以同时并存</w:t>
            </w:r>
          </w:p>
        </w:tc>
      </w:tr>
      <w:tr w14:paraId="5788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4D09C3AB">
            <w:pPr>
              <w:overflowPunct w:val="0"/>
              <w:jc w:val="left"/>
              <w:rPr>
                <w:rFonts w:ascii="宋体" w:hAnsi="宋体" w:cs="宋体"/>
              </w:rPr>
            </w:pPr>
          </w:p>
        </w:tc>
        <w:tc>
          <w:tcPr>
            <w:tcW w:w="643" w:type="pct"/>
          </w:tcPr>
          <w:p w14:paraId="602B9338">
            <w:pPr>
              <w:jc w:val="left"/>
              <w:rPr>
                <w:rFonts w:ascii="宋体" w:hAnsi="宋体" w:cs="宋体"/>
              </w:rPr>
            </w:pPr>
            <w:r>
              <w:rPr>
                <w:rFonts w:hint="eastAsia" w:ascii="宋体" w:hAnsi="宋体" w:cs="宋体"/>
              </w:rPr>
              <w:t>互斥投资</w:t>
            </w:r>
          </w:p>
        </w:tc>
        <w:tc>
          <w:tcPr>
            <w:tcW w:w="3286" w:type="pct"/>
          </w:tcPr>
          <w:p w14:paraId="3561129F">
            <w:pPr>
              <w:jc w:val="left"/>
              <w:rPr>
                <w:rFonts w:ascii="宋体" w:hAnsi="宋体" w:cs="宋体"/>
              </w:rPr>
            </w:pPr>
            <w:r>
              <w:rPr>
                <w:rFonts w:hint="eastAsia" w:ascii="宋体" w:hAnsi="宋体" w:cs="宋体"/>
              </w:rPr>
              <w:t>非相容性投资，各个投资项目之间相互关联、相互替代，不能同时并存</w:t>
            </w:r>
          </w:p>
        </w:tc>
      </w:tr>
    </w:tbl>
    <w:p w14:paraId="322B82B6">
      <w:pPr>
        <w:overflowPunct w:val="0"/>
        <w:jc w:val="left"/>
        <w:rPr>
          <w:rFonts w:ascii="宋体" w:hAnsi="宋体" w:cs="宋体"/>
        </w:rPr>
      </w:pPr>
    </w:p>
    <w:p w14:paraId="08A5B876">
      <w:pPr>
        <w:jc w:val="center"/>
        <w:rPr>
          <w:rFonts w:ascii="宋体" w:hAnsi="宋体" w:cs="宋体"/>
          <w:b/>
          <w:bCs/>
        </w:rPr>
      </w:pPr>
      <w:r>
        <w:rPr>
          <w:rFonts w:hint="eastAsia" w:ascii="宋体" w:hAnsi="宋体" w:cs="宋体"/>
          <w:b/>
          <w:bCs/>
        </w:rPr>
        <w:t>第二节 投资项目财务评价指标</w:t>
      </w:r>
    </w:p>
    <w:p w14:paraId="5A307215">
      <w:pPr>
        <w:jc w:val="left"/>
        <w:rPr>
          <w:rFonts w:ascii="宋体" w:hAnsi="宋体" w:cs="宋体"/>
          <w:color w:val="FF0000"/>
        </w:rPr>
      </w:pPr>
      <w:r>
        <w:rPr>
          <w:rFonts w:hint="eastAsia" w:ascii="宋体" w:hAnsi="宋体" w:cs="宋体"/>
          <w:color w:val="FF0000"/>
        </w:rPr>
        <w:t>【知识点1】项目现金流量</w:t>
      </w:r>
    </w:p>
    <w:p w14:paraId="65E5FB43">
      <w:pPr>
        <w:jc w:val="left"/>
        <w:rPr>
          <w:rFonts w:ascii="宋体" w:hAnsi="宋体" w:cs="宋体"/>
        </w:rPr>
      </w:pPr>
      <w:r>
        <w:rPr>
          <w:rFonts w:hint="eastAsia" w:ascii="宋体" w:hAnsi="宋体" w:cs="宋体"/>
        </w:rPr>
        <w:t>现金净流量NCF=现金流入量-现金流出量</w:t>
      </w:r>
    </w:p>
    <w:p w14:paraId="25F6481F">
      <w:pPr>
        <w:jc w:val="left"/>
        <w:rPr>
          <w:rFonts w:ascii="宋体" w:hAnsi="宋体" w:cs="宋体"/>
        </w:rPr>
      </w:pPr>
      <w:r>
        <w:rPr>
          <w:rFonts w:ascii="宋体" w:hAnsi="宋体" w:cs="宋体"/>
        </w:rPr>
        <w:drawing>
          <wp:inline distT="0" distB="0" distL="0" distR="0">
            <wp:extent cx="3584575" cy="538480"/>
            <wp:effectExtent l="0" t="0" r="15875" b="14605"/>
            <wp:docPr id="1497119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9771" name="图片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1693" cy="553080"/>
                    </a:xfrm>
                    <a:prstGeom prst="rect">
                      <a:avLst/>
                    </a:prstGeom>
                  </pic:spPr>
                </pic:pic>
              </a:graphicData>
            </a:graphic>
          </wp:inline>
        </w:drawing>
      </w:r>
    </w:p>
    <w:p w14:paraId="104B4B9C">
      <w:pPr>
        <w:jc w:val="left"/>
        <w:rPr>
          <w:rFonts w:ascii="宋体" w:hAnsi="宋体" w:cs="宋体"/>
          <w:color w:val="FF0000"/>
        </w:rPr>
      </w:pPr>
      <w:r>
        <w:rPr>
          <w:rFonts w:hint="eastAsia" w:ascii="宋体" w:hAnsi="宋体" w:cs="宋体"/>
          <w:color w:val="FF0000"/>
        </w:rPr>
        <w:t>（一）投资期</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400"/>
      </w:tblGrid>
      <w:tr w14:paraId="0B4A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6BA9B7D7">
            <w:pPr>
              <w:jc w:val="left"/>
              <w:rPr>
                <w:rFonts w:ascii="宋体" w:hAnsi="宋体" w:cs="宋体"/>
              </w:rPr>
            </w:pPr>
            <w:r>
              <w:rPr>
                <w:rFonts w:hint="eastAsia" w:ascii="宋体" w:hAnsi="宋体" w:cs="宋体"/>
              </w:rPr>
              <w:t>长期资产投资</w:t>
            </w:r>
          </w:p>
        </w:tc>
        <w:tc>
          <w:tcPr>
            <w:tcW w:w="4144" w:type="pct"/>
          </w:tcPr>
          <w:p w14:paraId="38305CBF">
            <w:pPr>
              <w:jc w:val="left"/>
              <w:rPr>
                <w:rFonts w:ascii="宋体" w:hAnsi="宋体" w:cs="宋体"/>
              </w:rPr>
            </w:pPr>
            <w:r>
              <w:rPr>
                <w:rFonts w:hint="eastAsia" w:ascii="宋体" w:hAnsi="宋体" w:cs="宋体"/>
              </w:rPr>
              <w:t>购置成本、运输费、安装费等。</w:t>
            </w:r>
          </w:p>
        </w:tc>
      </w:tr>
      <w:tr w14:paraId="60E3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03EE1D3D">
            <w:pPr>
              <w:jc w:val="left"/>
              <w:rPr>
                <w:rFonts w:ascii="宋体" w:hAnsi="宋体" w:cs="宋体"/>
              </w:rPr>
            </w:pPr>
            <w:r>
              <w:rPr>
                <w:rFonts w:hint="eastAsia" w:ascii="宋体" w:hAnsi="宋体" w:cs="宋体"/>
              </w:rPr>
              <w:t>营运资金垫支</w:t>
            </w:r>
          </w:p>
        </w:tc>
        <w:tc>
          <w:tcPr>
            <w:tcW w:w="4144" w:type="pct"/>
          </w:tcPr>
          <w:p w14:paraId="0B2ECB56">
            <w:pPr>
              <w:jc w:val="left"/>
              <w:rPr>
                <w:rFonts w:ascii="宋体" w:hAnsi="宋体" w:cs="宋体"/>
              </w:rPr>
            </w:pPr>
            <w:r>
              <w:rPr>
                <w:rFonts w:hint="eastAsia" w:ascii="宋体" w:hAnsi="宋体" w:cs="宋体"/>
              </w:rPr>
              <w:t>追加的流动资产扩大量与结算性流动负债扩大量的净差额，但在终结期应于收回。</w:t>
            </w:r>
          </w:p>
        </w:tc>
      </w:tr>
    </w:tbl>
    <w:p w14:paraId="764228CF">
      <w:pPr>
        <w:jc w:val="left"/>
        <w:rPr>
          <w:rFonts w:ascii="宋体" w:hAnsi="宋体" w:cs="宋体"/>
          <w:color w:val="FF0000"/>
        </w:rPr>
      </w:pPr>
      <w:r>
        <w:rPr>
          <w:rFonts w:hint="eastAsia" w:ascii="宋体" w:hAnsi="宋体" w:cs="宋体"/>
          <w:color w:val="FF0000"/>
        </w:rPr>
        <w:t>（二）营业期</w:t>
      </w:r>
    </w:p>
    <w:p w14:paraId="34BC6825">
      <w:pPr>
        <w:jc w:val="left"/>
        <w:rPr>
          <w:rFonts w:ascii="宋体" w:hAnsi="宋体" w:cs="宋体"/>
        </w:rPr>
      </w:pPr>
      <w:r>
        <w:rPr>
          <w:rFonts w:hint="eastAsia" w:ascii="宋体" w:hAnsi="宋体" w:cs="宋体"/>
        </w:rPr>
        <w:t>营业阶段的项目投资主要现金流量包括：营业收入；付现营运成本；非付现成本抵税；大修理支出；所得税。</w:t>
      </w:r>
    </w:p>
    <w:p w14:paraId="4D03B4D2">
      <w:pPr>
        <w:jc w:val="left"/>
        <w:rPr>
          <w:rFonts w:ascii="宋体" w:hAnsi="宋体" w:cs="宋体"/>
        </w:rPr>
      </w:pPr>
      <w:r>
        <w:rPr>
          <w:rFonts w:hint="eastAsia" w:ascii="宋体" w:hAnsi="宋体" w:cs="宋体"/>
        </w:rPr>
        <w:t>营业现金净流量＝营业收入－付现成本－所得税</w:t>
      </w:r>
    </w:p>
    <w:p w14:paraId="1B48F90D">
      <w:pPr>
        <w:jc w:val="left"/>
        <w:rPr>
          <w:rFonts w:ascii="宋体" w:hAnsi="宋体" w:cs="宋体"/>
        </w:rPr>
      </w:pPr>
      <w:r>
        <w:rPr>
          <w:rFonts w:hint="eastAsia" w:ascii="宋体" w:hAnsi="宋体" w:cs="宋体"/>
        </w:rPr>
        <w:t xml:space="preserve">              ＝税后营业利润＋非付现成本</w:t>
      </w:r>
    </w:p>
    <w:p w14:paraId="5CE3E15E">
      <w:pPr>
        <w:jc w:val="left"/>
        <w:rPr>
          <w:rFonts w:ascii="宋体" w:hAnsi="宋体" w:cs="宋体"/>
        </w:rPr>
      </w:pPr>
      <w:r>
        <w:rPr>
          <w:rFonts w:hint="eastAsia" w:ascii="宋体" w:hAnsi="宋体" w:cs="宋体"/>
        </w:rPr>
        <w:t xml:space="preserve">              ＝（营业收入－付现成本－非付现成本）×（1－税率）＋非付现成本</w:t>
      </w:r>
    </w:p>
    <w:p w14:paraId="63773CFD">
      <w:pPr>
        <w:jc w:val="left"/>
        <w:rPr>
          <w:rFonts w:ascii="宋体" w:hAnsi="宋体" w:cs="宋体"/>
        </w:rPr>
      </w:pPr>
      <w:r>
        <w:rPr>
          <w:rFonts w:hint="eastAsia" w:ascii="宋体" w:hAnsi="宋体" w:cs="宋体"/>
        </w:rPr>
        <w:t>　　          ＝营业收入×（1－税率）－付现成本×（1－税率）＋非付现成本×税率</w:t>
      </w:r>
    </w:p>
    <w:p w14:paraId="33458A57">
      <w:pPr>
        <w:jc w:val="left"/>
        <w:rPr>
          <w:rFonts w:ascii="宋体" w:hAnsi="宋体" w:cs="宋体"/>
          <w:color w:val="FF0000"/>
        </w:rPr>
      </w:pPr>
      <w:r>
        <w:rPr>
          <w:rFonts w:hint="eastAsia" w:ascii="宋体" w:hAnsi="宋体" w:cs="宋体"/>
          <w:color w:val="FF0000"/>
        </w:rPr>
        <w:t>（三）终结期</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7964"/>
      </w:tblGrid>
      <w:tr w14:paraId="28EF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610C131E">
            <w:pPr>
              <w:jc w:val="left"/>
              <w:rPr>
                <w:rFonts w:ascii="宋体" w:hAnsi="宋体" w:cs="宋体"/>
              </w:rPr>
            </w:pPr>
            <w:r>
              <w:rPr>
                <w:rFonts w:hint="eastAsia" w:ascii="宋体" w:hAnsi="宋体" w:cs="宋体"/>
              </w:rPr>
              <w:t>处置固定资产残值</w:t>
            </w:r>
          </w:p>
        </w:tc>
        <w:tc>
          <w:tcPr>
            <w:tcW w:w="3929" w:type="pct"/>
          </w:tcPr>
          <w:p w14:paraId="395A1027">
            <w:pPr>
              <w:jc w:val="left"/>
              <w:rPr>
                <w:rFonts w:ascii="宋体" w:hAnsi="宋体" w:cs="宋体"/>
              </w:rPr>
            </w:pPr>
            <w:r>
              <w:rPr>
                <w:rFonts w:hint="eastAsia" w:ascii="宋体" w:hAnsi="宋体" w:cs="宋体"/>
              </w:rPr>
              <w:t>残值收入</w:t>
            </w:r>
          </w:p>
        </w:tc>
      </w:tr>
      <w:tr w14:paraId="79E1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39640AD0">
            <w:pPr>
              <w:jc w:val="left"/>
              <w:rPr>
                <w:rFonts w:ascii="宋体" w:hAnsi="宋体" w:cs="宋体"/>
              </w:rPr>
            </w:pPr>
            <w:r>
              <w:rPr>
                <w:rFonts w:hint="eastAsia" w:ascii="宋体" w:hAnsi="宋体" w:cs="宋体"/>
              </w:rPr>
              <w:t>固定资产变现净损益对现金流量的影响</w:t>
            </w:r>
          </w:p>
        </w:tc>
        <w:tc>
          <w:tcPr>
            <w:tcW w:w="3929" w:type="pct"/>
          </w:tcPr>
          <w:p w14:paraId="318BCA12">
            <w:pPr>
              <w:jc w:val="left"/>
              <w:rPr>
                <w:rFonts w:ascii="宋体" w:hAnsi="宋体" w:cs="宋体"/>
              </w:rPr>
            </w:pPr>
            <w:r>
              <w:rPr>
                <w:rFonts w:hint="eastAsia" w:ascii="宋体" w:hAnsi="宋体" w:cs="宋体"/>
              </w:rPr>
              <w:t>1.变价净收入＞账面价值（成本），则：</w:t>
            </w:r>
            <w:r>
              <w:rPr>
                <w:rFonts w:hint="eastAsia" w:ascii="宋体" w:hAnsi="宋体" w:cs="宋体"/>
              </w:rPr>
              <w:br w:type="textWrapping"/>
            </w:r>
            <w:r>
              <w:rPr>
                <w:rFonts w:hint="eastAsia" w:ascii="宋体" w:hAnsi="宋体" w:cs="宋体"/>
              </w:rPr>
              <w:t>变现利得纳税额＝（变价净收入－账面价值）×税率</w:t>
            </w:r>
            <w:r>
              <w:rPr>
                <w:rFonts w:hint="eastAsia" w:ascii="宋体" w:hAnsi="宋体" w:cs="宋体"/>
              </w:rPr>
              <w:br w:type="textWrapping"/>
            </w:r>
            <w:r>
              <w:rPr>
                <w:rFonts w:hint="eastAsia" w:ascii="宋体" w:hAnsi="宋体" w:cs="宋体"/>
              </w:rPr>
              <w:t>2.变价净收入＜账面价值（成本），则：</w:t>
            </w:r>
            <w:r>
              <w:rPr>
                <w:rFonts w:hint="eastAsia" w:ascii="宋体" w:hAnsi="宋体" w:cs="宋体"/>
              </w:rPr>
              <w:br w:type="textWrapping"/>
            </w:r>
            <w:r>
              <w:rPr>
                <w:rFonts w:hint="eastAsia" w:ascii="宋体" w:hAnsi="宋体" w:cs="宋体"/>
              </w:rPr>
              <w:t>变现损失抵税额＝（账面价值－变价净收入）×税率</w:t>
            </w:r>
          </w:p>
        </w:tc>
      </w:tr>
      <w:tr w14:paraId="19E6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2B7A1B0E">
            <w:pPr>
              <w:jc w:val="left"/>
              <w:rPr>
                <w:rFonts w:ascii="宋体" w:hAnsi="宋体" w:cs="宋体"/>
              </w:rPr>
            </w:pPr>
            <w:r>
              <w:rPr>
                <w:rFonts w:hint="eastAsia" w:ascii="宋体" w:hAnsi="宋体" w:cs="宋体"/>
              </w:rPr>
              <w:t>垫支营运资金收回</w:t>
            </w:r>
          </w:p>
        </w:tc>
        <w:tc>
          <w:tcPr>
            <w:tcW w:w="3929" w:type="pct"/>
          </w:tcPr>
          <w:p w14:paraId="69D9DE9D">
            <w:pPr>
              <w:jc w:val="left"/>
              <w:rPr>
                <w:rFonts w:ascii="宋体" w:hAnsi="宋体" w:cs="宋体"/>
              </w:rPr>
            </w:pPr>
            <w:r>
              <w:rPr>
                <w:rFonts w:hint="eastAsia" w:ascii="宋体" w:hAnsi="宋体" w:cs="宋体"/>
              </w:rPr>
              <w:t>期初垫支资金，期末收回</w:t>
            </w:r>
          </w:p>
        </w:tc>
      </w:tr>
    </w:tbl>
    <w:p w14:paraId="51166D52">
      <w:pPr>
        <w:jc w:val="left"/>
        <w:rPr>
          <w:rFonts w:ascii="宋体" w:hAnsi="宋体" w:cs="宋体"/>
        </w:rPr>
      </w:pPr>
      <w:r>
        <w:rPr>
          <w:rFonts w:hint="eastAsia" w:ascii="宋体" w:hAnsi="宋体" w:cs="宋体"/>
        </w:rPr>
        <w:t>其中：账面价值＝固定资产原值－年折旧额×已计提折旧的年限</w:t>
      </w:r>
    </w:p>
    <w:p w14:paraId="6B2FCBCC">
      <w:pPr>
        <w:jc w:val="left"/>
        <w:rPr>
          <w:rFonts w:ascii="宋体" w:hAnsi="宋体" w:cs="宋体"/>
          <w:color w:val="FF0000"/>
        </w:rPr>
      </w:pPr>
      <w:r>
        <w:rPr>
          <w:rFonts w:hint="eastAsia" w:ascii="宋体" w:hAnsi="宋体" w:cs="宋体"/>
          <w:color w:val="FF0000"/>
        </w:rPr>
        <w:t>【知识点2】投资项目财务评价指标——净现值</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836"/>
      </w:tblGrid>
      <w:tr w14:paraId="40B3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7BB33611">
            <w:pPr>
              <w:jc w:val="left"/>
              <w:rPr>
                <w:rFonts w:ascii="宋体" w:hAnsi="宋体" w:cs="宋体"/>
              </w:rPr>
            </w:pPr>
            <w:r>
              <w:rPr>
                <w:rFonts w:hint="eastAsia" w:ascii="宋体" w:hAnsi="宋体" w:cs="宋体"/>
              </w:rPr>
              <w:t>公式</w:t>
            </w:r>
          </w:p>
        </w:tc>
        <w:tc>
          <w:tcPr>
            <w:tcW w:w="4359" w:type="pct"/>
          </w:tcPr>
          <w:p w14:paraId="3239A3DD">
            <w:pPr>
              <w:jc w:val="left"/>
              <w:rPr>
                <w:rFonts w:ascii="宋体" w:hAnsi="宋体" w:cs="宋体"/>
              </w:rPr>
            </w:pPr>
            <w:r>
              <w:rPr>
                <w:rFonts w:hint="eastAsia" w:ascii="宋体" w:hAnsi="宋体" w:cs="宋体"/>
              </w:rPr>
              <w:t>未来现金净流量现值－原始投资额现值 现金净流量总现值</w:t>
            </w:r>
          </w:p>
        </w:tc>
      </w:tr>
      <w:tr w14:paraId="06A6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E47A457">
            <w:pPr>
              <w:jc w:val="left"/>
              <w:rPr>
                <w:rFonts w:ascii="宋体" w:hAnsi="宋体" w:cs="宋体"/>
              </w:rPr>
            </w:pPr>
            <w:r>
              <w:rPr>
                <w:rFonts w:hint="eastAsia" w:ascii="宋体" w:hAnsi="宋体" w:cs="宋体"/>
              </w:rPr>
              <w:t>决策方法</w:t>
            </w:r>
          </w:p>
        </w:tc>
        <w:tc>
          <w:tcPr>
            <w:tcW w:w="4359" w:type="pct"/>
          </w:tcPr>
          <w:p w14:paraId="3DFBF9D6">
            <w:pPr>
              <w:jc w:val="left"/>
              <w:rPr>
                <w:rFonts w:ascii="宋体" w:hAnsi="宋体" w:cs="宋体"/>
              </w:rPr>
            </w:pPr>
            <w:r>
              <w:rPr>
                <w:rFonts w:hint="eastAsia" w:ascii="宋体" w:hAnsi="宋体" w:cs="宋体"/>
              </w:rPr>
              <w:t>如果净现值＞0，表明投资项目报酬率＞资本成本，可以增加股东财富，应予以采纳。</w:t>
            </w:r>
          </w:p>
          <w:p w14:paraId="03C72873">
            <w:pPr>
              <w:jc w:val="left"/>
              <w:rPr>
                <w:rFonts w:ascii="宋体" w:hAnsi="宋体" w:cs="宋体"/>
              </w:rPr>
            </w:pPr>
            <w:r>
              <w:rPr>
                <w:rFonts w:hint="eastAsia" w:ascii="宋体" w:hAnsi="宋体" w:cs="宋体"/>
              </w:rPr>
              <w:t>如果净现值＜0，表明投资项目报酬率＜资本成本，不能增加股东财富，应予以放弃。</w:t>
            </w:r>
          </w:p>
          <w:p w14:paraId="2A55B07B">
            <w:pPr>
              <w:jc w:val="left"/>
              <w:rPr>
                <w:rFonts w:ascii="宋体" w:hAnsi="宋体" w:cs="宋体"/>
              </w:rPr>
            </w:pPr>
            <w:r>
              <w:rPr>
                <w:rFonts w:hint="eastAsia" w:ascii="宋体" w:hAnsi="宋体" w:cs="宋体"/>
              </w:rPr>
              <w:t>当净现值=0时，方案也可行</w:t>
            </w:r>
          </w:p>
        </w:tc>
      </w:tr>
      <w:tr w14:paraId="132C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9D2505B">
            <w:pPr>
              <w:jc w:val="left"/>
              <w:rPr>
                <w:rFonts w:ascii="宋体" w:hAnsi="宋体" w:cs="宋体"/>
              </w:rPr>
            </w:pPr>
            <w:r>
              <w:rPr>
                <w:rFonts w:hint="eastAsia" w:ascii="宋体" w:hAnsi="宋体" w:cs="宋体"/>
              </w:rPr>
              <w:t>优点</w:t>
            </w:r>
          </w:p>
        </w:tc>
        <w:tc>
          <w:tcPr>
            <w:tcW w:w="4359" w:type="pct"/>
          </w:tcPr>
          <w:p w14:paraId="6CA2BE97">
            <w:pPr>
              <w:jc w:val="left"/>
              <w:rPr>
                <w:rFonts w:ascii="宋体" w:hAnsi="宋体" w:cs="宋体"/>
              </w:rPr>
            </w:pPr>
            <w:r>
              <w:rPr>
                <w:rFonts w:hint="eastAsia" w:ascii="宋体" w:hAnsi="宋体" w:cs="宋体"/>
              </w:rPr>
              <w:t>适用性强；能灵活地考虑投资风险</w:t>
            </w:r>
          </w:p>
        </w:tc>
      </w:tr>
      <w:tr w14:paraId="786D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307CC4B">
            <w:pPr>
              <w:jc w:val="left"/>
              <w:rPr>
                <w:rFonts w:ascii="宋体" w:hAnsi="宋体" w:cs="宋体"/>
              </w:rPr>
            </w:pPr>
            <w:r>
              <w:rPr>
                <w:rFonts w:hint="eastAsia" w:ascii="宋体" w:hAnsi="宋体" w:cs="宋体"/>
              </w:rPr>
              <w:t>缺点</w:t>
            </w:r>
          </w:p>
        </w:tc>
        <w:tc>
          <w:tcPr>
            <w:tcW w:w="4359" w:type="pct"/>
          </w:tcPr>
          <w:p w14:paraId="55D62F2D">
            <w:pPr>
              <w:jc w:val="left"/>
              <w:rPr>
                <w:rFonts w:ascii="宋体" w:hAnsi="宋体" w:cs="宋体"/>
              </w:rPr>
            </w:pPr>
            <w:r>
              <w:rPr>
                <w:rFonts w:hint="eastAsia" w:ascii="宋体" w:hAnsi="宋体" w:cs="宋体"/>
              </w:rPr>
              <w:t>贴现率不易确定；不适用于独立投资方案的比较决策；有时也不能对寿命期不同的互斥投资方案进行直接决策</w:t>
            </w:r>
          </w:p>
        </w:tc>
      </w:tr>
    </w:tbl>
    <w:p w14:paraId="5F92D354">
      <w:pPr>
        <w:jc w:val="left"/>
        <w:rPr>
          <w:rFonts w:ascii="宋体" w:hAnsi="宋体" w:cs="宋体"/>
          <w:color w:val="FF0000"/>
        </w:rPr>
      </w:pPr>
      <w:r>
        <w:rPr>
          <w:rFonts w:hint="eastAsia" w:ascii="宋体" w:hAnsi="宋体" w:cs="宋体"/>
          <w:color w:val="FF0000"/>
        </w:rPr>
        <w:t>【知识点3】年金净流量</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836"/>
      </w:tblGrid>
      <w:tr w14:paraId="3B19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0098878">
            <w:pPr>
              <w:jc w:val="left"/>
              <w:rPr>
                <w:rFonts w:ascii="宋体" w:hAnsi="宋体" w:cs="宋体"/>
              </w:rPr>
            </w:pPr>
            <w:r>
              <w:rPr>
                <w:rFonts w:hint="eastAsia" w:ascii="宋体" w:hAnsi="宋体" w:cs="宋体"/>
              </w:rPr>
              <w:t>计算公式</w:t>
            </w:r>
          </w:p>
        </w:tc>
        <w:tc>
          <w:tcPr>
            <w:tcW w:w="4359" w:type="pct"/>
          </w:tcPr>
          <w:p w14:paraId="7FA90ABE">
            <w:pPr>
              <w:jc w:val="left"/>
              <w:rPr>
                <w:rFonts w:ascii="宋体" w:hAnsi="宋体" w:cs="宋体"/>
              </w:rPr>
            </w:pPr>
            <w:r>
              <w:rPr>
                <w:rFonts w:hint="eastAsia" w:ascii="宋体" w:hAnsi="宋体" w:cs="宋体"/>
              </w:rPr>
              <w:t>年金净流量=现金净流量总现值/年金现值系数</w:t>
            </w:r>
          </w:p>
        </w:tc>
      </w:tr>
      <w:tr w14:paraId="604F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27A09AE">
            <w:pPr>
              <w:jc w:val="left"/>
              <w:rPr>
                <w:rFonts w:ascii="宋体" w:hAnsi="宋体" w:cs="宋体"/>
              </w:rPr>
            </w:pPr>
            <w:r>
              <w:rPr>
                <w:rFonts w:hint="eastAsia" w:ascii="宋体" w:hAnsi="宋体" w:cs="宋体"/>
              </w:rPr>
              <w:t>本质</w:t>
            </w:r>
          </w:p>
        </w:tc>
        <w:tc>
          <w:tcPr>
            <w:tcW w:w="4359" w:type="pct"/>
          </w:tcPr>
          <w:p w14:paraId="2D743943">
            <w:pPr>
              <w:jc w:val="left"/>
              <w:rPr>
                <w:rFonts w:ascii="宋体" w:hAnsi="宋体" w:cs="宋体"/>
              </w:rPr>
            </w:pPr>
            <w:r>
              <w:rPr>
                <w:rFonts w:hint="eastAsia" w:ascii="宋体" w:hAnsi="宋体" w:cs="宋体"/>
              </w:rPr>
              <w:t>各年现金流量中的超额投资报酬额</w:t>
            </w:r>
          </w:p>
        </w:tc>
      </w:tr>
      <w:tr w14:paraId="60C2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512874E">
            <w:pPr>
              <w:jc w:val="left"/>
              <w:rPr>
                <w:rFonts w:ascii="宋体" w:hAnsi="宋体" w:cs="宋体"/>
              </w:rPr>
            </w:pPr>
            <w:r>
              <w:rPr>
                <w:rFonts w:hint="eastAsia" w:ascii="宋体" w:hAnsi="宋体" w:cs="宋体"/>
              </w:rPr>
              <w:t>决策方法</w:t>
            </w:r>
          </w:p>
        </w:tc>
        <w:tc>
          <w:tcPr>
            <w:tcW w:w="4359" w:type="pct"/>
          </w:tcPr>
          <w:p w14:paraId="2E120712">
            <w:pPr>
              <w:jc w:val="left"/>
              <w:rPr>
                <w:rFonts w:ascii="宋体" w:hAnsi="宋体" w:cs="宋体"/>
              </w:rPr>
            </w:pPr>
            <w:r>
              <w:rPr>
                <w:rFonts w:hint="eastAsia" w:ascii="宋体" w:hAnsi="宋体" w:cs="宋体"/>
              </w:rPr>
              <w:t>年金净流量&gt;0，方案可行，表明净现值&gt;0、预期收益率&gt;必要收益率</w:t>
            </w:r>
            <w:r>
              <w:rPr>
                <w:rFonts w:hint="eastAsia" w:ascii="宋体" w:hAnsi="宋体" w:cs="宋体"/>
              </w:rPr>
              <w:br w:type="textWrapping"/>
            </w:r>
            <w:r>
              <w:rPr>
                <w:rFonts w:hint="eastAsia" w:ascii="宋体" w:hAnsi="宋体" w:cs="宋体"/>
              </w:rPr>
              <w:t>寿命期不同的投资方案比较时，年金净流量越大，方案越好</w:t>
            </w:r>
          </w:p>
        </w:tc>
      </w:tr>
    </w:tbl>
    <w:p w14:paraId="283EFB23">
      <w:pPr>
        <w:jc w:val="left"/>
        <w:rPr>
          <w:rFonts w:hint="eastAsia" w:ascii="宋体" w:hAnsi="宋体" w:cs="宋体"/>
          <w:color w:val="FF0000"/>
        </w:rPr>
      </w:pPr>
      <w:r>
        <w:rPr>
          <w:rFonts w:hint="eastAsia" w:ascii="宋体" w:hAnsi="宋体" w:cs="宋体"/>
          <w:color w:val="FF0000"/>
        </w:rPr>
        <w:t>【知识点4】现值指数</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836"/>
      </w:tblGrid>
      <w:tr w14:paraId="772A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85BDB13">
            <w:pPr>
              <w:jc w:val="left"/>
              <w:rPr>
                <w:rFonts w:ascii="宋体" w:hAnsi="宋体" w:cs="宋体"/>
              </w:rPr>
            </w:pPr>
            <w:r>
              <w:rPr>
                <w:rFonts w:hint="eastAsia" w:ascii="宋体" w:hAnsi="宋体" w:cs="宋体"/>
              </w:rPr>
              <w:t>计算公式</w:t>
            </w:r>
          </w:p>
        </w:tc>
        <w:tc>
          <w:tcPr>
            <w:tcW w:w="4359" w:type="pct"/>
          </w:tcPr>
          <w:p w14:paraId="3E5D5E62">
            <w:pPr>
              <w:jc w:val="left"/>
              <w:rPr>
                <w:rFonts w:ascii="宋体" w:hAnsi="宋体" w:cs="宋体"/>
              </w:rPr>
            </w:pPr>
            <w:r>
              <w:rPr>
                <w:rFonts w:hint="eastAsia" w:ascii="宋体" w:hAnsi="宋体" w:cs="宋体"/>
              </w:rPr>
              <w:t>未来现金净流量现值/原始投资额现值</w:t>
            </w:r>
          </w:p>
        </w:tc>
      </w:tr>
      <w:tr w14:paraId="32ED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D6957B0">
            <w:pPr>
              <w:jc w:val="left"/>
              <w:rPr>
                <w:rFonts w:ascii="宋体" w:hAnsi="宋体" w:cs="宋体"/>
              </w:rPr>
            </w:pPr>
            <w:r>
              <w:rPr>
                <w:rFonts w:hint="eastAsia" w:ascii="宋体" w:hAnsi="宋体" w:cs="宋体"/>
              </w:rPr>
              <w:t>决策方法</w:t>
            </w:r>
          </w:p>
        </w:tc>
        <w:tc>
          <w:tcPr>
            <w:tcW w:w="4359" w:type="pct"/>
          </w:tcPr>
          <w:p w14:paraId="6DF8DA99">
            <w:pPr>
              <w:jc w:val="left"/>
              <w:rPr>
                <w:rFonts w:ascii="宋体" w:hAnsi="宋体" w:cs="宋体"/>
              </w:rPr>
            </w:pPr>
            <w:r>
              <w:rPr>
                <w:rFonts w:hint="eastAsia" w:ascii="宋体" w:hAnsi="宋体" w:cs="宋体"/>
              </w:rPr>
              <w:t>若现值指数＞1，应予以采纳该方案；若现值指数＜1，该方案应放弃。</w:t>
            </w:r>
          </w:p>
          <w:p w14:paraId="06C88973">
            <w:pPr>
              <w:jc w:val="left"/>
              <w:rPr>
                <w:rFonts w:ascii="宋体" w:hAnsi="宋体" w:cs="宋体"/>
              </w:rPr>
            </w:pPr>
            <w:r>
              <w:rPr>
                <w:rFonts w:hint="eastAsia" w:ascii="宋体" w:hAnsi="宋体" w:cs="宋体"/>
              </w:rPr>
              <w:t>现值指数越大，方案越好</w:t>
            </w:r>
          </w:p>
        </w:tc>
      </w:tr>
    </w:tbl>
    <w:p w14:paraId="40D26009">
      <w:pPr>
        <w:jc w:val="left"/>
        <w:rPr>
          <w:rFonts w:ascii="宋体" w:hAnsi="宋体" w:cs="宋体"/>
          <w:color w:val="FF0000"/>
        </w:rPr>
      </w:pPr>
      <w:r>
        <w:rPr>
          <w:rFonts w:hint="eastAsia" w:ascii="宋体" w:hAnsi="宋体" w:cs="宋体"/>
          <w:color w:val="FF0000"/>
        </w:rPr>
        <w:t>【知识点5】内含收益率</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980"/>
      </w:tblGrid>
      <w:tr w14:paraId="4A4F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76549DF1">
            <w:pPr>
              <w:jc w:val="left"/>
              <w:rPr>
                <w:rFonts w:ascii="宋体" w:hAnsi="宋体" w:cs="宋体"/>
              </w:rPr>
            </w:pPr>
            <w:r>
              <w:rPr>
                <w:rFonts w:hint="eastAsia" w:ascii="宋体" w:hAnsi="宋体" w:cs="宋体"/>
              </w:rPr>
              <w:t>定义</w:t>
            </w:r>
          </w:p>
        </w:tc>
        <w:tc>
          <w:tcPr>
            <w:tcW w:w="4430" w:type="pct"/>
          </w:tcPr>
          <w:p w14:paraId="5081DA58">
            <w:pPr>
              <w:jc w:val="left"/>
              <w:rPr>
                <w:rFonts w:ascii="宋体" w:hAnsi="宋体" w:cs="宋体"/>
              </w:rPr>
            </w:pPr>
            <w:r>
              <w:rPr>
                <w:rFonts w:hint="eastAsia" w:ascii="宋体" w:hAnsi="宋体" w:cs="宋体"/>
              </w:rPr>
              <w:t>内含收益率是指能够使未来现金流量现值等于原始投资额现值的折现率。</w:t>
            </w:r>
          </w:p>
        </w:tc>
      </w:tr>
      <w:tr w14:paraId="4DE5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1365D209">
            <w:pPr>
              <w:jc w:val="left"/>
              <w:rPr>
                <w:rFonts w:ascii="宋体" w:hAnsi="宋体" w:cs="宋体"/>
              </w:rPr>
            </w:pPr>
            <w:r>
              <w:rPr>
                <w:rFonts w:hint="eastAsia" w:ascii="宋体" w:hAnsi="宋体" w:cs="宋体"/>
              </w:rPr>
              <w:t>公式</w:t>
            </w:r>
          </w:p>
        </w:tc>
        <w:tc>
          <w:tcPr>
            <w:tcW w:w="4430" w:type="pct"/>
          </w:tcPr>
          <w:p w14:paraId="2B1E8B91">
            <w:pPr>
              <w:jc w:val="left"/>
              <w:rPr>
                <w:rFonts w:ascii="宋体" w:hAnsi="宋体" w:cs="宋体"/>
              </w:rPr>
            </w:pPr>
            <w:r>
              <w:rPr>
                <w:rFonts w:hint="eastAsia" w:ascii="宋体" w:hAnsi="宋体" w:cs="宋体"/>
              </w:rPr>
              <w:t>当净现值=0时，即当未来现金净流量现值=原始投资额现值，求解需用内插法</w:t>
            </w:r>
          </w:p>
        </w:tc>
      </w:tr>
      <w:tr w14:paraId="1A72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5D63DED4">
            <w:pPr>
              <w:jc w:val="left"/>
              <w:rPr>
                <w:rFonts w:ascii="宋体" w:hAnsi="宋体" w:cs="宋体"/>
              </w:rPr>
            </w:pPr>
            <w:r>
              <w:rPr>
                <w:rFonts w:hint="eastAsia" w:ascii="宋体" w:hAnsi="宋体" w:cs="宋体"/>
              </w:rPr>
              <w:t>决策方法</w:t>
            </w:r>
          </w:p>
        </w:tc>
        <w:tc>
          <w:tcPr>
            <w:tcW w:w="4430" w:type="pct"/>
          </w:tcPr>
          <w:p w14:paraId="1C8E0522">
            <w:pPr>
              <w:jc w:val="left"/>
              <w:rPr>
                <w:rFonts w:ascii="宋体" w:hAnsi="宋体" w:cs="宋体"/>
              </w:rPr>
            </w:pPr>
            <w:r>
              <w:rPr>
                <w:rFonts w:hint="eastAsia" w:ascii="宋体" w:hAnsi="宋体" w:cs="宋体"/>
              </w:rPr>
              <w:t>若内含收益率＞资本成本，则项目可以接受，若内含收益率＜资本成本，则项目应该放弃。</w:t>
            </w:r>
          </w:p>
        </w:tc>
      </w:tr>
      <w:tr w14:paraId="2937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18ACC5EA">
            <w:pPr>
              <w:jc w:val="left"/>
              <w:rPr>
                <w:rFonts w:ascii="宋体" w:hAnsi="宋体" w:cs="宋体"/>
              </w:rPr>
            </w:pPr>
            <w:r>
              <w:rPr>
                <w:rFonts w:hint="eastAsia" w:ascii="宋体" w:hAnsi="宋体" w:cs="宋体"/>
              </w:rPr>
              <w:t>优点</w:t>
            </w:r>
          </w:p>
        </w:tc>
        <w:tc>
          <w:tcPr>
            <w:tcW w:w="4430" w:type="pct"/>
          </w:tcPr>
          <w:p w14:paraId="2A955C90">
            <w:pPr>
              <w:jc w:val="left"/>
              <w:rPr>
                <w:rFonts w:ascii="宋体" w:hAnsi="宋体" w:cs="宋体"/>
              </w:rPr>
            </w:pPr>
            <w:r>
              <w:rPr>
                <w:rFonts w:hint="eastAsia" w:ascii="宋体" w:hAnsi="宋体" w:cs="宋体"/>
              </w:rPr>
              <w:t>（1）内含收益率反映了投资项目可能达到的投资收益率，易于被高层决策人员所理解。</w:t>
            </w:r>
            <w:r>
              <w:rPr>
                <w:rFonts w:hint="eastAsia" w:ascii="宋体" w:hAnsi="宋体" w:cs="宋体"/>
              </w:rPr>
              <w:br w:type="textWrapping"/>
            </w:r>
            <w:r>
              <w:rPr>
                <w:rFonts w:hint="eastAsia" w:ascii="宋体" w:hAnsi="宋体" w:cs="宋体"/>
              </w:rPr>
              <w:t>（2）对于独立投资方案的比较决策，如果各方案原始投资额现值不同，可以通过计算各方案的内含收益率，反映各独立投资方案的获利水平。</w:t>
            </w:r>
          </w:p>
        </w:tc>
      </w:tr>
      <w:tr w14:paraId="448A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2530C84A">
            <w:pPr>
              <w:jc w:val="left"/>
              <w:rPr>
                <w:rFonts w:ascii="宋体" w:hAnsi="宋体" w:cs="宋体"/>
              </w:rPr>
            </w:pPr>
            <w:r>
              <w:rPr>
                <w:rFonts w:hint="eastAsia" w:ascii="宋体" w:hAnsi="宋体" w:cs="宋体"/>
              </w:rPr>
              <w:t>缺点</w:t>
            </w:r>
          </w:p>
        </w:tc>
        <w:tc>
          <w:tcPr>
            <w:tcW w:w="4430" w:type="pct"/>
          </w:tcPr>
          <w:p w14:paraId="253FF6CA">
            <w:pPr>
              <w:jc w:val="left"/>
              <w:rPr>
                <w:rFonts w:ascii="宋体" w:hAnsi="宋体" w:cs="宋体"/>
              </w:rPr>
            </w:pPr>
            <w:r>
              <w:rPr>
                <w:rFonts w:hint="eastAsia" w:ascii="宋体" w:hAnsi="宋体" w:cs="宋体"/>
              </w:rPr>
              <w:t>（1）计算复杂，不易直接考虑投资风险大小。</w:t>
            </w:r>
            <w:r>
              <w:rPr>
                <w:rFonts w:hint="eastAsia" w:ascii="宋体" w:hAnsi="宋体" w:cs="宋体"/>
              </w:rPr>
              <w:br w:type="textWrapping"/>
            </w:r>
            <w:r>
              <w:rPr>
                <w:rFonts w:hint="eastAsia" w:ascii="宋体" w:hAnsi="宋体" w:cs="宋体"/>
              </w:rPr>
              <w:t>（2）在互斥投资方案决策时，如果各方案的原始投资额现值不相等，有时无法作出正确的决策</w:t>
            </w:r>
          </w:p>
        </w:tc>
      </w:tr>
    </w:tbl>
    <w:p w14:paraId="772B169C">
      <w:pPr>
        <w:jc w:val="left"/>
        <w:rPr>
          <w:rFonts w:ascii="宋体" w:hAnsi="宋体" w:cs="宋体"/>
          <w:color w:val="FF0000"/>
        </w:rPr>
      </w:pPr>
      <w:r>
        <w:rPr>
          <w:rFonts w:hint="eastAsia" w:ascii="宋体" w:hAnsi="宋体" w:cs="宋体"/>
          <w:color w:val="FF0000"/>
        </w:rPr>
        <w:t>总结：</w:t>
      </w:r>
    </w:p>
    <w:p w14:paraId="2FCA160D">
      <w:pPr>
        <w:jc w:val="left"/>
        <w:rPr>
          <w:rFonts w:ascii="宋体" w:hAnsi="宋体" w:cs="宋体"/>
        </w:rPr>
      </w:pPr>
      <w:r>
        <w:rPr>
          <w:rFonts w:hint="eastAsia" w:ascii="宋体" w:hAnsi="宋体" w:cs="宋体"/>
        </w:rPr>
        <w:t>净现值&gt;0时，现值指数&gt;1，内含收益率&gt;项目资本成本</w:t>
      </w:r>
    </w:p>
    <w:p w14:paraId="29A4BDFA">
      <w:pPr>
        <w:jc w:val="left"/>
        <w:rPr>
          <w:rFonts w:ascii="宋体" w:hAnsi="宋体" w:cs="宋体"/>
        </w:rPr>
      </w:pPr>
      <w:r>
        <w:rPr>
          <w:rFonts w:hint="eastAsia" w:ascii="宋体" w:hAnsi="宋体" w:cs="宋体"/>
        </w:rPr>
        <w:t>净现值＜0时，现值指数＜1，内含收益率＜项目资本成本</w:t>
      </w:r>
    </w:p>
    <w:p w14:paraId="031228A3">
      <w:pPr>
        <w:jc w:val="left"/>
        <w:rPr>
          <w:rFonts w:ascii="宋体" w:hAnsi="宋体" w:cs="宋体"/>
        </w:rPr>
      </w:pPr>
      <w:r>
        <w:rPr>
          <w:rFonts w:hint="eastAsia" w:ascii="宋体" w:hAnsi="宋体" w:cs="宋体"/>
        </w:rPr>
        <w:t>净现值=0时，现值指数=1，内含收益率=项目资本成本</w:t>
      </w:r>
    </w:p>
    <w:p w14:paraId="2D582804">
      <w:pPr>
        <w:jc w:val="left"/>
        <w:rPr>
          <w:rFonts w:ascii="宋体" w:hAnsi="宋体" w:cs="宋体"/>
          <w:color w:val="FF0000"/>
        </w:rPr>
      </w:pPr>
      <w:r>
        <w:rPr>
          <w:rFonts w:hint="eastAsia" w:ascii="宋体" w:hAnsi="宋体" w:cs="宋体"/>
          <w:color w:val="FF0000"/>
        </w:rPr>
        <w:t>【知识点6】回收期</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9124"/>
      </w:tblGrid>
      <w:tr w14:paraId="51E5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3C07DDCD">
            <w:pPr>
              <w:jc w:val="left"/>
              <w:rPr>
                <w:rFonts w:ascii="宋体" w:hAnsi="宋体" w:cs="宋体"/>
              </w:rPr>
            </w:pPr>
            <w:r>
              <w:rPr>
                <w:rFonts w:hint="eastAsia" w:ascii="宋体" w:hAnsi="宋体" w:cs="宋体"/>
              </w:rPr>
              <w:t>定义</w:t>
            </w:r>
          </w:p>
        </w:tc>
        <w:tc>
          <w:tcPr>
            <w:tcW w:w="4501" w:type="pct"/>
          </w:tcPr>
          <w:p w14:paraId="5831D762">
            <w:pPr>
              <w:jc w:val="left"/>
              <w:rPr>
                <w:rFonts w:ascii="宋体" w:hAnsi="宋体" w:cs="宋体"/>
              </w:rPr>
            </w:pPr>
            <w:r>
              <w:rPr>
                <w:rFonts w:hint="eastAsia" w:ascii="宋体" w:hAnsi="宋体" w:cs="宋体"/>
              </w:rPr>
              <w:t>静态回收期（不考虑货币时间价值）：投资项目的未来现金净流量与原始投资额相等时所经历的时间。动态回收期以未来现金净流量的现值等于原始投资额现值时所经历的时间</w:t>
            </w:r>
          </w:p>
        </w:tc>
      </w:tr>
      <w:tr w14:paraId="058E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4EED34E8">
            <w:pPr>
              <w:jc w:val="left"/>
              <w:rPr>
                <w:rFonts w:ascii="宋体" w:hAnsi="宋体" w:cs="宋体"/>
              </w:rPr>
            </w:pPr>
            <w:r>
              <w:rPr>
                <w:rFonts w:hint="eastAsia" w:ascii="宋体" w:hAnsi="宋体" w:cs="宋体"/>
              </w:rPr>
              <w:t>公式</w:t>
            </w:r>
          </w:p>
        </w:tc>
        <w:tc>
          <w:tcPr>
            <w:tcW w:w="4501" w:type="pct"/>
          </w:tcPr>
          <w:p w14:paraId="728A50A8">
            <w:pPr>
              <w:jc w:val="left"/>
              <w:rPr>
                <w:rFonts w:ascii="宋体" w:hAnsi="宋体" w:cs="宋体"/>
              </w:rPr>
            </w:pPr>
            <w:r>
              <w:rPr>
                <w:rFonts w:hint="eastAsia" w:ascii="宋体" w:hAnsi="宋体" w:cs="宋体"/>
              </w:rPr>
              <w:t>静态回收期公式：原始投资额÷每年现金净流量</w:t>
            </w:r>
          </w:p>
          <w:p w14:paraId="3F9E31F0">
            <w:pPr>
              <w:jc w:val="left"/>
              <w:rPr>
                <w:rFonts w:ascii="宋体" w:hAnsi="宋体" w:cs="宋体"/>
              </w:rPr>
            </w:pPr>
            <w:r>
              <w:rPr>
                <w:rFonts w:hint="eastAsia" w:ascii="宋体" w:hAnsi="宋体" w:cs="宋体"/>
              </w:rPr>
              <w:t>动态回收期公式：每年现金净流量×（P/A，i，n）＝原始投资额现值</w:t>
            </w:r>
          </w:p>
        </w:tc>
      </w:tr>
      <w:tr w14:paraId="5787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5E9BBA45">
            <w:pPr>
              <w:jc w:val="left"/>
              <w:rPr>
                <w:rFonts w:ascii="宋体" w:hAnsi="宋体" w:cs="宋体"/>
              </w:rPr>
            </w:pPr>
            <w:r>
              <w:rPr>
                <w:rFonts w:hint="eastAsia" w:ascii="宋体" w:hAnsi="宋体" w:cs="宋体"/>
              </w:rPr>
              <w:t>优点</w:t>
            </w:r>
          </w:p>
        </w:tc>
        <w:tc>
          <w:tcPr>
            <w:tcW w:w="4501" w:type="pct"/>
          </w:tcPr>
          <w:p w14:paraId="656216CA">
            <w:pPr>
              <w:jc w:val="left"/>
              <w:rPr>
                <w:rFonts w:ascii="宋体" w:hAnsi="宋体" w:cs="宋体"/>
              </w:rPr>
            </w:pPr>
            <w:r>
              <w:rPr>
                <w:rFonts w:hint="eastAsia" w:ascii="宋体" w:hAnsi="宋体" w:cs="宋体"/>
              </w:rPr>
              <w:t>（1）计算简便，易于理解；</w:t>
            </w:r>
            <w:r>
              <w:rPr>
                <w:rFonts w:hint="eastAsia" w:ascii="宋体" w:hAnsi="宋体" w:cs="宋体"/>
              </w:rPr>
              <w:br w:type="textWrapping"/>
            </w:r>
            <w:r>
              <w:rPr>
                <w:rFonts w:hint="eastAsia" w:ascii="宋体" w:hAnsi="宋体" w:cs="宋体"/>
              </w:rPr>
              <w:t>（2）考虑了风险因素，是一种较为保守的方法</w:t>
            </w:r>
          </w:p>
        </w:tc>
      </w:tr>
      <w:tr w14:paraId="4F4E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18A22371">
            <w:pPr>
              <w:jc w:val="left"/>
              <w:rPr>
                <w:rFonts w:ascii="宋体" w:hAnsi="宋体" w:cs="宋体"/>
              </w:rPr>
            </w:pPr>
            <w:r>
              <w:rPr>
                <w:rFonts w:hint="eastAsia" w:ascii="宋体" w:hAnsi="宋体" w:cs="宋体"/>
              </w:rPr>
              <w:t>缺点</w:t>
            </w:r>
          </w:p>
        </w:tc>
        <w:tc>
          <w:tcPr>
            <w:tcW w:w="4501" w:type="pct"/>
          </w:tcPr>
          <w:p w14:paraId="24B86A85">
            <w:pPr>
              <w:jc w:val="left"/>
              <w:rPr>
                <w:rFonts w:ascii="宋体" w:hAnsi="宋体" w:cs="宋体"/>
              </w:rPr>
            </w:pPr>
            <w:r>
              <w:rPr>
                <w:rFonts w:hint="eastAsia" w:ascii="宋体" w:hAnsi="宋体" w:cs="宋体"/>
              </w:rPr>
              <w:t>静态回收期没有考虑货币时间价值；两种回收期只考虑了未来现金净流量（或现值）总和中等于原始投资额（或现值）的部分，没有考虑超过原始投资额（或现值）的部分</w:t>
            </w:r>
          </w:p>
        </w:tc>
      </w:tr>
    </w:tbl>
    <w:p w14:paraId="02CC5121">
      <w:pPr>
        <w:jc w:val="left"/>
        <w:rPr>
          <w:rFonts w:hint="eastAsia" w:ascii="宋体" w:hAnsi="宋体" w:cs="宋体"/>
        </w:rPr>
      </w:pPr>
    </w:p>
    <w:p w14:paraId="3D0450F9">
      <w:pPr>
        <w:overflowPunct w:val="0"/>
        <w:jc w:val="center"/>
        <w:rPr>
          <w:rFonts w:ascii="宋体" w:hAnsi="宋体" w:cs="宋体"/>
          <w:b/>
          <w:bCs/>
        </w:rPr>
      </w:pPr>
      <w:r>
        <w:rPr>
          <w:rFonts w:hint="eastAsia" w:ascii="宋体" w:hAnsi="宋体" w:cs="宋体"/>
          <w:b/>
          <w:bCs/>
        </w:rPr>
        <w:t>第六章  投资管理</w:t>
      </w:r>
    </w:p>
    <w:p w14:paraId="0429AA8D">
      <w:pPr>
        <w:jc w:val="center"/>
        <w:rPr>
          <w:rFonts w:ascii="宋体" w:hAnsi="宋体" w:cs="宋体"/>
          <w:b/>
          <w:bCs/>
        </w:rPr>
      </w:pPr>
      <w:r>
        <w:rPr>
          <w:rFonts w:hint="eastAsia" w:ascii="宋体" w:hAnsi="宋体" w:cs="宋体"/>
          <w:b/>
          <w:bCs/>
        </w:rPr>
        <w:t>第三节 项目投资管理</w:t>
      </w:r>
    </w:p>
    <w:p w14:paraId="522BF437">
      <w:pPr>
        <w:jc w:val="left"/>
        <w:rPr>
          <w:rFonts w:ascii="宋体" w:hAnsi="宋体" w:cs="宋体"/>
          <w:color w:val="FF0000"/>
        </w:rPr>
      </w:pPr>
      <w:r>
        <w:rPr>
          <w:rFonts w:hint="eastAsia" w:ascii="宋体" w:hAnsi="宋体" w:cs="宋体"/>
          <w:color w:val="FF0000"/>
        </w:rPr>
        <w:t>【知识点1】独立投资方案决策</w:t>
      </w:r>
    </w:p>
    <w:p w14:paraId="45D3481C">
      <w:pPr>
        <w:jc w:val="left"/>
        <w:rPr>
          <w:rFonts w:ascii="宋体" w:hAnsi="宋体" w:cs="宋体"/>
        </w:rPr>
      </w:pPr>
      <w:r>
        <w:rPr>
          <w:rFonts w:hint="eastAsia" w:ascii="宋体" w:hAnsi="宋体" w:cs="宋体"/>
        </w:rPr>
        <w:t>1.独立投资方案的决策属于筛分决策，评价各方案本身是否可行，即方案本身是否达到某种要求的可行性标准。</w:t>
      </w:r>
    </w:p>
    <w:p w14:paraId="647180FB">
      <w:pPr>
        <w:jc w:val="left"/>
        <w:rPr>
          <w:rFonts w:ascii="宋体" w:hAnsi="宋体" w:cs="宋体"/>
        </w:rPr>
      </w:pPr>
      <w:r>
        <w:rPr>
          <w:rFonts w:hint="eastAsia" w:ascii="宋体" w:hAnsi="宋体" w:cs="宋体"/>
        </w:rPr>
        <w:t>2.决策标准：排序分析时，以各独立方案的获利程度作为评价标准，一般采用内含收益率进行比较决策。</w:t>
      </w:r>
    </w:p>
    <w:p w14:paraId="069CF35B">
      <w:pPr>
        <w:jc w:val="left"/>
        <w:rPr>
          <w:rFonts w:ascii="宋体" w:hAnsi="宋体" w:cs="宋体"/>
          <w:color w:val="FF0000"/>
        </w:rPr>
      </w:pPr>
      <w:r>
        <w:rPr>
          <w:rFonts w:hint="eastAsia" w:ascii="宋体" w:hAnsi="宋体" w:cs="宋体"/>
          <w:color w:val="FF0000"/>
        </w:rPr>
        <w:t>【知识点2】互斥投资方案决策</w:t>
      </w:r>
    </w:p>
    <w:p w14:paraId="6A2341F8">
      <w:pPr>
        <w:jc w:val="left"/>
        <w:rPr>
          <w:rFonts w:ascii="宋体" w:hAnsi="宋体" w:cs="宋体"/>
        </w:rPr>
      </w:pPr>
      <w:r>
        <w:rPr>
          <w:rFonts w:hint="eastAsia" w:ascii="宋体" w:hAnsi="宋体" w:cs="宋体"/>
        </w:rPr>
        <w:t>1.项目的寿命期相等时</w:t>
      </w:r>
    </w:p>
    <w:p w14:paraId="26BAF0E4">
      <w:pPr>
        <w:jc w:val="left"/>
        <w:rPr>
          <w:rFonts w:ascii="宋体" w:hAnsi="宋体" w:cs="宋体"/>
        </w:rPr>
      </w:pPr>
      <w:r>
        <w:rPr>
          <w:rFonts w:hint="eastAsia" w:ascii="宋体" w:hAnsi="宋体" w:cs="宋体"/>
        </w:rPr>
        <w:t>不论方案的原始投资额大小如何，能够获得更大的获利数额即净现值的，即为最优方案。</w:t>
      </w:r>
    </w:p>
    <w:p w14:paraId="4CBAD0A6">
      <w:pPr>
        <w:jc w:val="left"/>
        <w:rPr>
          <w:rFonts w:ascii="宋体" w:hAnsi="宋体" w:cs="宋体"/>
        </w:rPr>
      </w:pPr>
      <w:r>
        <w:rPr>
          <w:rFonts w:hint="eastAsia" w:ascii="宋体" w:hAnsi="宋体" w:cs="宋体"/>
        </w:rPr>
        <w:t>2.项目的寿命期不相等时</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595"/>
        <w:gridCol w:w="6805"/>
      </w:tblGrid>
      <w:tr w14:paraId="2BB2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727DF961">
            <w:pPr>
              <w:jc w:val="left"/>
              <w:rPr>
                <w:rFonts w:ascii="宋体" w:hAnsi="宋体" w:cs="宋体"/>
              </w:rPr>
            </w:pPr>
            <w:r>
              <w:rPr>
                <w:rFonts w:hint="eastAsia" w:ascii="宋体" w:hAnsi="宋体" w:cs="宋体"/>
              </w:rPr>
              <w:t>共同年限法</w:t>
            </w:r>
          </w:p>
        </w:tc>
        <w:tc>
          <w:tcPr>
            <w:tcW w:w="4144" w:type="pct"/>
            <w:gridSpan w:val="2"/>
          </w:tcPr>
          <w:p w14:paraId="2BB62616">
            <w:pPr>
              <w:jc w:val="left"/>
              <w:rPr>
                <w:rFonts w:ascii="宋体" w:hAnsi="宋体" w:cs="宋体"/>
              </w:rPr>
            </w:pPr>
            <w:r>
              <w:rPr>
                <w:rFonts w:hint="eastAsia" w:ascii="宋体" w:hAnsi="宋体" w:cs="宋体"/>
              </w:rPr>
              <w:t>将两项目转化成同样的投资期限，才具有可比性，可以找出各项目寿命期的最小公倍期数，作为共同的有效寿命期。</w:t>
            </w:r>
          </w:p>
        </w:tc>
      </w:tr>
      <w:tr w14:paraId="4489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5D16AECF">
            <w:pPr>
              <w:jc w:val="left"/>
              <w:rPr>
                <w:rFonts w:ascii="宋体" w:hAnsi="宋体" w:cs="宋体"/>
              </w:rPr>
            </w:pPr>
            <w:r>
              <w:rPr>
                <w:rFonts w:hint="eastAsia" w:ascii="宋体" w:hAnsi="宋体" w:cs="宋体"/>
              </w:rPr>
              <w:t>年金净流量法</w:t>
            </w:r>
          </w:p>
        </w:tc>
        <w:tc>
          <w:tcPr>
            <w:tcW w:w="787" w:type="pct"/>
          </w:tcPr>
          <w:p w14:paraId="0013EC8C">
            <w:pPr>
              <w:jc w:val="left"/>
              <w:rPr>
                <w:rFonts w:ascii="宋体" w:hAnsi="宋体" w:cs="宋体"/>
              </w:rPr>
            </w:pPr>
            <w:r>
              <w:rPr>
                <w:rFonts w:hint="eastAsia" w:ascii="宋体" w:hAnsi="宋体" w:cs="宋体"/>
              </w:rPr>
              <w:t>资本成本相同</w:t>
            </w:r>
          </w:p>
        </w:tc>
        <w:tc>
          <w:tcPr>
            <w:tcW w:w="3357" w:type="pct"/>
          </w:tcPr>
          <w:p w14:paraId="7D3898E6">
            <w:pPr>
              <w:jc w:val="left"/>
              <w:rPr>
                <w:rFonts w:ascii="宋体" w:hAnsi="宋体" w:cs="宋体"/>
              </w:rPr>
            </w:pPr>
            <w:r>
              <w:rPr>
                <w:rFonts w:hint="eastAsia" w:ascii="宋体" w:hAnsi="宋体" w:cs="宋体"/>
              </w:rPr>
              <w:t>净现值除以对应的年金现值系数，优先选取年金净流量较大者；</w:t>
            </w:r>
          </w:p>
        </w:tc>
      </w:tr>
      <w:tr w14:paraId="79E3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7082137D">
            <w:pPr>
              <w:jc w:val="left"/>
              <w:rPr>
                <w:rFonts w:ascii="宋体" w:hAnsi="宋体" w:cs="宋体"/>
              </w:rPr>
            </w:pPr>
          </w:p>
        </w:tc>
        <w:tc>
          <w:tcPr>
            <w:tcW w:w="787" w:type="pct"/>
          </w:tcPr>
          <w:p w14:paraId="5C8E29CC">
            <w:pPr>
              <w:jc w:val="left"/>
              <w:rPr>
                <w:rFonts w:ascii="宋体" w:hAnsi="宋体" w:cs="宋体"/>
              </w:rPr>
            </w:pPr>
            <w:r>
              <w:rPr>
                <w:rFonts w:hint="eastAsia" w:ascii="宋体" w:hAnsi="宋体" w:cs="宋体"/>
              </w:rPr>
              <w:t>资本成本不同</w:t>
            </w:r>
          </w:p>
        </w:tc>
        <w:tc>
          <w:tcPr>
            <w:tcW w:w="3357" w:type="pct"/>
          </w:tcPr>
          <w:p w14:paraId="79A96B89">
            <w:pPr>
              <w:jc w:val="left"/>
              <w:rPr>
                <w:rFonts w:ascii="宋体" w:hAnsi="宋体" w:cs="宋体"/>
              </w:rPr>
            </w:pPr>
            <w:r>
              <w:rPr>
                <w:rFonts w:hint="eastAsia" w:ascii="宋体" w:hAnsi="宋体" w:cs="宋体"/>
              </w:rPr>
              <w:t>进一步计算永续净现值，年金净流量/各自对应的资本成本</w:t>
            </w:r>
          </w:p>
        </w:tc>
      </w:tr>
    </w:tbl>
    <w:p w14:paraId="1C528395">
      <w:pPr>
        <w:jc w:val="left"/>
        <w:rPr>
          <w:rFonts w:ascii="宋体" w:hAnsi="宋体" w:cs="宋体"/>
          <w:color w:val="FF0000"/>
        </w:rPr>
      </w:pPr>
      <w:r>
        <w:rPr>
          <w:rFonts w:hint="eastAsia" w:ascii="宋体" w:hAnsi="宋体" w:cs="宋体"/>
          <w:color w:val="FF0000"/>
        </w:rPr>
        <w:t>各财务评价指标的适应性总结</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400"/>
      </w:tblGrid>
      <w:tr w14:paraId="14D1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6" w:type="pct"/>
          </w:tcPr>
          <w:p w14:paraId="759CC5AE">
            <w:pPr>
              <w:jc w:val="left"/>
              <w:rPr>
                <w:rFonts w:ascii="宋体" w:hAnsi="宋体" w:cs="宋体"/>
              </w:rPr>
            </w:pPr>
            <w:r>
              <w:rPr>
                <w:rFonts w:hint="eastAsia" w:ascii="宋体" w:hAnsi="宋体" w:cs="宋体"/>
              </w:rPr>
              <w:t>项目</w:t>
            </w:r>
          </w:p>
        </w:tc>
        <w:tc>
          <w:tcPr>
            <w:tcW w:w="4144" w:type="pct"/>
          </w:tcPr>
          <w:p w14:paraId="56F82AC2">
            <w:pPr>
              <w:jc w:val="left"/>
              <w:rPr>
                <w:rFonts w:ascii="宋体" w:hAnsi="宋体" w:cs="宋体"/>
              </w:rPr>
            </w:pPr>
            <w:r>
              <w:rPr>
                <w:rFonts w:hint="eastAsia" w:ascii="宋体" w:hAnsi="宋体" w:cs="宋体"/>
              </w:rPr>
              <w:t>适用</w:t>
            </w:r>
          </w:p>
        </w:tc>
      </w:tr>
      <w:tr w14:paraId="4A28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0AFA0CD3">
            <w:pPr>
              <w:jc w:val="left"/>
              <w:rPr>
                <w:rFonts w:ascii="宋体" w:hAnsi="宋体" w:cs="宋体"/>
              </w:rPr>
            </w:pPr>
            <w:r>
              <w:rPr>
                <w:rFonts w:hint="eastAsia" w:ascii="宋体" w:hAnsi="宋体" w:cs="宋体"/>
              </w:rPr>
              <w:t>净现值</w:t>
            </w:r>
          </w:p>
        </w:tc>
        <w:tc>
          <w:tcPr>
            <w:tcW w:w="4144" w:type="pct"/>
          </w:tcPr>
          <w:p w14:paraId="7148DA14">
            <w:pPr>
              <w:jc w:val="left"/>
              <w:rPr>
                <w:rFonts w:ascii="宋体" w:hAnsi="宋体" w:cs="宋体"/>
              </w:rPr>
            </w:pPr>
            <w:r>
              <w:rPr>
                <w:rFonts w:hint="eastAsia" w:ascii="宋体" w:hAnsi="宋体" w:cs="宋体"/>
              </w:rPr>
              <w:t>年限相同互斥投资方案决策</w:t>
            </w:r>
          </w:p>
        </w:tc>
      </w:tr>
      <w:tr w14:paraId="38A9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40E75ABF">
            <w:pPr>
              <w:jc w:val="left"/>
              <w:rPr>
                <w:rFonts w:ascii="宋体" w:hAnsi="宋体" w:cs="宋体"/>
              </w:rPr>
            </w:pPr>
            <w:r>
              <w:rPr>
                <w:rFonts w:hint="eastAsia" w:ascii="宋体" w:hAnsi="宋体" w:cs="宋体"/>
              </w:rPr>
              <w:t>年金净流量</w:t>
            </w:r>
          </w:p>
        </w:tc>
        <w:tc>
          <w:tcPr>
            <w:tcW w:w="4144" w:type="pct"/>
          </w:tcPr>
          <w:p w14:paraId="7F0B92BC">
            <w:pPr>
              <w:jc w:val="left"/>
              <w:rPr>
                <w:rFonts w:ascii="宋体" w:hAnsi="宋体" w:cs="宋体"/>
              </w:rPr>
            </w:pPr>
            <w:r>
              <w:rPr>
                <w:rFonts w:hint="eastAsia" w:ascii="宋体" w:hAnsi="宋体" w:cs="宋体"/>
              </w:rPr>
              <w:t>期限不同互斥投资方案决策</w:t>
            </w:r>
          </w:p>
        </w:tc>
      </w:tr>
      <w:tr w14:paraId="58BA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C406DF8">
            <w:pPr>
              <w:jc w:val="left"/>
              <w:rPr>
                <w:rFonts w:ascii="宋体" w:hAnsi="宋体" w:cs="宋体"/>
              </w:rPr>
            </w:pPr>
            <w:r>
              <w:rPr>
                <w:rFonts w:hint="eastAsia" w:ascii="宋体" w:hAnsi="宋体" w:cs="宋体"/>
              </w:rPr>
              <w:t>内含报酬率</w:t>
            </w:r>
          </w:p>
        </w:tc>
        <w:tc>
          <w:tcPr>
            <w:tcW w:w="4144" w:type="pct"/>
          </w:tcPr>
          <w:p w14:paraId="6560725C">
            <w:pPr>
              <w:jc w:val="left"/>
              <w:rPr>
                <w:rFonts w:ascii="宋体" w:hAnsi="宋体" w:cs="宋体"/>
              </w:rPr>
            </w:pPr>
            <w:r>
              <w:rPr>
                <w:rFonts w:hint="eastAsia" w:ascii="宋体" w:hAnsi="宋体" w:cs="宋体"/>
              </w:rPr>
              <w:t>独立投资方案的比较决策</w:t>
            </w:r>
          </w:p>
        </w:tc>
      </w:tr>
    </w:tbl>
    <w:p w14:paraId="3892865F">
      <w:pPr>
        <w:jc w:val="left"/>
        <w:rPr>
          <w:rFonts w:ascii="宋体" w:hAnsi="宋体" w:cs="宋体"/>
          <w:color w:val="FF0000"/>
        </w:rPr>
      </w:pPr>
      <w:r>
        <w:rPr>
          <w:rFonts w:hint="eastAsia" w:ascii="宋体" w:hAnsi="宋体" w:cs="宋体"/>
          <w:color w:val="FF0000"/>
        </w:rPr>
        <w:t>【知识点3】固定资产更新决策</w:t>
      </w:r>
    </w:p>
    <w:p w14:paraId="6CDCF19F">
      <w:pPr>
        <w:jc w:val="left"/>
        <w:rPr>
          <w:rFonts w:ascii="宋体" w:hAnsi="宋体" w:cs="宋体"/>
        </w:rPr>
      </w:pPr>
      <w:r>
        <w:rPr>
          <w:rFonts w:ascii="宋体" w:hAnsi="宋体" w:cs="宋体"/>
        </w:rPr>
        <w:drawing>
          <wp:inline distT="0" distB="0" distL="0" distR="0">
            <wp:extent cx="3114040" cy="535305"/>
            <wp:effectExtent l="0" t="0" r="0" b="0"/>
            <wp:docPr id="948682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82321" name="图片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7009" cy="553550"/>
                    </a:xfrm>
                    <a:prstGeom prst="rect">
                      <a:avLst/>
                    </a:prstGeom>
                  </pic:spPr>
                </pic:pic>
              </a:graphicData>
            </a:graphic>
          </wp:inline>
        </w:drawing>
      </w:r>
    </w:p>
    <w:p w14:paraId="1F299A86">
      <w:pPr>
        <w:jc w:val="left"/>
        <w:rPr>
          <w:rFonts w:ascii="宋体" w:hAnsi="宋体" w:cs="宋体"/>
        </w:rPr>
      </w:pPr>
      <w:r>
        <w:rPr>
          <w:rFonts w:hint="eastAsia" w:ascii="宋体" w:hAnsi="宋体" w:cs="宋体"/>
        </w:rPr>
        <w:t>（1）投资期现金流量</w:t>
      </w:r>
    </w:p>
    <w:p w14:paraId="1B0D33B2">
      <w:pPr>
        <w:jc w:val="left"/>
        <w:rPr>
          <w:rFonts w:ascii="宋体" w:hAnsi="宋体" w:cs="宋体"/>
        </w:rPr>
      </w:pPr>
      <w:r>
        <w:rPr>
          <w:rFonts w:ascii="宋体" w:hAnsi="宋体" w:cs="宋体"/>
        </w:rPr>
        <w:drawing>
          <wp:inline distT="0" distB="0" distL="0" distR="0">
            <wp:extent cx="3838575" cy="837565"/>
            <wp:effectExtent l="0" t="0" r="9525"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42">
                      <a:clrChange>
                        <a:clrFrom>
                          <a:srgbClr val="D8D8D8"/>
                        </a:clrFrom>
                        <a:clrTo>
                          <a:srgbClr val="D8D8D8">
                            <a:alpha val="0"/>
                          </a:srgbClr>
                        </a:clrTo>
                      </a:clrChange>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3903255" cy="852240"/>
                    </a:xfrm>
                    <a:prstGeom prst="rect">
                      <a:avLst/>
                    </a:prstGeom>
                    <a:noFill/>
                    <a:ln>
                      <a:noFill/>
                    </a:ln>
                  </pic:spPr>
                </pic:pic>
              </a:graphicData>
            </a:graphic>
          </wp:inline>
        </w:drawing>
      </w:r>
    </w:p>
    <w:p w14:paraId="1C5C711D">
      <w:pPr>
        <w:jc w:val="left"/>
        <w:rPr>
          <w:rFonts w:ascii="宋体" w:hAnsi="宋体" w:cs="宋体"/>
          <w:color w:val="FF0000"/>
        </w:rPr>
      </w:pPr>
      <w:r>
        <w:rPr>
          <w:rFonts w:hint="eastAsia" w:ascii="宋体" w:hAnsi="宋体" w:cs="宋体"/>
          <w:color w:val="FF0000"/>
        </w:rPr>
        <w:t>（2）营运期现金流量</w:t>
      </w:r>
    </w:p>
    <w:p w14:paraId="2E568F3E">
      <w:pPr>
        <w:jc w:val="left"/>
        <w:rPr>
          <w:rFonts w:ascii="宋体" w:hAnsi="宋体" w:cs="宋体"/>
        </w:rPr>
      </w:pPr>
      <w:r>
        <w:rPr>
          <w:rFonts w:hint="eastAsia" w:ascii="宋体" w:hAnsi="宋体" w:cs="宋体"/>
        </w:rPr>
        <w:t>营业现金流量=税后收入-税后付现成本+折旧抵税</w:t>
      </w:r>
    </w:p>
    <w:p w14:paraId="2ACF8845">
      <w:pPr>
        <w:jc w:val="left"/>
        <w:rPr>
          <w:rFonts w:ascii="宋体" w:hAnsi="宋体" w:cs="宋体"/>
          <w:color w:val="FF0000"/>
        </w:rPr>
      </w:pPr>
      <w:r>
        <w:rPr>
          <w:rFonts w:hint="eastAsia" w:ascii="宋体" w:hAnsi="宋体" w:cs="宋体"/>
          <w:color w:val="FF0000"/>
        </w:rPr>
        <w:t>（3）终结点现金流量</w:t>
      </w:r>
    </w:p>
    <w:p w14:paraId="4315CE8F">
      <w:pPr>
        <w:jc w:val="left"/>
        <w:rPr>
          <w:rFonts w:ascii="宋体" w:hAnsi="宋体" w:cs="宋体"/>
        </w:rPr>
      </w:pPr>
      <w:r>
        <w:rPr>
          <w:rFonts w:hint="eastAsia" w:ascii="宋体" w:hAnsi="宋体" w:cs="宋体"/>
        </w:rPr>
        <w:t>固定资产变价净收入</w:t>
      </w:r>
    </w:p>
    <w:p w14:paraId="4EF3DE09">
      <w:pPr>
        <w:jc w:val="left"/>
        <w:rPr>
          <w:rFonts w:ascii="宋体" w:hAnsi="宋体" w:cs="宋体"/>
        </w:rPr>
      </w:pPr>
      <w:r>
        <w:rPr>
          <w:rFonts w:hint="eastAsia" w:ascii="宋体" w:hAnsi="宋体" w:cs="宋体"/>
        </w:rPr>
        <w:t>固定资产变现净收益的对现金流量的影响（纳税或抵税）</w:t>
      </w:r>
    </w:p>
    <w:p w14:paraId="6CDF36A2">
      <w:pPr>
        <w:jc w:val="left"/>
        <w:rPr>
          <w:rFonts w:ascii="宋体" w:hAnsi="宋体" w:cs="宋体"/>
        </w:rPr>
      </w:pPr>
      <w:r>
        <w:rPr>
          <w:rFonts w:hint="eastAsia" w:ascii="宋体" w:hAnsi="宋体" w:cs="宋体"/>
        </w:rPr>
        <w:t>收回垫支营运资金.</w:t>
      </w:r>
    </w:p>
    <w:p w14:paraId="70BA93CC">
      <w:pPr>
        <w:jc w:val="left"/>
        <w:rPr>
          <w:rFonts w:ascii="宋体" w:hAnsi="宋体" w:cs="宋体"/>
        </w:rPr>
      </w:pPr>
      <w:r>
        <w:rPr>
          <w:rFonts w:hint="eastAsia" w:ascii="宋体" w:hAnsi="宋体" w:cs="宋体"/>
          <w:color w:val="FF0000"/>
        </w:rPr>
        <w:t>【总结】</w:t>
      </w:r>
      <w:r>
        <w:rPr>
          <w:rFonts w:hint="eastAsia" w:ascii="宋体" w:hAnsi="宋体" w:cs="宋体"/>
        </w:rPr>
        <w:t>固定资产更新决策时，当考虑税收问题，对于旧设备的分析中三步骤都涉及所得税；新设备只在营运期和终结点考虑现金流量。</w:t>
      </w:r>
    </w:p>
    <w:p w14:paraId="705BA2F5">
      <w:pPr>
        <w:jc w:val="left"/>
        <w:rPr>
          <w:rFonts w:ascii="宋体" w:hAnsi="宋体" w:cs="宋体"/>
        </w:rPr>
      </w:pPr>
    </w:p>
    <w:p w14:paraId="0E858A2C">
      <w:pPr>
        <w:jc w:val="center"/>
        <w:rPr>
          <w:rFonts w:ascii="宋体" w:hAnsi="宋体" w:cs="宋体"/>
          <w:b/>
          <w:bCs/>
        </w:rPr>
      </w:pPr>
      <w:r>
        <w:rPr>
          <w:rFonts w:hint="eastAsia" w:ascii="宋体" w:hAnsi="宋体" w:cs="宋体"/>
          <w:b/>
          <w:bCs/>
        </w:rPr>
        <w:t>第四节 证券投资管理</w:t>
      </w:r>
    </w:p>
    <w:p w14:paraId="7BA293F7">
      <w:pPr>
        <w:jc w:val="left"/>
        <w:rPr>
          <w:rFonts w:ascii="宋体" w:hAnsi="宋体" w:cs="宋体"/>
          <w:color w:val="FF0000"/>
        </w:rPr>
      </w:pPr>
      <w:r>
        <w:rPr>
          <w:rFonts w:hint="eastAsia" w:ascii="宋体" w:hAnsi="宋体" w:cs="宋体"/>
          <w:color w:val="FF0000"/>
        </w:rPr>
        <w:t>【知识点1】证券投资的风险</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449"/>
        <w:gridCol w:w="7095"/>
      </w:tblGrid>
      <w:tr w14:paraId="73EE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restart"/>
          </w:tcPr>
          <w:p w14:paraId="1BC63A95">
            <w:pPr>
              <w:jc w:val="left"/>
              <w:rPr>
                <w:rFonts w:hint="eastAsia" w:ascii="宋体" w:hAnsi="宋体" w:cs="宋体"/>
              </w:rPr>
            </w:pPr>
            <w:r>
              <w:rPr>
                <w:rFonts w:hint="eastAsia" w:ascii="宋体" w:hAnsi="宋体" w:cs="宋体"/>
              </w:rPr>
              <w:t>系统性风险</w:t>
            </w:r>
          </w:p>
        </w:tc>
        <w:tc>
          <w:tcPr>
            <w:tcW w:w="715" w:type="pct"/>
          </w:tcPr>
          <w:p w14:paraId="17370BB7">
            <w:pPr>
              <w:jc w:val="left"/>
              <w:rPr>
                <w:rFonts w:ascii="宋体" w:hAnsi="宋体" w:cs="宋体"/>
              </w:rPr>
            </w:pPr>
            <w:r>
              <w:rPr>
                <w:rFonts w:hint="eastAsia" w:ascii="宋体" w:hAnsi="宋体" w:cs="宋体"/>
              </w:rPr>
              <w:t>价格风险</w:t>
            </w:r>
          </w:p>
        </w:tc>
        <w:tc>
          <w:tcPr>
            <w:tcW w:w="3500" w:type="pct"/>
          </w:tcPr>
          <w:p w14:paraId="0F283147">
            <w:pPr>
              <w:jc w:val="left"/>
              <w:rPr>
                <w:rFonts w:ascii="宋体" w:hAnsi="宋体" w:cs="宋体"/>
              </w:rPr>
            </w:pPr>
            <w:r>
              <w:rPr>
                <w:rFonts w:hint="eastAsia" w:ascii="宋体" w:hAnsi="宋体" w:cs="宋体"/>
              </w:rPr>
              <w:t>市场利率上升，使证券资产价格普遍下跌可能性</w:t>
            </w:r>
          </w:p>
        </w:tc>
      </w:tr>
      <w:tr w14:paraId="7054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66DF1248">
            <w:pPr>
              <w:jc w:val="left"/>
              <w:rPr>
                <w:rFonts w:ascii="宋体" w:hAnsi="宋体" w:cs="宋体"/>
              </w:rPr>
            </w:pPr>
          </w:p>
        </w:tc>
        <w:tc>
          <w:tcPr>
            <w:tcW w:w="715" w:type="pct"/>
          </w:tcPr>
          <w:p w14:paraId="4D3AA092">
            <w:pPr>
              <w:jc w:val="left"/>
              <w:rPr>
                <w:rFonts w:ascii="宋体" w:hAnsi="宋体" w:cs="宋体"/>
              </w:rPr>
            </w:pPr>
            <w:r>
              <w:rPr>
                <w:rFonts w:hint="eastAsia" w:ascii="宋体" w:hAnsi="宋体" w:cs="宋体"/>
              </w:rPr>
              <w:t>再投资风险</w:t>
            </w:r>
          </w:p>
        </w:tc>
        <w:tc>
          <w:tcPr>
            <w:tcW w:w="3500" w:type="pct"/>
          </w:tcPr>
          <w:p w14:paraId="64CAAD69">
            <w:pPr>
              <w:jc w:val="left"/>
              <w:rPr>
                <w:rFonts w:ascii="宋体" w:hAnsi="宋体" w:cs="宋体"/>
              </w:rPr>
            </w:pPr>
            <w:r>
              <w:rPr>
                <w:rFonts w:hint="eastAsia" w:ascii="宋体" w:hAnsi="宋体" w:cs="宋体"/>
              </w:rPr>
              <w:t>市场利率下降，造成的无法通过再投资而实现预期收益的可能性</w:t>
            </w:r>
          </w:p>
        </w:tc>
      </w:tr>
      <w:tr w14:paraId="4682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4822254F">
            <w:pPr>
              <w:jc w:val="left"/>
              <w:rPr>
                <w:rFonts w:ascii="宋体" w:hAnsi="宋体" w:cs="宋体"/>
              </w:rPr>
            </w:pPr>
          </w:p>
        </w:tc>
        <w:tc>
          <w:tcPr>
            <w:tcW w:w="715" w:type="pct"/>
          </w:tcPr>
          <w:p w14:paraId="04F7DDE0">
            <w:pPr>
              <w:jc w:val="left"/>
              <w:rPr>
                <w:rFonts w:ascii="宋体" w:hAnsi="宋体" w:cs="宋体"/>
              </w:rPr>
            </w:pPr>
            <w:r>
              <w:rPr>
                <w:rFonts w:hint="eastAsia" w:ascii="宋体" w:hAnsi="宋体" w:cs="宋体"/>
              </w:rPr>
              <w:t>购买力风险</w:t>
            </w:r>
          </w:p>
        </w:tc>
        <w:tc>
          <w:tcPr>
            <w:tcW w:w="3500" w:type="pct"/>
          </w:tcPr>
          <w:p w14:paraId="48C87A8D">
            <w:pPr>
              <w:jc w:val="left"/>
              <w:rPr>
                <w:rFonts w:ascii="宋体" w:hAnsi="宋体" w:cs="宋体"/>
              </w:rPr>
            </w:pPr>
            <w:r>
              <w:rPr>
                <w:rFonts w:hint="eastAsia" w:ascii="宋体" w:hAnsi="宋体" w:cs="宋体"/>
              </w:rPr>
              <w:t>由于通货膨胀而使货币购买力下降的可能性</w:t>
            </w:r>
          </w:p>
        </w:tc>
      </w:tr>
      <w:tr w14:paraId="2FD7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restart"/>
          </w:tcPr>
          <w:p w14:paraId="510FBA4F">
            <w:pPr>
              <w:jc w:val="left"/>
              <w:rPr>
                <w:rFonts w:ascii="宋体" w:hAnsi="宋体" w:cs="宋体"/>
              </w:rPr>
            </w:pPr>
            <w:r>
              <w:rPr>
                <w:rFonts w:hint="eastAsia" w:ascii="宋体" w:hAnsi="宋体" w:cs="宋体"/>
              </w:rPr>
              <w:t>非系统性风险</w:t>
            </w:r>
          </w:p>
        </w:tc>
        <w:tc>
          <w:tcPr>
            <w:tcW w:w="715" w:type="pct"/>
          </w:tcPr>
          <w:p w14:paraId="5ABB8EF2">
            <w:pPr>
              <w:jc w:val="left"/>
              <w:rPr>
                <w:rFonts w:ascii="宋体" w:hAnsi="宋体" w:cs="宋体"/>
              </w:rPr>
            </w:pPr>
            <w:r>
              <w:rPr>
                <w:rFonts w:hint="eastAsia" w:ascii="宋体" w:hAnsi="宋体" w:cs="宋体"/>
              </w:rPr>
              <w:t>违约风险</w:t>
            </w:r>
          </w:p>
        </w:tc>
        <w:tc>
          <w:tcPr>
            <w:tcW w:w="3500" w:type="pct"/>
          </w:tcPr>
          <w:p w14:paraId="41AD5D4E">
            <w:pPr>
              <w:jc w:val="left"/>
              <w:rPr>
                <w:rFonts w:ascii="宋体" w:hAnsi="宋体" w:cs="宋体"/>
              </w:rPr>
            </w:pPr>
            <w:r>
              <w:rPr>
                <w:rFonts w:hint="eastAsia" w:ascii="宋体" w:hAnsi="宋体" w:cs="宋体"/>
              </w:rPr>
              <w:t>证券资产发行者无法按时兑付证券资产利息和偿还本金的可能性</w:t>
            </w:r>
          </w:p>
        </w:tc>
      </w:tr>
      <w:tr w14:paraId="1BEE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76F437D9">
            <w:pPr>
              <w:jc w:val="left"/>
              <w:rPr>
                <w:rFonts w:ascii="宋体" w:hAnsi="宋体" w:cs="宋体"/>
              </w:rPr>
            </w:pPr>
          </w:p>
        </w:tc>
        <w:tc>
          <w:tcPr>
            <w:tcW w:w="715" w:type="pct"/>
          </w:tcPr>
          <w:p w14:paraId="42AB6196">
            <w:pPr>
              <w:jc w:val="left"/>
              <w:rPr>
                <w:rFonts w:ascii="宋体" w:hAnsi="宋体" w:cs="宋体"/>
              </w:rPr>
            </w:pPr>
            <w:r>
              <w:rPr>
                <w:rFonts w:hint="eastAsia" w:ascii="宋体" w:hAnsi="宋体" w:cs="宋体"/>
              </w:rPr>
              <w:t>变现风险</w:t>
            </w:r>
          </w:p>
        </w:tc>
        <w:tc>
          <w:tcPr>
            <w:tcW w:w="3500" w:type="pct"/>
          </w:tcPr>
          <w:p w14:paraId="279CC935">
            <w:pPr>
              <w:jc w:val="left"/>
              <w:rPr>
                <w:rFonts w:ascii="宋体" w:hAnsi="宋体" w:cs="宋体"/>
              </w:rPr>
            </w:pPr>
            <w:r>
              <w:rPr>
                <w:rFonts w:hint="eastAsia" w:ascii="宋体" w:hAnsi="宋体" w:cs="宋体"/>
              </w:rPr>
              <w:t>证券资产持有者无法在市场上以正常的价格平仓出货的可能性</w:t>
            </w:r>
          </w:p>
        </w:tc>
      </w:tr>
      <w:tr w14:paraId="7DDB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51407532">
            <w:pPr>
              <w:jc w:val="left"/>
              <w:rPr>
                <w:rFonts w:ascii="宋体" w:hAnsi="宋体" w:cs="宋体"/>
              </w:rPr>
            </w:pPr>
          </w:p>
        </w:tc>
        <w:tc>
          <w:tcPr>
            <w:tcW w:w="715" w:type="pct"/>
          </w:tcPr>
          <w:p w14:paraId="1006B875">
            <w:pPr>
              <w:jc w:val="left"/>
              <w:rPr>
                <w:rFonts w:ascii="宋体" w:hAnsi="宋体" w:cs="宋体"/>
              </w:rPr>
            </w:pPr>
            <w:r>
              <w:rPr>
                <w:rFonts w:hint="eastAsia" w:ascii="宋体" w:hAnsi="宋体" w:cs="宋体"/>
              </w:rPr>
              <w:t>破产风险</w:t>
            </w:r>
          </w:p>
        </w:tc>
        <w:tc>
          <w:tcPr>
            <w:tcW w:w="3500" w:type="pct"/>
          </w:tcPr>
          <w:p w14:paraId="33B33149">
            <w:pPr>
              <w:jc w:val="left"/>
              <w:rPr>
                <w:rFonts w:ascii="宋体" w:hAnsi="宋体" w:cs="宋体"/>
              </w:rPr>
            </w:pPr>
            <w:r>
              <w:rPr>
                <w:rFonts w:hint="eastAsia" w:ascii="宋体" w:hAnsi="宋体" w:cs="宋体"/>
              </w:rPr>
              <w:t>证券资产发行者破产清算时投资者无法收回应得权益的可能性</w:t>
            </w:r>
          </w:p>
        </w:tc>
      </w:tr>
    </w:tbl>
    <w:p w14:paraId="3068C135">
      <w:pPr>
        <w:jc w:val="left"/>
        <w:rPr>
          <w:rFonts w:ascii="宋体" w:hAnsi="宋体" w:cs="宋体"/>
          <w:color w:val="FF0000"/>
        </w:rPr>
      </w:pPr>
      <w:r>
        <w:rPr>
          <w:rFonts w:hint="eastAsia" w:ascii="宋体" w:hAnsi="宋体" w:cs="宋体"/>
          <w:color w:val="FF0000"/>
        </w:rPr>
        <w:t>【知识点2】债券投资价值原理</w:t>
      </w:r>
    </w:p>
    <w:p w14:paraId="6EDD269F">
      <w:pPr>
        <w:jc w:val="left"/>
        <w:rPr>
          <w:rFonts w:ascii="宋体" w:hAnsi="宋体" w:cs="宋体"/>
        </w:rPr>
      </w:pPr>
      <w:r>
        <w:rPr>
          <w:rFonts w:hint="eastAsia" w:ascii="宋体" w:hAnsi="宋体" w:cs="宋体"/>
        </w:rPr>
        <w:t>债券内在价值=收取利息现值+收回本金现值</w:t>
      </w:r>
    </w:p>
    <w:p w14:paraId="33E0A319">
      <w:pPr>
        <w:jc w:val="left"/>
        <w:rPr>
          <w:rFonts w:ascii="宋体" w:hAnsi="宋体" w:cs="宋体"/>
          <w:color w:val="FF0000"/>
        </w:rPr>
      </w:pPr>
      <w:r>
        <w:rPr>
          <w:rFonts w:hint="eastAsia" w:ascii="宋体" w:hAnsi="宋体" w:cs="宋体"/>
          <w:color w:val="FF0000"/>
        </w:rPr>
        <w:t>【提示】</w:t>
      </w:r>
    </w:p>
    <w:p w14:paraId="73932A94">
      <w:pPr>
        <w:jc w:val="left"/>
        <w:rPr>
          <w:rFonts w:ascii="宋体" w:hAnsi="宋体" w:cs="宋体"/>
        </w:rPr>
      </w:pPr>
      <w:r>
        <w:rPr>
          <w:rFonts w:hint="eastAsia" w:ascii="宋体" w:hAnsi="宋体" w:cs="宋体"/>
        </w:rPr>
        <w:t>票面利率＞市场利率时，债券价值＞债券面值；</w:t>
      </w:r>
    </w:p>
    <w:p w14:paraId="3ED81F60">
      <w:pPr>
        <w:jc w:val="left"/>
        <w:rPr>
          <w:rFonts w:ascii="宋体" w:hAnsi="宋体" w:cs="宋体"/>
        </w:rPr>
      </w:pPr>
      <w:r>
        <w:rPr>
          <w:rFonts w:hint="eastAsia" w:ascii="宋体" w:hAnsi="宋体" w:cs="宋体"/>
        </w:rPr>
        <w:t>票面利率＝市场利率时，债券价值＝债券面值；</w:t>
      </w:r>
    </w:p>
    <w:p w14:paraId="25FE2D35">
      <w:pPr>
        <w:jc w:val="left"/>
        <w:rPr>
          <w:rFonts w:ascii="宋体" w:hAnsi="宋体" w:cs="宋体"/>
        </w:rPr>
      </w:pPr>
      <w:r>
        <w:rPr>
          <w:rFonts w:hint="eastAsia" w:ascii="宋体" w:hAnsi="宋体" w:cs="宋体"/>
        </w:rPr>
        <w:t>票面利率＜市场利率时，债券价值＜债券面值。</w:t>
      </w:r>
    </w:p>
    <w:p w14:paraId="7AB7C736">
      <w:pPr>
        <w:jc w:val="left"/>
        <w:rPr>
          <w:rFonts w:ascii="宋体" w:hAnsi="宋体" w:cs="宋体"/>
          <w:color w:val="FF0000"/>
        </w:rPr>
      </w:pPr>
      <w:r>
        <w:rPr>
          <w:rFonts w:hint="eastAsia" w:ascii="宋体" w:hAnsi="宋体" w:cs="宋体"/>
          <w:color w:val="FF0000"/>
        </w:rPr>
        <w:t>【知识点3】债券价值影响因素</w:t>
      </w:r>
    </w:p>
    <w:p w14:paraId="2EE9B785">
      <w:pPr>
        <w:jc w:val="left"/>
        <w:rPr>
          <w:rFonts w:ascii="宋体" w:hAnsi="宋体" w:cs="宋体"/>
        </w:rPr>
      </w:pPr>
      <w:r>
        <w:rPr>
          <w:rFonts w:hint="eastAsia" w:ascii="宋体" w:hAnsi="宋体" w:cs="宋体"/>
        </w:rPr>
        <w:t>债券价值影响因素：债券面值、票面利率、债券期限、市场利率（贴现率）</w:t>
      </w:r>
    </w:p>
    <w:p w14:paraId="493C84B6">
      <w:pPr>
        <w:jc w:val="left"/>
        <w:rPr>
          <w:rFonts w:ascii="宋体" w:hAnsi="宋体" w:cs="宋体"/>
          <w:color w:val="FF0000"/>
        </w:rPr>
      </w:pPr>
      <w:r>
        <w:rPr>
          <w:rFonts w:hint="eastAsia" w:ascii="宋体" w:hAnsi="宋体" w:cs="宋体"/>
          <w:color w:val="FF0000"/>
        </w:rPr>
        <w:t>1.市场利率</w:t>
      </w:r>
    </w:p>
    <w:p w14:paraId="066C56EF">
      <w:pPr>
        <w:jc w:val="left"/>
        <w:rPr>
          <w:rFonts w:ascii="宋体" w:hAnsi="宋体" w:cs="宋体"/>
        </w:rPr>
      </w:pPr>
      <w:r>
        <w:rPr>
          <w:rFonts w:hint="eastAsia" w:ascii="宋体" w:hAnsi="宋体" w:cs="宋体"/>
        </w:rPr>
        <w:t>市场利率即折现率，与债券价值反向变动</w:t>
      </w:r>
    </w:p>
    <w:p w14:paraId="5F3804DB">
      <w:pPr>
        <w:jc w:val="left"/>
        <w:rPr>
          <w:rFonts w:ascii="宋体" w:hAnsi="宋体" w:cs="宋体"/>
        </w:rPr>
      </w:pPr>
      <w:r>
        <w:rPr>
          <w:rFonts w:hint="eastAsia" w:ascii="宋体" w:hAnsi="宋体" w:cs="宋体"/>
        </w:rPr>
        <w:t>①长期债券对市场利率的敏感性大于短期债券；</w:t>
      </w:r>
    </w:p>
    <w:p w14:paraId="03533E23">
      <w:pPr>
        <w:jc w:val="left"/>
        <w:rPr>
          <w:rFonts w:ascii="宋体" w:hAnsi="宋体" w:cs="宋体"/>
        </w:rPr>
      </w:pPr>
      <w:r>
        <w:rPr>
          <w:rFonts w:hint="eastAsia" w:ascii="宋体" w:hAnsi="宋体" w:cs="宋体"/>
        </w:rPr>
        <w:t>②溢价债券对市场利率的敏感性大于折价债券。</w:t>
      </w:r>
    </w:p>
    <w:p w14:paraId="0877376A">
      <w:pPr>
        <w:jc w:val="left"/>
        <w:rPr>
          <w:rFonts w:ascii="宋体" w:hAnsi="宋体" w:cs="宋体"/>
          <w:color w:val="FF0000"/>
        </w:rPr>
      </w:pPr>
      <w:r>
        <w:rPr>
          <w:rFonts w:hint="eastAsia" w:ascii="宋体" w:hAnsi="宋体" w:cs="宋体"/>
          <w:color w:val="FF0000"/>
        </w:rPr>
        <w:t>2.债券期限</w:t>
      </w:r>
    </w:p>
    <w:p w14:paraId="578E35DB">
      <w:pPr>
        <w:jc w:val="left"/>
        <w:rPr>
          <w:rFonts w:ascii="宋体" w:hAnsi="宋体" w:cs="宋体"/>
        </w:rPr>
      </w:pPr>
      <w:r>
        <w:rPr>
          <w:rFonts w:hint="eastAsia" w:ascii="宋体" w:hAnsi="宋体" w:cs="宋体"/>
        </w:rPr>
        <w:t>对于分期付息，到期还本的债券而言，随着到期日临近，债券价值向面值回归。</w:t>
      </w:r>
    </w:p>
    <w:p w14:paraId="686F91E8">
      <w:pPr>
        <w:jc w:val="left"/>
        <w:rPr>
          <w:rFonts w:ascii="宋体" w:hAnsi="宋体" w:cs="宋体"/>
        </w:rPr>
      </w:pPr>
      <w:r>
        <w:rPr>
          <w:rFonts w:hint="eastAsia" w:ascii="宋体" w:hAnsi="宋体" w:cs="宋体"/>
        </w:rPr>
        <w:t>①溢价债券价值逐渐降低；</w:t>
      </w:r>
    </w:p>
    <w:p w14:paraId="5812CC11">
      <w:pPr>
        <w:jc w:val="left"/>
        <w:rPr>
          <w:rFonts w:ascii="宋体" w:hAnsi="宋体" w:cs="宋体"/>
        </w:rPr>
      </w:pPr>
      <w:r>
        <w:rPr>
          <w:rFonts w:hint="eastAsia" w:ascii="宋体" w:hAnsi="宋体" w:cs="宋体"/>
        </w:rPr>
        <w:t>②折价债券价值逐渐升高；</w:t>
      </w:r>
    </w:p>
    <w:p w14:paraId="3EF0E0B2">
      <w:pPr>
        <w:jc w:val="left"/>
        <w:rPr>
          <w:rFonts w:ascii="宋体" w:hAnsi="宋体" w:cs="宋体"/>
        </w:rPr>
      </w:pPr>
      <w:r>
        <w:rPr>
          <w:rFonts w:hint="eastAsia" w:ascii="宋体" w:hAnsi="宋体" w:cs="宋体"/>
        </w:rPr>
        <w:t>③平价债券价值不受期限影响；</w:t>
      </w:r>
    </w:p>
    <w:p w14:paraId="19040D5E">
      <w:pPr>
        <w:jc w:val="left"/>
        <w:rPr>
          <w:rFonts w:ascii="宋体" w:hAnsi="宋体" w:cs="宋体"/>
        </w:rPr>
      </w:pPr>
      <w:r>
        <w:rPr>
          <w:rFonts w:hint="eastAsia" w:ascii="宋体" w:hAnsi="宋体" w:cs="宋体"/>
        </w:rPr>
        <w:t>④超常期债券的期限差异，对债券价值影响不大</w:t>
      </w:r>
    </w:p>
    <w:p w14:paraId="49BB08CB">
      <w:pPr>
        <w:jc w:val="left"/>
        <w:rPr>
          <w:rFonts w:ascii="宋体" w:hAnsi="宋体" w:cs="宋体"/>
          <w:color w:val="FF0000"/>
        </w:rPr>
      </w:pPr>
      <w:r>
        <w:rPr>
          <w:rFonts w:hint="eastAsia" w:ascii="宋体" w:hAnsi="宋体" w:cs="宋体"/>
          <w:color w:val="FF0000"/>
        </w:rPr>
        <w:t>【知识点4】债券投资收益率</w:t>
      </w:r>
    </w:p>
    <w:p w14:paraId="5BC28829">
      <w:pPr>
        <w:jc w:val="left"/>
        <w:rPr>
          <w:rFonts w:ascii="宋体" w:hAnsi="宋体" w:cs="宋体"/>
          <w:color w:val="FF0000"/>
        </w:rPr>
      </w:pPr>
      <w:r>
        <w:rPr>
          <w:rFonts w:hint="eastAsia" w:ascii="宋体" w:hAnsi="宋体" w:cs="宋体"/>
          <w:color w:val="FF0000"/>
        </w:rPr>
        <w:t>1.债券收益来源</w:t>
      </w:r>
    </w:p>
    <w:p w14:paraId="0B75391A">
      <w:pPr>
        <w:jc w:val="left"/>
        <w:rPr>
          <w:rFonts w:ascii="宋体" w:hAnsi="宋体" w:cs="宋体"/>
        </w:rPr>
      </w:pPr>
      <w:r>
        <w:rPr>
          <w:rFonts w:hint="eastAsia" w:ascii="宋体" w:hAnsi="宋体" w:cs="宋体"/>
        </w:rPr>
        <w:t>债券投资的收益是投资于债券所获得的全部投资报酬，来源于三个方面：名义利息收益、利息再投资收益和价差收益。</w:t>
      </w:r>
    </w:p>
    <w:p w14:paraId="1F8390B2">
      <w:pPr>
        <w:jc w:val="left"/>
        <w:rPr>
          <w:rFonts w:ascii="宋体" w:hAnsi="宋体" w:cs="宋体"/>
          <w:color w:val="FF0000"/>
        </w:rPr>
      </w:pPr>
      <w:r>
        <w:rPr>
          <w:rFonts w:hint="eastAsia" w:ascii="宋体" w:hAnsi="宋体" w:cs="宋体"/>
          <w:color w:val="FF0000"/>
        </w:rPr>
        <w:t>2.债券的内部收益率</w:t>
      </w:r>
    </w:p>
    <w:p w14:paraId="36DCBA57">
      <w:pPr>
        <w:jc w:val="left"/>
        <w:rPr>
          <w:rFonts w:ascii="宋体" w:hAnsi="宋体" w:cs="宋体"/>
        </w:rPr>
      </w:pPr>
      <w:r>
        <w:rPr>
          <w:rFonts w:hint="eastAsia" w:ascii="宋体" w:hAnsi="宋体" w:cs="宋体"/>
        </w:rPr>
        <w:t>未来的现金流入量现值等于购买价格的折现率。</w:t>
      </w:r>
    </w:p>
    <w:p w14:paraId="30EA73E9">
      <w:pPr>
        <w:jc w:val="left"/>
        <w:rPr>
          <w:rFonts w:ascii="宋体" w:hAnsi="宋体" w:cs="宋体"/>
          <w:color w:val="FF0000"/>
        </w:rPr>
      </w:pPr>
      <w:r>
        <w:rPr>
          <w:rFonts w:hint="eastAsia" w:ascii="宋体" w:hAnsi="宋体" w:cs="宋体"/>
          <w:color w:val="FF0000"/>
        </w:rPr>
        <w:t>3.债券计算方法</w:t>
      </w:r>
    </w:p>
    <w:p w14:paraId="69B2496F">
      <w:pPr>
        <w:jc w:val="left"/>
        <w:rPr>
          <w:rFonts w:ascii="宋体" w:hAnsi="宋体" w:cs="宋体"/>
        </w:rPr>
      </w:pPr>
      <w:r>
        <w:rPr>
          <w:rFonts w:hint="eastAsia" w:ascii="宋体" w:hAnsi="宋体" w:cs="宋体"/>
        </w:rPr>
        <w:t>（1）逐次测试法，与求内含收益率的方法相同</w:t>
      </w:r>
    </w:p>
    <w:p w14:paraId="5436F93B">
      <w:pPr>
        <w:jc w:val="left"/>
        <w:rPr>
          <w:rFonts w:ascii="宋体" w:hAnsi="宋体" w:cs="宋体"/>
        </w:rPr>
      </w:pPr>
      <w:r>
        <w:rPr>
          <w:rFonts w:hint="eastAsia" w:ascii="宋体" w:hAnsi="宋体" w:cs="宋体"/>
        </w:rPr>
        <w:t>（2）简便算法</w:t>
      </w:r>
    </w:p>
    <w:p w14:paraId="3C3D5009">
      <w:pPr>
        <w:jc w:val="left"/>
        <w:rPr>
          <w:rFonts w:hint="eastAsia" w:ascii="宋体" w:hAnsi="宋体" w:cs="宋体"/>
        </w:rPr>
      </w:pPr>
      <w:r>
        <w:rPr>
          <w:rFonts w:hint="eastAsia" w:ascii="宋体" w:hAnsi="宋体" w:cs="宋体"/>
        </w:rPr>
        <w:drawing>
          <wp:inline distT="0" distB="0" distL="114300" distR="114300">
            <wp:extent cx="1783080" cy="4502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4" r:link="rId23">
                      <a:extLst>
                        <a:ext uri="{BEBA8EAE-BF5A-486C-A8C5-ECC9F3942E4B}">
                          <a14:imgProps xmlns:a14="http://schemas.microsoft.com/office/drawing/2010/main">
                            <a14:imgLayer r:embed="rId45">
                              <a14:imgEffect>
                                <a14:brightnessContrast bright="-100000" contrast="48000"/>
                              </a14:imgEffect>
                            </a14:imgLayer>
                          </a14:imgProps>
                        </a:ext>
                      </a:extLst>
                    </a:blip>
                    <a:stretch>
                      <a:fillRect/>
                    </a:stretch>
                  </pic:blipFill>
                  <pic:spPr>
                    <a:xfrm>
                      <a:off x="0" y="0"/>
                      <a:ext cx="1812412" cy="457721"/>
                    </a:xfrm>
                    <a:prstGeom prst="rect">
                      <a:avLst/>
                    </a:prstGeom>
                    <a:noFill/>
                    <a:ln>
                      <a:noFill/>
                    </a:ln>
                  </pic:spPr>
                </pic:pic>
              </a:graphicData>
            </a:graphic>
          </wp:inline>
        </w:drawing>
      </w:r>
      <w:r>
        <w:rPr>
          <w:rFonts w:hint="eastAsia" w:ascii="宋体" w:hAnsi="宋体" w:cs="宋体"/>
        </w:rPr>
        <w:t>式中，P表示当前债券的购买价格，B表示债券面值，N表示债券持有期限，分母是平均资金占用，分子是平均收益。</w:t>
      </w:r>
    </w:p>
    <w:p w14:paraId="50DFB928">
      <w:pPr>
        <w:overflowPunct w:val="0"/>
        <w:jc w:val="center"/>
        <w:rPr>
          <w:rFonts w:hint="eastAsia" w:ascii="宋体" w:hAnsi="宋体" w:cs="宋体"/>
          <w:b/>
        </w:rPr>
      </w:pPr>
      <w:r>
        <w:rPr>
          <w:rFonts w:hint="eastAsia" w:ascii="宋体" w:hAnsi="宋体" w:cs="宋体"/>
          <w:b/>
        </w:rPr>
        <w:t>第六章  投资管理</w:t>
      </w:r>
    </w:p>
    <w:p w14:paraId="10A678EB">
      <w:pPr>
        <w:jc w:val="left"/>
        <w:rPr>
          <w:rFonts w:hint="eastAsia" w:ascii="宋体" w:hAnsi="宋体" w:cs="宋体"/>
          <w:color w:val="FF0000"/>
        </w:rPr>
      </w:pPr>
      <w:r>
        <w:rPr>
          <w:rFonts w:hint="eastAsia" w:ascii="宋体" w:hAnsi="宋体" w:cs="宋体"/>
          <w:color w:val="FF0000"/>
        </w:rPr>
        <w:t>【知识点5】股票投资</w:t>
      </w:r>
    </w:p>
    <w:p w14:paraId="5FC3DDA8">
      <w:pPr>
        <w:jc w:val="left"/>
        <w:rPr>
          <w:rFonts w:hint="eastAsia" w:ascii="宋体" w:hAnsi="宋体" w:cs="宋体"/>
          <w:color w:val="FF0000"/>
        </w:rPr>
      </w:pPr>
      <w:r>
        <w:rPr>
          <w:rFonts w:hint="eastAsia" w:ascii="宋体" w:hAnsi="宋体" w:cs="宋体"/>
          <w:color w:val="FF0000"/>
        </w:rPr>
        <w:t>1.股票估价基本模型</w:t>
      </w:r>
    </w:p>
    <w:p w14:paraId="32B21C6A">
      <w:pPr>
        <w:jc w:val="left"/>
        <w:rPr>
          <w:rFonts w:hint="eastAsia" w:ascii="宋体" w:hAnsi="宋体" w:cs="宋体"/>
        </w:rPr>
      </w:pPr>
      <w:r>
        <w:rPr>
          <w:rFonts w:hint="eastAsia" w:ascii="宋体" w:hAnsi="宋体" w:cs="宋体"/>
        </w:rPr>
        <w:t>股票的价值是投资于股票预期获得的未来现金流量的现值。（股利＋卖出股票现金回流）</w:t>
      </w:r>
    </w:p>
    <w:p w14:paraId="0A68D7DE">
      <w:pPr>
        <w:jc w:val="left"/>
        <w:rPr>
          <w:rFonts w:hint="eastAsia" w:ascii="宋体" w:hAnsi="宋体" w:cs="宋体"/>
          <w:color w:val="FF0000"/>
        </w:rPr>
      </w:pPr>
      <w:r>
        <w:rPr>
          <w:rFonts w:hint="eastAsia" w:ascii="宋体" w:hAnsi="宋体" w:cs="宋体"/>
          <w:color w:val="FF0000"/>
        </w:rPr>
        <w:t>2.固定增长模式</w:t>
      </w:r>
    </w:p>
    <w:p w14:paraId="679F5FB0">
      <w:pPr>
        <w:jc w:val="left"/>
        <w:rPr>
          <w:rFonts w:hint="eastAsia" w:ascii="宋体" w:hAnsi="宋体" w:cs="宋体"/>
        </w:rPr>
      </w:pPr>
      <w:r>
        <w:rPr>
          <w:rFonts w:hint="eastAsia" w:ascii="宋体" w:hAnsi="宋体" w:cs="宋体"/>
        </w:rPr>
        <w:drawing>
          <wp:inline distT="0" distB="0" distL="114300" distR="114300">
            <wp:extent cx="1770380" cy="554355"/>
            <wp:effectExtent l="0" t="0" r="0" b="17145"/>
            <wp:docPr id="12" name="图片 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NULL"/>
                    <pic:cNvPicPr>
                      <a:picLocks noChangeAspect="1"/>
                    </pic:cNvPicPr>
                  </pic:nvPicPr>
                  <pic:blipFill>
                    <a:blip r:embed="rId46" r:link="rId23">
                      <a:lum bright="-62000" contrast="-70001"/>
                    </a:blip>
                    <a:stretch>
                      <a:fillRect/>
                    </a:stretch>
                  </pic:blipFill>
                  <pic:spPr>
                    <a:xfrm>
                      <a:off x="0" y="0"/>
                      <a:ext cx="1770380" cy="554355"/>
                    </a:xfrm>
                    <a:prstGeom prst="rect">
                      <a:avLst/>
                    </a:prstGeom>
                    <a:noFill/>
                    <a:ln>
                      <a:noFill/>
                    </a:ln>
                  </pic:spPr>
                </pic:pic>
              </a:graphicData>
            </a:graphic>
          </wp:inline>
        </w:drawing>
      </w:r>
    </w:p>
    <w:p w14:paraId="3F6C5B3B">
      <w:pPr>
        <w:jc w:val="left"/>
        <w:rPr>
          <w:rFonts w:hint="eastAsia" w:ascii="宋体" w:hAnsi="宋体" w:cs="宋体"/>
          <w:color w:val="FF0000"/>
        </w:rPr>
      </w:pPr>
      <w:r>
        <w:rPr>
          <w:rFonts w:hint="eastAsia" w:ascii="宋体" w:hAnsi="宋体" w:cs="宋体"/>
          <w:color w:val="FF0000"/>
        </w:rPr>
        <w:t>3.零增长模式</w:t>
      </w:r>
    </w:p>
    <w:p w14:paraId="34926A0A">
      <w:pPr>
        <w:jc w:val="left"/>
        <w:rPr>
          <w:rFonts w:hint="eastAsia" w:ascii="宋体" w:hAnsi="宋体" w:cs="宋体"/>
        </w:rPr>
      </w:pPr>
      <w:r>
        <w:rPr>
          <w:rFonts w:hint="eastAsia" w:ascii="宋体" w:hAnsi="宋体" w:cs="宋体"/>
        </w:rPr>
        <w:t>Vs＝Do/Rs</w:t>
      </w:r>
    </w:p>
    <w:p w14:paraId="73B4DCEF">
      <w:pPr>
        <w:jc w:val="left"/>
        <w:rPr>
          <w:rFonts w:hint="eastAsia" w:ascii="宋体" w:hAnsi="宋体" w:cs="宋体"/>
          <w:color w:val="FF0000"/>
        </w:rPr>
      </w:pPr>
      <w:r>
        <w:rPr>
          <w:rFonts w:hint="eastAsia" w:ascii="宋体" w:hAnsi="宋体" w:cs="宋体"/>
          <w:color w:val="FF0000"/>
        </w:rPr>
        <w:t>4.阶段性增长模式</w:t>
      </w:r>
    </w:p>
    <w:p w14:paraId="7331A29B">
      <w:pPr>
        <w:jc w:val="left"/>
        <w:rPr>
          <w:rFonts w:hint="eastAsia" w:ascii="宋体" w:hAnsi="宋体" w:cs="宋体"/>
        </w:rPr>
      </w:pPr>
      <w:r>
        <w:rPr>
          <w:rFonts w:hint="eastAsia" w:ascii="宋体" w:hAnsi="宋体" w:cs="宋体"/>
        </w:rPr>
        <w:t>分段计算，确定股票的价值。</w:t>
      </w:r>
    </w:p>
    <w:p w14:paraId="57F96C8F">
      <w:pPr>
        <w:jc w:val="left"/>
        <w:rPr>
          <w:rFonts w:hint="eastAsia" w:ascii="宋体" w:hAnsi="宋体" w:cs="宋体"/>
          <w:color w:val="FF0000"/>
        </w:rPr>
      </w:pPr>
      <w:r>
        <w:rPr>
          <w:rFonts w:hint="eastAsia" w:ascii="宋体" w:hAnsi="宋体" w:cs="宋体"/>
          <w:color w:val="FF0000"/>
        </w:rPr>
        <w:t>【知识点6】股票投资收益率</w:t>
      </w:r>
    </w:p>
    <w:p w14:paraId="1F3382DC">
      <w:pPr>
        <w:jc w:val="left"/>
        <w:rPr>
          <w:rFonts w:hint="eastAsia" w:ascii="宋体" w:hAnsi="宋体" w:cs="宋体"/>
          <w:color w:val="FF0000"/>
        </w:rPr>
      </w:pPr>
      <w:r>
        <w:rPr>
          <w:rFonts w:hint="eastAsia" w:ascii="宋体" w:hAnsi="宋体" w:cs="宋体"/>
          <w:color w:val="FF0000"/>
        </w:rPr>
        <w:t>1.股票收益的来源</w:t>
      </w:r>
    </w:p>
    <w:p w14:paraId="6B5CE6C1">
      <w:pPr>
        <w:jc w:val="left"/>
        <w:rPr>
          <w:rFonts w:hint="eastAsia" w:ascii="宋体" w:hAnsi="宋体" w:cs="宋体"/>
        </w:rPr>
      </w:pPr>
      <w:r>
        <w:rPr>
          <w:rFonts w:hint="eastAsia" w:ascii="宋体" w:hAnsi="宋体" w:cs="宋体"/>
        </w:rPr>
        <w:t>股票投资的收益由股利收益、股利再投资收益、转让价差收益三部分构成。</w:t>
      </w:r>
    </w:p>
    <w:p w14:paraId="65B86908">
      <w:pPr>
        <w:jc w:val="left"/>
        <w:rPr>
          <w:rFonts w:hint="eastAsia" w:ascii="宋体" w:hAnsi="宋体" w:cs="宋体"/>
          <w:color w:val="FF0000"/>
        </w:rPr>
      </w:pPr>
      <w:r>
        <w:rPr>
          <w:rFonts w:hint="eastAsia" w:ascii="宋体" w:hAnsi="宋体" w:cs="宋体"/>
          <w:color w:val="FF0000"/>
        </w:rPr>
        <w:t>2.股票内部收益率</w:t>
      </w:r>
    </w:p>
    <w:p w14:paraId="429B1725">
      <w:pPr>
        <w:jc w:val="left"/>
        <w:rPr>
          <w:rFonts w:hint="eastAsia" w:ascii="宋体" w:hAnsi="宋体" w:cs="宋体"/>
        </w:rPr>
      </w:pPr>
      <w:r>
        <w:rPr>
          <w:rFonts w:hint="eastAsia" w:ascii="宋体" w:hAnsi="宋体" w:cs="宋体"/>
        </w:rPr>
        <w:drawing>
          <wp:inline distT="0" distB="0" distL="114300" distR="114300">
            <wp:extent cx="1011555" cy="525145"/>
            <wp:effectExtent l="0" t="0" r="0" b="7620"/>
            <wp:docPr id="13" name="图片 4" descr="1584669903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584669903573-0"/>
                    <pic:cNvPicPr>
                      <a:picLocks noChangeAspect="1"/>
                    </pic:cNvPicPr>
                  </pic:nvPicPr>
                  <pic:blipFill>
                    <a:blip r:embed="rId47">
                      <a:lum bright="-26001" contrast="-70001"/>
                    </a:blip>
                    <a:stretch>
                      <a:fillRect/>
                    </a:stretch>
                  </pic:blipFill>
                  <pic:spPr>
                    <a:xfrm>
                      <a:off x="0" y="0"/>
                      <a:ext cx="1011555" cy="525145"/>
                    </a:xfrm>
                    <a:prstGeom prst="rect">
                      <a:avLst/>
                    </a:prstGeom>
                    <a:noFill/>
                    <a:ln>
                      <a:noFill/>
                    </a:ln>
                  </pic:spPr>
                </pic:pic>
              </a:graphicData>
            </a:graphic>
          </wp:inline>
        </w:drawing>
      </w:r>
    </w:p>
    <w:p w14:paraId="100CBDC8">
      <w:pPr>
        <w:jc w:val="left"/>
        <w:rPr>
          <w:rFonts w:hint="eastAsia" w:ascii="宋体" w:hAnsi="宋体" w:cs="宋体"/>
        </w:rPr>
      </w:pPr>
      <w:r>
        <w:rPr>
          <w:rFonts w:hint="eastAsia" w:ascii="宋体" w:hAnsi="宋体" w:cs="宋体"/>
        </w:rPr>
        <w:t>如果投资者不打算长期持有股票，股票投资收益率是使股票投资净现值为零时的贴现率，计算公式为：</w:t>
      </w:r>
    </w:p>
    <w:p w14:paraId="02427235">
      <w:pPr>
        <w:jc w:val="left"/>
        <w:rPr>
          <w:rFonts w:hint="eastAsia" w:ascii="宋体" w:hAnsi="宋体" w:cs="宋体"/>
        </w:rPr>
      </w:pPr>
      <w:r>
        <w:rPr>
          <w:rFonts w:hint="eastAsia" w:ascii="宋体" w:hAnsi="宋体" w:cs="宋体"/>
        </w:rPr>
        <w:drawing>
          <wp:inline distT="0" distB="0" distL="114300" distR="114300">
            <wp:extent cx="2520315" cy="467360"/>
            <wp:effectExtent l="0" t="0" r="0" b="8255"/>
            <wp:docPr id="14" name="图片 4" descr="1584669903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584669903619-0"/>
                    <pic:cNvPicPr>
                      <a:picLocks noChangeAspect="1"/>
                    </pic:cNvPicPr>
                  </pic:nvPicPr>
                  <pic:blipFill>
                    <a:blip r:embed="rId48">
                      <a:lum bright="-38000" contrast="-70001"/>
                    </a:blip>
                    <a:stretch>
                      <a:fillRect/>
                    </a:stretch>
                  </pic:blipFill>
                  <pic:spPr>
                    <a:xfrm>
                      <a:off x="0" y="0"/>
                      <a:ext cx="2520315" cy="467360"/>
                    </a:xfrm>
                    <a:prstGeom prst="rect">
                      <a:avLst/>
                    </a:prstGeom>
                    <a:noFill/>
                    <a:ln>
                      <a:noFill/>
                    </a:ln>
                  </pic:spPr>
                </pic:pic>
              </a:graphicData>
            </a:graphic>
          </wp:inline>
        </w:drawing>
      </w:r>
    </w:p>
    <w:p w14:paraId="0C504BED">
      <w:pPr>
        <w:jc w:val="left"/>
        <w:rPr>
          <w:rFonts w:hint="eastAsia" w:ascii="宋体" w:hAnsi="宋体" w:cs="宋体"/>
          <w:color w:val="FF0000"/>
        </w:rPr>
      </w:pPr>
      <w:r>
        <w:rPr>
          <w:rFonts w:hint="eastAsia" w:ascii="宋体" w:hAnsi="宋体" w:cs="宋体"/>
          <w:color w:val="FF0000"/>
        </w:rPr>
        <w:t>【知识点7】证券投资基金的分类（六种主要分类方式）</w:t>
      </w:r>
    </w:p>
    <w:p w14:paraId="0528F25F">
      <w:pPr>
        <w:jc w:val="left"/>
        <w:rPr>
          <w:rFonts w:hint="eastAsia" w:ascii="宋体" w:hAnsi="宋体" w:cs="宋体"/>
        </w:rPr>
      </w:pPr>
      <w:r>
        <w:rPr>
          <w:rFonts w:hint="eastAsia" w:ascii="宋体" w:hAnsi="宋体" w:cs="宋体"/>
        </w:rPr>
        <w:t>（1）依据法律形式不同，证券投资基金可分为契约型基金和公司型基金</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8764"/>
      </w:tblGrid>
      <w:tr w14:paraId="024B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noWrap w:val="0"/>
            <w:vAlign w:val="top"/>
          </w:tcPr>
          <w:p w14:paraId="4E8BF781">
            <w:pPr>
              <w:jc w:val="left"/>
              <w:rPr>
                <w:rFonts w:hint="eastAsia" w:ascii="宋体" w:hAnsi="宋体" w:cs="宋体"/>
              </w:rPr>
            </w:pPr>
            <w:r>
              <w:rPr>
                <w:rFonts w:hint="eastAsia" w:ascii="宋体" w:hAnsi="宋体" w:cs="宋体"/>
              </w:rPr>
              <w:t>契约型基金</w:t>
            </w:r>
          </w:p>
        </w:tc>
        <w:tc>
          <w:tcPr>
            <w:tcW w:w="4322" w:type="pct"/>
            <w:noWrap w:val="0"/>
            <w:vAlign w:val="top"/>
          </w:tcPr>
          <w:p w14:paraId="78581CB5">
            <w:pPr>
              <w:jc w:val="left"/>
              <w:rPr>
                <w:rFonts w:hint="eastAsia" w:ascii="宋体" w:hAnsi="宋体" w:cs="宋体"/>
              </w:rPr>
            </w:pPr>
            <w:r>
              <w:rPr>
                <w:rFonts w:hint="eastAsia" w:ascii="宋体" w:hAnsi="宋体" w:cs="宋体"/>
              </w:rPr>
              <w:t>依据基金管理人、基金托管人之间签署基金合同设立，合同规定参与基金运作各方的权利与义务；投资者购买基金份额成为基金合同当事人，享有合同权利并承担相应义务</w:t>
            </w:r>
          </w:p>
        </w:tc>
      </w:tr>
      <w:tr w14:paraId="4802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noWrap w:val="0"/>
            <w:vAlign w:val="top"/>
          </w:tcPr>
          <w:p w14:paraId="751D8E99">
            <w:pPr>
              <w:jc w:val="left"/>
              <w:rPr>
                <w:rFonts w:hint="eastAsia" w:ascii="宋体" w:hAnsi="宋体" w:cs="宋体"/>
              </w:rPr>
            </w:pPr>
            <w:r>
              <w:rPr>
                <w:rFonts w:hint="eastAsia" w:ascii="宋体" w:hAnsi="宋体" w:cs="宋体"/>
              </w:rPr>
              <w:t>公司型基金</w:t>
            </w:r>
          </w:p>
        </w:tc>
        <w:tc>
          <w:tcPr>
            <w:tcW w:w="4322" w:type="pct"/>
            <w:noWrap w:val="0"/>
            <w:vAlign w:val="top"/>
          </w:tcPr>
          <w:p w14:paraId="14D764D9">
            <w:pPr>
              <w:jc w:val="left"/>
              <w:rPr>
                <w:rFonts w:hint="eastAsia" w:ascii="宋体" w:hAnsi="宋体" w:cs="宋体"/>
              </w:rPr>
            </w:pPr>
            <w:r>
              <w:rPr>
                <w:rFonts w:hint="eastAsia" w:ascii="宋体" w:hAnsi="宋体" w:cs="宋体"/>
              </w:rPr>
              <w:t>依基金公司章程设立的独立法人，基金投资者为基金公司股东，依持股比例分享投资收益并承担有限责任，委托基金管理公司作为专业投资顾问来经营与管理基金资产——区别于一般股份公司</w:t>
            </w:r>
          </w:p>
        </w:tc>
      </w:tr>
    </w:tbl>
    <w:p w14:paraId="4E344AAF">
      <w:pPr>
        <w:jc w:val="left"/>
        <w:rPr>
          <w:rFonts w:hint="eastAsia" w:ascii="宋体" w:hAnsi="宋体" w:cs="宋体"/>
        </w:rPr>
      </w:pPr>
      <w:r>
        <w:rPr>
          <w:rFonts w:hint="eastAsia" w:ascii="宋体" w:hAnsi="宋体" w:cs="宋体"/>
        </w:rPr>
        <w:t>（2）依据运作方式不同，证券投资基金可分为封闭式基金和开放式基金</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8764"/>
      </w:tblGrid>
      <w:tr w14:paraId="431E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noWrap w:val="0"/>
            <w:vAlign w:val="top"/>
          </w:tcPr>
          <w:p w14:paraId="39D223A2">
            <w:pPr>
              <w:jc w:val="left"/>
              <w:rPr>
                <w:rFonts w:hint="eastAsia" w:ascii="宋体" w:hAnsi="宋体" w:cs="宋体"/>
              </w:rPr>
            </w:pPr>
            <w:r>
              <w:rPr>
                <w:rFonts w:hint="eastAsia" w:ascii="宋体" w:hAnsi="宋体" w:cs="宋体"/>
              </w:rPr>
              <w:t>封闭式基金</w:t>
            </w:r>
          </w:p>
        </w:tc>
        <w:tc>
          <w:tcPr>
            <w:tcW w:w="4322" w:type="pct"/>
            <w:noWrap w:val="0"/>
            <w:vAlign w:val="top"/>
          </w:tcPr>
          <w:p w14:paraId="0950FE5C">
            <w:pPr>
              <w:jc w:val="left"/>
              <w:rPr>
                <w:rFonts w:hint="eastAsia" w:ascii="宋体" w:hAnsi="宋体" w:cs="宋体"/>
              </w:rPr>
            </w:pPr>
            <w:r>
              <w:rPr>
                <w:rFonts w:hint="eastAsia" w:ascii="宋体" w:hAnsi="宋体" w:cs="宋体"/>
              </w:rPr>
              <w:t>基金份额持有人不得在基金约定的运作期内赎回基金，即基金份额在合同期限内固定不变，适合进行长期投资的投资者</w:t>
            </w:r>
          </w:p>
        </w:tc>
      </w:tr>
      <w:tr w14:paraId="3A73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noWrap w:val="0"/>
            <w:vAlign w:val="top"/>
          </w:tcPr>
          <w:p w14:paraId="6BC784A5">
            <w:pPr>
              <w:jc w:val="left"/>
              <w:rPr>
                <w:rFonts w:hint="eastAsia" w:ascii="宋体" w:hAnsi="宋体" w:cs="宋体"/>
              </w:rPr>
            </w:pPr>
            <w:r>
              <w:rPr>
                <w:rFonts w:hint="eastAsia" w:ascii="宋体" w:hAnsi="宋体" w:cs="宋体"/>
              </w:rPr>
              <w:t>开放式基金</w:t>
            </w:r>
          </w:p>
        </w:tc>
        <w:tc>
          <w:tcPr>
            <w:tcW w:w="4322" w:type="pct"/>
            <w:noWrap w:val="0"/>
            <w:vAlign w:val="top"/>
          </w:tcPr>
          <w:p w14:paraId="584D18E5">
            <w:pPr>
              <w:jc w:val="left"/>
              <w:rPr>
                <w:rFonts w:hint="eastAsia" w:ascii="宋体" w:hAnsi="宋体" w:cs="宋体"/>
              </w:rPr>
            </w:pPr>
            <w:r>
              <w:rPr>
                <w:rFonts w:hint="eastAsia" w:ascii="宋体" w:hAnsi="宋体" w:cs="宋体"/>
              </w:rPr>
              <w:t>可以在合同约定的时间和场所对基金进行申购或赎回，即基金份额不固定，适合强调流动资金管理的投资者</w:t>
            </w:r>
          </w:p>
        </w:tc>
      </w:tr>
    </w:tbl>
    <w:p w14:paraId="4734007B">
      <w:pPr>
        <w:jc w:val="left"/>
        <w:rPr>
          <w:rFonts w:hint="eastAsia" w:ascii="宋体" w:hAnsi="宋体" w:cs="宋体"/>
        </w:rPr>
      </w:pPr>
      <w:r>
        <w:rPr>
          <w:rFonts w:hint="eastAsia" w:ascii="宋体" w:hAnsi="宋体" w:cs="宋体"/>
        </w:rPr>
        <w:t>（3）依据投资对象不同，证券投资基金可分为股票基金、债券基金、货币市场基金和混合基金</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8468"/>
      </w:tblGrid>
      <w:tr w14:paraId="3584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noWrap w:val="0"/>
            <w:vAlign w:val="top"/>
          </w:tcPr>
          <w:p w14:paraId="7E306862">
            <w:pPr>
              <w:jc w:val="left"/>
              <w:rPr>
                <w:rFonts w:hint="eastAsia" w:ascii="宋体" w:hAnsi="宋体" w:cs="宋体"/>
              </w:rPr>
            </w:pPr>
            <w:r>
              <w:rPr>
                <w:rFonts w:hint="eastAsia" w:ascii="宋体" w:hAnsi="宋体" w:cs="宋体"/>
              </w:rPr>
              <w:t>股票基金</w:t>
            </w:r>
          </w:p>
        </w:tc>
        <w:tc>
          <w:tcPr>
            <w:tcW w:w="4177" w:type="pct"/>
            <w:noWrap w:val="0"/>
            <w:vAlign w:val="top"/>
          </w:tcPr>
          <w:p w14:paraId="6E4A17A8">
            <w:pPr>
              <w:jc w:val="left"/>
              <w:rPr>
                <w:rFonts w:hint="eastAsia" w:ascii="宋体" w:hAnsi="宋体" w:cs="宋体"/>
              </w:rPr>
            </w:pPr>
            <w:r>
              <w:rPr>
                <w:rFonts w:hint="eastAsia" w:ascii="宋体" w:hAnsi="宋体" w:cs="宋体"/>
              </w:rPr>
              <w:t>基金资产80%以上投资于股票</w:t>
            </w:r>
          </w:p>
        </w:tc>
      </w:tr>
      <w:tr w14:paraId="6ADE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noWrap w:val="0"/>
            <w:vAlign w:val="top"/>
          </w:tcPr>
          <w:p w14:paraId="6236A6D6">
            <w:pPr>
              <w:jc w:val="left"/>
              <w:rPr>
                <w:rFonts w:hint="eastAsia" w:ascii="宋体" w:hAnsi="宋体" w:cs="宋体"/>
              </w:rPr>
            </w:pPr>
            <w:r>
              <w:rPr>
                <w:rFonts w:hint="eastAsia" w:ascii="宋体" w:hAnsi="宋体" w:cs="宋体"/>
              </w:rPr>
              <w:t>债券基金</w:t>
            </w:r>
          </w:p>
        </w:tc>
        <w:tc>
          <w:tcPr>
            <w:tcW w:w="4177" w:type="pct"/>
            <w:noWrap w:val="0"/>
            <w:vAlign w:val="top"/>
          </w:tcPr>
          <w:p w14:paraId="63938AD0">
            <w:pPr>
              <w:jc w:val="left"/>
              <w:rPr>
                <w:rFonts w:hint="eastAsia" w:ascii="宋体" w:hAnsi="宋体" w:cs="宋体"/>
              </w:rPr>
            </w:pPr>
            <w:r>
              <w:rPr>
                <w:rFonts w:hint="eastAsia" w:ascii="宋体" w:hAnsi="宋体" w:cs="宋体"/>
              </w:rPr>
              <w:t>基金资产80%以上投资于债券</w:t>
            </w:r>
          </w:p>
        </w:tc>
      </w:tr>
      <w:tr w14:paraId="63BA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noWrap w:val="0"/>
            <w:vAlign w:val="top"/>
          </w:tcPr>
          <w:p w14:paraId="6B69AA43">
            <w:pPr>
              <w:jc w:val="left"/>
              <w:rPr>
                <w:rFonts w:hint="eastAsia" w:ascii="宋体" w:hAnsi="宋体" w:cs="宋体"/>
              </w:rPr>
            </w:pPr>
            <w:r>
              <w:rPr>
                <w:rFonts w:hint="eastAsia" w:ascii="宋体" w:hAnsi="宋体" w:cs="宋体"/>
              </w:rPr>
              <w:t>货币市场基金</w:t>
            </w:r>
          </w:p>
        </w:tc>
        <w:tc>
          <w:tcPr>
            <w:tcW w:w="4177" w:type="pct"/>
            <w:noWrap w:val="0"/>
            <w:vAlign w:val="top"/>
          </w:tcPr>
          <w:p w14:paraId="17B55644">
            <w:pPr>
              <w:jc w:val="left"/>
              <w:rPr>
                <w:rFonts w:hint="eastAsia" w:ascii="宋体" w:hAnsi="宋体" w:cs="宋体"/>
              </w:rPr>
            </w:pPr>
            <w:r>
              <w:rPr>
                <w:rFonts w:hint="eastAsia" w:ascii="宋体" w:hAnsi="宋体" w:cs="宋体"/>
              </w:rPr>
              <w:t>仅投资于货币市场工具</w:t>
            </w:r>
          </w:p>
        </w:tc>
      </w:tr>
      <w:tr w14:paraId="0117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noWrap w:val="0"/>
            <w:vAlign w:val="top"/>
          </w:tcPr>
          <w:p w14:paraId="3BDFDDA5">
            <w:pPr>
              <w:jc w:val="left"/>
              <w:rPr>
                <w:rFonts w:hint="eastAsia" w:ascii="宋体" w:hAnsi="宋体" w:cs="宋体"/>
              </w:rPr>
            </w:pPr>
            <w:r>
              <w:rPr>
                <w:rFonts w:hint="eastAsia" w:ascii="宋体" w:hAnsi="宋体" w:cs="宋体"/>
              </w:rPr>
              <w:t>混合基金</w:t>
            </w:r>
          </w:p>
        </w:tc>
        <w:tc>
          <w:tcPr>
            <w:tcW w:w="4177" w:type="pct"/>
            <w:noWrap w:val="0"/>
            <w:vAlign w:val="top"/>
          </w:tcPr>
          <w:p w14:paraId="35867E2C">
            <w:pPr>
              <w:jc w:val="left"/>
              <w:rPr>
                <w:rFonts w:hint="eastAsia" w:ascii="宋体" w:hAnsi="宋体" w:cs="宋体"/>
              </w:rPr>
            </w:pPr>
            <w:r>
              <w:rPr>
                <w:rFonts w:hint="eastAsia" w:ascii="宋体" w:hAnsi="宋体" w:cs="宋体"/>
              </w:rPr>
              <w:t>投资于股票、债券和货币市场工具，但股票投资和债券投资的比例不符合股票基金、债券基金规定</w:t>
            </w:r>
          </w:p>
        </w:tc>
      </w:tr>
    </w:tbl>
    <w:p w14:paraId="6361D2BE">
      <w:pPr>
        <w:jc w:val="left"/>
        <w:rPr>
          <w:rFonts w:hint="eastAsia" w:ascii="宋体" w:hAnsi="宋体" w:cs="宋体"/>
        </w:rPr>
      </w:pPr>
      <w:r>
        <w:rPr>
          <w:rFonts w:hint="eastAsia" w:ascii="宋体" w:hAnsi="宋体" w:cs="宋体"/>
        </w:rPr>
        <w:t>（4）依据投资目标不同，证券投资基金可分为增长型基金、收入型基金和平衡型基金</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8750"/>
      </w:tblGrid>
      <w:tr w14:paraId="6DE3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noWrap w:val="0"/>
            <w:vAlign w:val="top"/>
          </w:tcPr>
          <w:p w14:paraId="675A2980">
            <w:pPr>
              <w:jc w:val="left"/>
              <w:rPr>
                <w:rFonts w:hint="eastAsia" w:ascii="宋体" w:hAnsi="宋体" w:cs="宋体"/>
              </w:rPr>
            </w:pPr>
            <w:r>
              <w:rPr>
                <w:rFonts w:hint="eastAsia" w:ascii="宋体" w:hAnsi="宋体" w:cs="宋体"/>
              </w:rPr>
              <w:t>增长型基金</w:t>
            </w:r>
          </w:p>
        </w:tc>
        <w:tc>
          <w:tcPr>
            <w:tcW w:w="4315" w:type="pct"/>
            <w:noWrap w:val="0"/>
            <w:vAlign w:val="top"/>
          </w:tcPr>
          <w:p w14:paraId="513E000E">
            <w:pPr>
              <w:jc w:val="left"/>
              <w:rPr>
                <w:rFonts w:hint="eastAsia" w:ascii="宋体" w:hAnsi="宋体" w:cs="宋体"/>
              </w:rPr>
            </w:pPr>
            <w:r>
              <w:rPr>
                <w:rFonts w:hint="eastAsia" w:ascii="宋体" w:hAnsi="宋体" w:cs="宋体"/>
              </w:rPr>
              <w:t>以获得资本增值为目标，较少考虑当期收入，主要投资于具有较好增长潜力的股票</w:t>
            </w:r>
          </w:p>
        </w:tc>
      </w:tr>
      <w:tr w14:paraId="62E6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noWrap w:val="0"/>
            <w:vAlign w:val="top"/>
          </w:tcPr>
          <w:p w14:paraId="7989DB31">
            <w:pPr>
              <w:jc w:val="left"/>
              <w:rPr>
                <w:rFonts w:hint="eastAsia" w:ascii="宋体" w:hAnsi="宋体" w:cs="宋体"/>
              </w:rPr>
            </w:pPr>
            <w:r>
              <w:rPr>
                <w:rFonts w:hint="eastAsia" w:ascii="宋体" w:hAnsi="宋体" w:cs="宋体"/>
              </w:rPr>
              <w:t>收入型基金</w:t>
            </w:r>
          </w:p>
        </w:tc>
        <w:tc>
          <w:tcPr>
            <w:tcW w:w="4315" w:type="pct"/>
            <w:noWrap w:val="0"/>
            <w:vAlign w:val="top"/>
          </w:tcPr>
          <w:p w14:paraId="10BFB15B">
            <w:pPr>
              <w:jc w:val="left"/>
              <w:rPr>
                <w:rFonts w:hint="eastAsia" w:ascii="宋体" w:hAnsi="宋体" w:cs="宋体"/>
              </w:rPr>
            </w:pPr>
            <w:r>
              <w:rPr>
                <w:rFonts w:hint="eastAsia" w:ascii="宋体" w:hAnsi="宋体" w:cs="宋体"/>
              </w:rPr>
              <w:t>关注能否取得稳定的经常性收入、投资对象集中于风险较低的蓝筹股、公司及政府债券等</w:t>
            </w:r>
          </w:p>
        </w:tc>
      </w:tr>
      <w:tr w14:paraId="63FE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noWrap w:val="0"/>
            <w:vAlign w:val="top"/>
          </w:tcPr>
          <w:p w14:paraId="5189455B">
            <w:pPr>
              <w:jc w:val="left"/>
              <w:rPr>
                <w:rFonts w:hint="eastAsia" w:ascii="宋体" w:hAnsi="宋体" w:cs="宋体"/>
              </w:rPr>
            </w:pPr>
            <w:r>
              <w:rPr>
                <w:rFonts w:hint="eastAsia" w:ascii="宋体" w:hAnsi="宋体" w:cs="宋体"/>
              </w:rPr>
              <w:t>平衡型基金</w:t>
            </w:r>
          </w:p>
        </w:tc>
        <w:tc>
          <w:tcPr>
            <w:tcW w:w="4315" w:type="pct"/>
            <w:noWrap w:val="0"/>
            <w:vAlign w:val="top"/>
          </w:tcPr>
          <w:p w14:paraId="4223EA54">
            <w:pPr>
              <w:jc w:val="left"/>
              <w:rPr>
                <w:rFonts w:hint="eastAsia" w:ascii="宋体" w:hAnsi="宋体" w:cs="宋体"/>
              </w:rPr>
            </w:pPr>
            <w:r>
              <w:rPr>
                <w:rFonts w:hint="eastAsia" w:ascii="宋体" w:hAnsi="宋体" w:cs="宋体"/>
              </w:rPr>
              <w:t>既关注是否能够获得资本增值，也关注收入问题</w:t>
            </w:r>
          </w:p>
        </w:tc>
      </w:tr>
    </w:tbl>
    <w:p w14:paraId="2BD710E3">
      <w:pPr>
        <w:jc w:val="left"/>
        <w:rPr>
          <w:rFonts w:hint="eastAsia" w:ascii="宋体" w:hAnsi="宋体" w:cs="宋体"/>
        </w:rPr>
      </w:pPr>
      <w:r>
        <w:rPr>
          <w:rFonts w:hint="eastAsia" w:ascii="宋体" w:hAnsi="宋体" w:cs="宋体"/>
          <w:color w:val="FF0000"/>
        </w:rPr>
        <w:t>【提示】</w:t>
      </w:r>
      <w:r>
        <w:rPr>
          <w:rFonts w:hint="eastAsia" w:ascii="宋体" w:hAnsi="宋体" w:cs="宋体"/>
        </w:rPr>
        <w:t>基金收益与风险由高至低的顺序为：增长型＞平衡型＞收入型</w:t>
      </w:r>
    </w:p>
    <w:p w14:paraId="48782710">
      <w:pPr>
        <w:jc w:val="left"/>
        <w:rPr>
          <w:rFonts w:hint="eastAsia" w:ascii="宋体" w:hAnsi="宋体" w:cs="宋体"/>
        </w:rPr>
      </w:pPr>
      <w:r>
        <w:rPr>
          <w:rFonts w:hint="eastAsia" w:ascii="宋体" w:hAnsi="宋体" w:cs="宋体"/>
        </w:rPr>
        <w:t>（5）依据投资理念不同，证券投资基金可分为主动型基金和被动（指数）型基金</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7899"/>
      </w:tblGrid>
      <w:tr w14:paraId="156F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pct"/>
            <w:noWrap w:val="0"/>
            <w:vAlign w:val="top"/>
          </w:tcPr>
          <w:p w14:paraId="54EBADF1">
            <w:pPr>
              <w:jc w:val="left"/>
              <w:rPr>
                <w:rFonts w:hint="eastAsia" w:ascii="宋体" w:hAnsi="宋体" w:cs="宋体"/>
              </w:rPr>
            </w:pPr>
            <w:r>
              <w:rPr>
                <w:rFonts w:hint="eastAsia" w:ascii="宋体" w:hAnsi="宋体" w:cs="宋体"/>
              </w:rPr>
              <w:t>主动型基金</w:t>
            </w:r>
          </w:p>
        </w:tc>
        <w:tc>
          <w:tcPr>
            <w:tcW w:w="3897" w:type="pct"/>
            <w:noWrap w:val="0"/>
            <w:vAlign w:val="top"/>
          </w:tcPr>
          <w:p w14:paraId="17C308BC">
            <w:pPr>
              <w:jc w:val="left"/>
              <w:rPr>
                <w:rFonts w:hint="eastAsia" w:ascii="宋体" w:hAnsi="宋体" w:cs="宋体"/>
              </w:rPr>
            </w:pPr>
            <w:r>
              <w:rPr>
                <w:rFonts w:hint="eastAsia" w:ascii="宋体" w:hAnsi="宋体" w:cs="宋体"/>
              </w:rPr>
              <w:t>由基金经理主动操盘投资于超越基准组合表现的投资组合</w:t>
            </w:r>
          </w:p>
        </w:tc>
      </w:tr>
      <w:tr w14:paraId="0033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pct"/>
            <w:noWrap w:val="0"/>
            <w:vAlign w:val="top"/>
          </w:tcPr>
          <w:p w14:paraId="14B25629">
            <w:pPr>
              <w:jc w:val="left"/>
              <w:rPr>
                <w:rFonts w:hint="eastAsia" w:ascii="宋体" w:hAnsi="宋体" w:cs="宋体"/>
              </w:rPr>
            </w:pPr>
            <w:r>
              <w:rPr>
                <w:rFonts w:hint="eastAsia" w:ascii="宋体" w:hAnsi="宋体" w:cs="宋体"/>
              </w:rPr>
              <w:t>被动（指数）型基金</w:t>
            </w:r>
          </w:p>
        </w:tc>
        <w:tc>
          <w:tcPr>
            <w:tcW w:w="3897" w:type="pct"/>
            <w:noWrap w:val="0"/>
            <w:vAlign w:val="top"/>
          </w:tcPr>
          <w:p w14:paraId="5D2A69C1">
            <w:pPr>
              <w:jc w:val="left"/>
              <w:rPr>
                <w:rFonts w:hint="eastAsia" w:ascii="宋体" w:hAnsi="宋体" w:cs="宋体"/>
              </w:rPr>
            </w:pPr>
            <w:r>
              <w:rPr>
                <w:rFonts w:hint="eastAsia" w:ascii="宋体" w:hAnsi="宋体" w:cs="宋体"/>
              </w:rPr>
              <w:t>期望通过复制指数的表现，选取特定的指数成分股作为投资对象，不期望能够超越基准组合，只求能够与所复制的指数表现同步</w:t>
            </w:r>
          </w:p>
        </w:tc>
      </w:tr>
    </w:tbl>
    <w:p w14:paraId="6612DFB1">
      <w:pPr>
        <w:jc w:val="left"/>
        <w:rPr>
          <w:rFonts w:hint="eastAsia" w:ascii="宋体" w:hAnsi="宋体" w:cs="宋体"/>
        </w:rPr>
      </w:pPr>
      <w:r>
        <w:rPr>
          <w:rFonts w:hint="eastAsia" w:ascii="宋体" w:hAnsi="宋体" w:cs="宋体"/>
        </w:rPr>
        <w:t>（6）依据募集方式不同，证券投资基金可分为私募基金和公募基金</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8831"/>
      </w:tblGrid>
      <w:tr w14:paraId="26FC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top"/>
          </w:tcPr>
          <w:p w14:paraId="404126EC">
            <w:pPr>
              <w:jc w:val="left"/>
              <w:rPr>
                <w:rFonts w:hint="eastAsia" w:ascii="宋体" w:hAnsi="宋体" w:cs="宋体"/>
              </w:rPr>
            </w:pPr>
            <w:r>
              <w:rPr>
                <w:rFonts w:hint="eastAsia" w:ascii="宋体" w:hAnsi="宋体" w:cs="宋体"/>
              </w:rPr>
              <w:t>私募基金</w:t>
            </w:r>
          </w:p>
        </w:tc>
        <w:tc>
          <w:tcPr>
            <w:tcW w:w="4355" w:type="pct"/>
            <w:noWrap w:val="0"/>
            <w:vAlign w:val="top"/>
          </w:tcPr>
          <w:p w14:paraId="78447810">
            <w:pPr>
              <w:jc w:val="left"/>
              <w:rPr>
                <w:rFonts w:hint="eastAsia" w:ascii="宋体" w:hAnsi="宋体" w:cs="宋体"/>
              </w:rPr>
            </w:pPr>
            <w:r>
              <w:rPr>
                <w:rFonts w:hint="eastAsia" w:ascii="宋体" w:hAnsi="宋体" w:cs="宋体"/>
              </w:rPr>
              <w:t>面向特定投资者采取非公开方式发售，投资者的风险承受能力较高，单个投资者涉及的资金量较大</w:t>
            </w:r>
          </w:p>
        </w:tc>
      </w:tr>
      <w:tr w14:paraId="5ABC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top"/>
          </w:tcPr>
          <w:p w14:paraId="13AA04F6">
            <w:pPr>
              <w:jc w:val="left"/>
              <w:rPr>
                <w:rFonts w:hint="eastAsia" w:ascii="宋体" w:hAnsi="宋体" w:cs="宋体"/>
              </w:rPr>
            </w:pPr>
            <w:r>
              <w:rPr>
                <w:rFonts w:hint="eastAsia" w:ascii="宋体" w:hAnsi="宋体" w:cs="宋体"/>
              </w:rPr>
              <w:t>公募基金</w:t>
            </w:r>
          </w:p>
        </w:tc>
        <w:tc>
          <w:tcPr>
            <w:tcW w:w="4355" w:type="pct"/>
            <w:noWrap w:val="0"/>
            <w:vAlign w:val="top"/>
          </w:tcPr>
          <w:p w14:paraId="39A94967">
            <w:pPr>
              <w:jc w:val="left"/>
              <w:rPr>
                <w:rFonts w:hint="eastAsia" w:ascii="宋体" w:hAnsi="宋体" w:cs="宋体"/>
              </w:rPr>
            </w:pPr>
            <w:r>
              <w:rPr>
                <w:rFonts w:hint="eastAsia" w:ascii="宋体" w:hAnsi="宋体" w:cs="宋体"/>
              </w:rPr>
              <w:t>面向社会公众公开发售，募集对象不确定，投资金额较低，适合中小投资者，监管更为严格、信息透明度要求更高</w:t>
            </w:r>
          </w:p>
        </w:tc>
      </w:tr>
    </w:tbl>
    <w:p w14:paraId="5A67DA8B">
      <w:pPr>
        <w:jc w:val="left"/>
        <w:rPr>
          <w:rFonts w:hint="eastAsia" w:ascii="宋体" w:hAnsi="宋体" w:cs="宋体"/>
          <w:color w:val="FF0000"/>
        </w:rPr>
      </w:pPr>
      <w:r>
        <w:rPr>
          <w:rFonts w:hint="eastAsia" w:ascii="宋体" w:hAnsi="宋体" w:cs="宋体"/>
          <w:color w:val="FF0000"/>
        </w:rPr>
        <w:t>【知识点8】证券投资基金业绩评价——系统评估指标评估基金业绩</w:t>
      </w:r>
    </w:p>
    <w:p w14:paraId="18D29785">
      <w:pPr>
        <w:jc w:val="left"/>
        <w:rPr>
          <w:rFonts w:hint="eastAsia" w:ascii="宋体" w:hAnsi="宋体" w:cs="宋体"/>
          <w:color w:val="FF0000"/>
        </w:rPr>
      </w:pPr>
      <w:r>
        <w:rPr>
          <w:rFonts w:hint="eastAsia" w:ascii="宋体" w:hAnsi="宋体" w:cs="宋体"/>
          <w:color w:val="FF0000"/>
        </w:rPr>
        <w:t>（1）绝对收益</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6"/>
        <w:gridCol w:w="7511"/>
      </w:tblGrid>
      <w:tr w14:paraId="2341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noWrap w:val="0"/>
            <w:vAlign w:val="top"/>
          </w:tcPr>
          <w:p w14:paraId="04679B31">
            <w:pPr>
              <w:jc w:val="left"/>
              <w:rPr>
                <w:rFonts w:hint="eastAsia" w:ascii="宋体" w:hAnsi="宋体" w:cs="宋体"/>
              </w:rPr>
            </w:pPr>
            <w:r>
              <w:rPr>
                <w:rFonts w:hint="eastAsia" w:ascii="宋体" w:hAnsi="宋体" w:cs="宋体"/>
              </w:rPr>
              <w:t>分类</w:t>
            </w:r>
          </w:p>
        </w:tc>
        <w:tc>
          <w:tcPr>
            <w:tcW w:w="3704" w:type="pct"/>
            <w:noWrap w:val="0"/>
            <w:vAlign w:val="top"/>
          </w:tcPr>
          <w:p w14:paraId="337E12B5">
            <w:pPr>
              <w:jc w:val="left"/>
              <w:rPr>
                <w:rFonts w:hint="eastAsia" w:ascii="宋体" w:hAnsi="宋体" w:cs="宋体"/>
              </w:rPr>
            </w:pPr>
            <w:r>
              <w:rPr>
                <w:rFonts w:hint="eastAsia" w:ascii="宋体" w:hAnsi="宋体" w:cs="宋体"/>
              </w:rPr>
              <w:t>公式</w:t>
            </w:r>
          </w:p>
        </w:tc>
      </w:tr>
      <w:tr w14:paraId="3742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noWrap w:val="0"/>
            <w:vAlign w:val="top"/>
          </w:tcPr>
          <w:p w14:paraId="60B73452">
            <w:pPr>
              <w:jc w:val="left"/>
              <w:rPr>
                <w:rFonts w:hint="eastAsia" w:ascii="宋体" w:hAnsi="宋体" w:cs="宋体"/>
              </w:rPr>
            </w:pPr>
            <w:r>
              <w:rPr>
                <w:rFonts w:hint="eastAsia" w:ascii="宋体" w:hAnsi="宋体" w:cs="宋体"/>
              </w:rPr>
              <w:t>期间收益率</w:t>
            </w:r>
          </w:p>
        </w:tc>
        <w:tc>
          <w:tcPr>
            <w:tcW w:w="3704" w:type="pct"/>
            <w:noWrap w:val="0"/>
            <w:vAlign w:val="top"/>
          </w:tcPr>
          <w:p w14:paraId="2BC8290E">
            <w:pPr>
              <w:jc w:val="left"/>
              <w:rPr>
                <w:rFonts w:hint="eastAsia" w:ascii="宋体" w:hAnsi="宋体" w:cs="宋体"/>
              </w:rPr>
            </w:pPr>
            <w:r>
              <w:rPr>
                <w:rFonts w:hint="eastAsia" w:ascii="宋体" w:hAnsi="宋体" w:cs="宋体"/>
              </w:rPr>
              <w:t>持有期间收益率=（期末资产价格 - 期初资产价格+持有期间红利收入）/期初资产价格*100%</w:t>
            </w:r>
          </w:p>
        </w:tc>
      </w:tr>
      <w:tr w14:paraId="5045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noWrap w:val="0"/>
            <w:vAlign w:val="top"/>
          </w:tcPr>
          <w:p w14:paraId="6F77934E">
            <w:pPr>
              <w:jc w:val="left"/>
              <w:rPr>
                <w:rFonts w:hint="eastAsia" w:ascii="宋体" w:hAnsi="宋体" w:cs="宋体"/>
              </w:rPr>
            </w:pPr>
            <w:r>
              <w:rPr>
                <w:rFonts w:hint="eastAsia" w:ascii="宋体" w:hAnsi="宋体" w:cs="宋体"/>
              </w:rPr>
              <w:t>现金流和时间加权收益率</w:t>
            </w:r>
          </w:p>
        </w:tc>
        <w:tc>
          <w:tcPr>
            <w:tcW w:w="3704" w:type="pct"/>
            <w:noWrap w:val="0"/>
            <w:vAlign w:val="top"/>
          </w:tcPr>
          <w:p w14:paraId="6FAF51DC">
            <w:pPr>
              <w:jc w:val="left"/>
              <w:rPr>
                <w:rFonts w:hint="eastAsia" w:ascii="宋体" w:hAnsi="宋体" w:cs="宋体"/>
              </w:rPr>
            </w:pPr>
            <w:r>
              <w:rPr>
                <w:rFonts w:hint="eastAsia" w:ascii="宋体" w:hAnsi="宋体" w:cs="宋体"/>
              </w:rPr>
              <w:t>将收益率计算区间划分为若干子区间，每个子区间以现金流发生时间划分，以各个子区间收益率为基础计算整个期间的绝对收益水平。</w:t>
            </w:r>
          </w:p>
        </w:tc>
      </w:tr>
      <w:tr w14:paraId="382C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noWrap w:val="0"/>
            <w:vAlign w:val="top"/>
          </w:tcPr>
          <w:p w14:paraId="515883C3">
            <w:pPr>
              <w:jc w:val="left"/>
              <w:rPr>
                <w:rFonts w:hint="eastAsia" w:ascii="宋体" w:hAnsi="宋体" w:cs="宋体"/>
              </w:rPr>
            </w:pPr>
            <w:r>
              <w:rPr>
                <w:rFonts w:hint="eastAsia" w:ascii="宋体" w:hAnsi="宋体" w:cs="宋体"/>
              </w:rPr>
              <w:t>平均收益率</w:t>
            </w:r>
          </w:p>
        </w:tc>
        <w:tc>
          <w:tcPr>
            <w:tcW w:w="3704" w:type="pct"/>
            <w:noWrap w:val="0"/>
            <w:vAlign w:val="top"/>
          </w:tcPr>
          <w:p w14:paraId="6AC6FB7E">
            <w:pPr>
              <w:jc w:val="left"/>
              <w:rPr>
                <w:rFonts w:hint="eastAsia" w:ascii="宋体" w:hAnsi="宋体" w:cs="宋体"/>
              </w:rPr>
            </w:pPr>
            <w:r>
              <w:rPr>
                <w:rFonts w:hint="eastAsia" w:ascii="宋体" w:hAnsi="宋体" w:cs="宋体"/>
              </w:rPr>
              <w:t>算数平均和几何平均</w:t>
            </w:r>
          </w:p>
        </w:tc>
      </w:tr>
    </w:tbl>
    <w:p w14:paraId="26A34FC9">
      <w:pPr>
        <w:jc w:val="left"/>
        <w:rPr>
          <w:rFonts w:hint="eastAsia" w:ascii="宋体" w:hAnsi="宋体" w:cs="宋体"/>
          <w:color w:val="FF0000"/>
        </w:rPr>
      </w:pPr>
      <w:r>
        <w:rPr>
          <w:rFonts w:hint="eastAsia" w:ascii="宋体" w:hAnsi="宋体" w:cs="宋体"/>
          <w:color w:val="FF0000"/>
        </w:rPr>
        <w:t>（2）相对收益</w:t>
      </w:r>
    </w:p>
    <w:p w14:paraId="6A595798">
      <w:pPr>
        <w:jc w:val="left"/>
        <w:rPr>
          <w:rFonts w:hint="eastAsia" w:ascii="宋体" w:hAnsi="宋体" w:cs="宋体"/>
        </w:rPr>
      </w:pPr>
      <w:r>
        <w:rPr>
          <w:rFonts w:hint="eastAsia" w:ascii="宋体" w:hAnsi="宋体" w:cs="宋体"/>
        </w:rPr>
        <w:t>基金的相对收益，是基金相对于一定业绩比较基准的收益，如沪深300指数，上证50指数等。</w:t>
      </w:r>
    </w:p>
    <w:p w14:paraId="323F584A">
      <w:pPr>
        <w:jc w:val="center"/>
        <w:rPr>
          <w:rFonts w:hint="eastAsia" w:ascii="宋体" w:hAnsi="宋体" w:cs="宋体"/>
          <w:b/>
          <w:bCs/>
        </w:rPr>
      </w:pPr>
      <w:r>
        <w:rPr>
          <w:rFonts w:hint="eastAsia" w:ascii="宋体" w:hAnsi="宋体" w:cs="宋体"/>
          <w:b/>
          <w:bCs/>
        </w:rPr>
        <w:t>第六章  投资管理</w:t>
      </w:r>
    </w:p>
    <w:p w14:paraId="1646E7A1">
      <w:pPr>
        <w:jc w:val="left"/>
        <w:rPr>
          <w:rFonts w:hint="eastAsia" w:ascii="宋体" w:hAnsi="宋体" w:cs="宋体"/>
          <w:color w:val="FF0000"/>
        </w:rPr>
      </w:pPr>
      <w:r>
        <w:rPr>
          <w:rFonts w:hint="eastAsia" w:ascii="宋体" w:hAnsi="宋体" w:cs="宋体"/>
          <w:color w:val="FF0000"/>
        </w:rPr>
        <w:t>【知识点9】期权合约</w:t>
      </w:r>
    </w:p>
    <w:p w14:paraId="17C57F54">
      <w:pPr>
        <w:jc w:val="left"/>
        <w:rPr>
          <w:rFonts w:hint="eastAsia" w:ascii="宋体" w:hAnsi="宋体" w:cs="宋体"/>
        </w:rPr>
      </w:pPr>
      <w:r>
        <w:rPr>
          <w:rFonts w:hint="eastAsia" w:ascii="宋体" w:hAnsi="宋体" w:cs="宋体"/>
        </w:rPr>
        <w:t>（一）期权合约的概念及构成要素</w:t>
      </w:r>
    </w:p>
    <w:p w14:paraId="47A02814">
      <w:pPr>
        <w:jc w:val="left"/>
        <w:rPr>
          <w:rFonts w:hint="eastAsia" w:ascii="宋体" w:hAnsi="宋体" w:cs="宋体"/>
        </w:rPr>
      </w:pPr>
      <w:r>
        <w:rPr>
          <w:rFonts w:hint="eastAsia" w:ascii="宋体" w:hAnsi="宋体" w:cs="宋体"/>
        </w:rPr>
        <w:t>1.期权合约的概念</w:t>
      </w:r>
    </w:p>
    <w:p w14:paraId="04FE08A3">
      <w:pPr>
        <w:jc w:val="left"/>
        <w:rPr>
          <w:rFonts w:hint="eastAsia" w:ascii="宋体" w:hAnsi="宋体" w:cs="宋体"/>
        </w:rPr>
      </w:pPr>
      <w:r>
        <w:rPr>
          <w:rFonts w:hint="eastAsia" w:ascii="宋体" w:hAnsi="宋体" w:cs="宋体"/>
        </w:rPr>
        <w:t>期权合约，又称选择权合约，是指合约合约持有人可以选择在某一特定时期或该日期之前的任何时间以约定价格买入或者卖出标的资产的合约，合约持有人可以选择行权或不行权。</w:t>
      </w:r>
    </w:p>
    <w:p w14:paraId="6F4C9750">
      <w:pPr>
        <w:jc w:val="left"/>
        <w:rPr>
          <w:rFonts w:hint="eastAsia" w:ascii="宋体" w:hAnsi="宋体" w:cs="宋体"/>
        </w:rPr>
      </w:pPr>
      <w:r>
        <w:rPr>
          <w:rFonts w:hint="eastAsia" w:ascii="宋体" w:hAnsi="宋体" w:cs="宋体"/>
        </w:rPr>
        <w:t>2.期权合约的要素</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8886"/>
      </w:tblGrid>
      <w:tr w14:paraId="225F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noWrap w:val="0"/>
            <w:vAlign w:val="top"/>
          </w:tcPr>
          <w:p w14:paraId="48725A17">
            <w:pPr>
              <w:rPr>
                <w:rFonts w:hint="eastAsia" w:ascii="宋体" w:hAnsi="宋体" w:cs="宋体"/>
              </w:rPr>
            </w:pPr>
            <w:r>
              <w:rPr>
                <w:rFonts w:hint="eastAsia" w:ascii="宋体" w:hAnsi="宋体" w:cs="宋体"/>
              </w:rPr>
              <w:t>要素名称</w:t>
            </w:r>
          </w:p>
        </w:tc>
        <w:tc>
          <w:tcPr>
            <w:tcW w:w="4382" w:type="pct"/>
            <w:shd w:val="clear" w:color="auto" w:fill="auto"/>
            <w:noWrap w:val="0"/>
            <w:vAlign w:val="top"/>
          </w:tcPr>
          <w:p w14:paraId="05A09142">
            <w:pPr>
              <w:rPr>
                <w:rFonts w:hint="eastAsia" w:ascii="宋体" w:hAnsi="宋体" w:cs="宋体"/>
              </w:rPr>
            </w:pPr>
            <w:r>
              <w:rPr>
                <w:rFonts w:hint="eastAsia" w:ascii="宋体" w:hAnsi="宋体" w:cs="宋体"/>
              </w:rPr>
              <w:t>含义</w:t>
            </w:r>
          </w:p>
        </w:tc>
      </w:tr>
      <w:tr w14:paraId="6D8B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noWrap w:val="0"/>
            <w:vAlign w:val="top"/>
          </w:tcPr>
          <w:p w14:paraId="2AB4C4D0">
            <w:pPr>
              <w:rPr>
                <w:rFonts w:hint="eastAsia" w:ascii="宋体" w:hAnsi="宋体" w:cs="宋体"/>
              </w:rPr>
            </w:pPr>
            <w:r>
              <w:rPr>
                <w:rFonts w:hint="eastAsia" w:ascii="宋体" w:hAnsi="宋体" w:cs="宋体"/>
              </w:rPr>
              <w:t>标的资产</w:t>
            </w:r>
          </w:p>
        </w:tc>
        <w:tc>
          <w:tcPr>
            <w:tcW w:w="4382" w:type="pct"/>
            <w:shd w:val="clear" w:color="auto" w:fill="auto"/>
            <w:noWrap w:val="0"/>
            <w:vAlign w:val="top"/>
          </w:tcPr>
          <w:p w14:paraId="664F8264">
            <w:pPr>
              <w:rPr>
                <w:rFonts w:hint="eastAsia" w:ascii="宋体" w:hAnsi="宋体" w:cs="宋体"/>
              </w:rPr>
            </w:pPr>
            <w:r>
              <w:rPr>
                <w:rFonts w:hint="eastAsia" w:ascii="宋体" w:hAnsi="宋体" w:cs="宋体"/>
              </w:rPr>
              <w:t>期权合约中约定交易的资产，包括商品、金融资产、利率、汇率或综合价格指数等</w:t>
            </w:r>
          </w:p>
        </w:tc>
      </w:tr>
      <w:tr w14:paraId="6BE0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noWrap w:val="0"/>
            <w:vAlign w:val="top"/>
          </w:tcPr>
          <w:p w14:paraId="4A38CE63">
            <w:pPr>
              <w:rPr>
                <w:rFonts w:hint="eastAsia" w:ascii="宋体" w:hAnsi="宋体" w:cs="宋体"/>
              </w:rPr>
            </w:pPr>
            <w:r>
              <w:rPr>
                <w:rFonts w:hint="eastAsia" w:ascii="宋体" w:hAnsi="宋体" w:cs="宋体"/>
              </w:rPr>
              <w:t>期权买方</w:t>
            </w:r>
          </w:p>
        </w:tc>
        <w:tc>
          <w:tcPr>
            <w:tcW w:w="4382" w:type="pct"/>
            <w:shd w:val="clear" w:color="auto" w:fill="auto"/>
            <w:noWrap w:val="0"/>
            <w:vAlign w:val="top"/>
          </w:tcPr>
          <w:p w14:paraId="27838746">
            <w:pPr>
              <w:rPr>
                <w:rFonts w:hint="eastAsia" w:ascii="宋体" w:hAnsi="宋体" w:cs="宋体"/>
              </w:rPr>
            </w:pPr>
            <w:r>
              <w:rPr>
                <w:rFonts w:hint="eastAsia" w:ascii="宋体" w:hAnsi="宋体" w:cs="宋体"/>
              </w:rPr>
              <w:t>也称：期权的多头。买方通过支付期权费用，获取期权合约规定的权利</w:t>
            </w:r>
          </w:p>
        </w:tc>
      </w:tr>
      <w:tr w14:paraId="2D3A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noWrap w:val="0"/>
            <w:vAlign w:val="top"/>
          </w:tcPr>
          <w:p w14:paraId="79C15377">
            <w:pPr>
              <w:rPr>
                <w:rFonts w:hint="eastAsia" w:ascii="宋体" w:hAnsi="宋体" w:cs="宋体"/>
              </w:rPr>
            </w:pPr>
            <w:r>
              <w:rPr>
                <w:rFonts w:hint="eastAsia" w:ascii="宋体" w:hAnsi="宋体" w:cs="宋体"/>
              </w:rPr>
              <w:t>期权卖方</w:t>
            </w:r>
          </w:p>
        </w:tc>
        <w:tc>
          <w:tcPr>
            <w:tcW w:w="4382" w:type="pct"/>
            <w:shd w:val="clear" w:color="auto" w:fill="auto"/>
            <w:noWrap w:val="0"/>
            <w:vAlign w:val="top"/>
          </w:tcPr>
          <w:p w14:paraId="3A4F6C7C">
            <w:pPr>
              <w:rPr>
                <w:rFonts w:hint="eastAsia" w:ascii="宋体" w:hAnsi="宋体" w:cs="宋体"/>
              </w:rPr>
            </w:pPr>
            <w:r>
              <w:rPr>
                <w:rFonts w:hint="eastAsia" w:ascii="宋体" w:hAnsi="宋体" w:cs="宋体"/>
              </w:rPr>
              <w:t>也称：期权的空头。卖出期权的一方通过获得买方支付的合约购买费用，承担在规定时间内履行期权合约义务的责任。</w:t>
            </w:r>
          </w:p>
        </w:tc>
      </w:tr>
      <w:tr w14:paraId="56CF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noWrap w:val="0"/>
            <w:vAlign w:val="top"/>
          </w:tcPr>
          <w:p w14:paraId="76DDD8A2">
            <w:pPr>
              <w:rPr>
                <w:rFonts w:hint="eastAsia" w:ascii="宋体" w:hAnsi="宋体" w:cs="宋体"/>
              </w:rPr>
            </w:pPr>
            <w:r>
              <w:rPr>
                <w:rFonts w:hint="eastAsia" w:ascii="宋体" w:hAnsi="宋体" w:cs="宋体"/>
              </w:rPr>
              <w:t>执行价格</w:t>
            </w:r>
          </w:p>
        </w:tc>
        <w:tc>
          <w:tcPr>
            <w:tcW w:w="4382" w:type="pct"/>
            <w:shd w:val="clear" w:color="auto" w:fill="auto"/>
            <w:noWrap w:val="0"/>
            <w:vAlign w:val="top"/>
          </w:tcPr>
          <w:p w14:paraId="3DC2CF53">
            <w:pPr>
              <w:rPr>
                <w:rFonts w:hint="eastAsia" w:ascii="宋体" w:hAnsi="宋体" w:cs="宋体"/>
              </w:rPr>
            </w:pPr>
            <w:r>
              <w:rPr>
                <w:rFonts w:hint="eastAsia" w:ascii="宋体" w:hAnsi="宋体" w:cs="宋体"/>
              </w:rPr>
              <w:t>依据合约规定，期权买方在行权时所实际执行的价格</w:t>
            </w:r>
          </w:p>
        </w:tc>
      </w:tr>
      <w:tr w14:paraId="365E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noWrap w:val="0"/>
            <w:vAlign w:val="top"/>
          </w:tcPr>
          <w:p w14:paraId="275D3680">
            <w:pPr>
              <w:rPr>
                <w:rFonts w:hint="eastAsia" w:ascii="宋体" w:hAnsi="宋体" w:cs="宋体"/>
              </w:rPr>
            </w:pPr>
            <w:r>
              <w:rPr>
                <w:rFonts w:hint="eastAsia" w:ascii="宋体" w:hAnsi="宋体" w:cs="宋体"/>
              </w:rPr>
              <w:t>期权费用</w:t>
            </w:r>
          </w:p>
        </w:tc>
        <w:tc>
          <w:tcPr>
            <w:tcW w:w="4382" w:type="pct"/>
            <w:shd w:val="clear" w:color="auto" w:fill="auto"/>
            <w:noWrap w:val="0"/>
            <w:vAlign w:val="top"/>
          </w:tcPr>
          <w:p w14:paraId="7DB8D2DB">
            <w:pPr>
              <w:rPr>
                <w:rFonts w:hint="eastAsia" w:ascii="宋体" w:hAnsi="宋体" w:cs="宋体"/>
              </w:rPr>
            </w:pPr>
            <w:r>
              <w:rPr>
                <w:rFonts w:hint="eastAsia" w:ascii="宋体" w:hAnsi="宋体" w:cs="宋体"/>
              </w:rPr>
              <w:t>期权买方为获取期权合约所赋予的权利而向卖方支付的费用，一旦支付，无论买方是否选择行权，费用不予退回</w:t>
            </w:r>
          </w:p>
        </w:tc>
      </w:tr>
    </w:tbl>
    <w:p w14:paraId="43AC6496">
      <w:pPr>
        <w:jc w:val="left"/>
        <w:rPr>
          <w:rFonts w:hint="eastAsia" w:ascii="宋体" w:hAnsi="宋体" w:cs="宋体"/>
        </w:rPr>
      </w:pPr>
      <w:r>
        <w:rPr>
          <w:rFonts w:hint="eastAsia" w:ascii="宋体" w:hAnsi="宋体" w:cs="宋体"/>
        </w:rPr>
        <w:t>（二）期权的类型</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7619"/>
      </w:tblGrid>
      <w:tr w14:paraId="5211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pct"/>
            <w:shd w:val="clear" w:color="auto" w:fill="auto"/>
            <w:noWrap w:val="0"/>
            <w:vAlign w:val="top"/>
          </w:tcPr>
          <w:p w14:paraId="30F5F092">
            <w:pPr>
              <w:rPr>
                <w:rFonts w:hint="eastAsia" w:ascii="宋体" w:hAnsi="宋体" w:cs="宋体"/>
              </w:rPr>
            </w:pPr>
            <w:r>
              <w:rPr>
                <w:rFonts w:hint="eastAsia" w:ascii="宋体" w:hAnsi="宋体" w:cs="宋体"/>
              </w:rPr>
              <w:t>期权分类的标准</w:t>
            </w:r>
          </w:p>
        </w:tc>
        <w:tc>
          <w:tcPr>
            <w:tcW w:w="3758" w:type="pct"/>
            <w:shd w:val="clear" w:color="auto" w:fill="auto"/>
            <w:noWrap w:val="0"/>
            <w:vAlign w:val="top"/>
          </w:tcPr>
          <w:p w14:paraId="67F81FBA">
            <w:pPr>
              <w:rPr>
                <w:rFonts w:hint="eastAsia" w:ascii="宋体" w:hAnsi="宋体" w:cs="宋体"/>
              </w:rPr>
            </w:pPr>
            <w:r>
              <w:rPr>
                <w:rFonts w:hint="eastAsia" w:ascii="宋体" w:hAnsi="宋体" w:cs="宋体"/>
              </w:rPr>
              <w:t>期权的种类</w:t>
            </w:r>
          </w:p>
        </w:tc>
      </w:tr>
      <w:tr w14:paraId="1BA0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pct"/>
            <w:vMerge w:val="restart"/>
            <w:shd w:val="clear" w:color="auto" w:fill="auto"/>
            <w:noWrap w:val="0"/>
            <w:vAlign w:val="top"/>
          </w:tcPr>
          <w:p w14:paraId="06DA153E">
            <w:pPr>
              <w:rPr>
                <w:rFonts w:hint="eastAsia" w:ascii="宋体" w:hAnsi="宋体" w:cs="宋体"/>
              </w:rPr>
            </w:pPr>
            <w:r>
              <w:rPr>
                <w:rFonts w:hint="eastAsia" w:ascii="宋体" w:hAnsi="宋体" w:cs="宋体"/>
              </w:rPr>
              <w:t>按执行时间的不同</w:t>
            </w:r>
          </w:p>
        </w:tc>
        <w:tc>
          <w:tcPr>
            <w:tcW w:w="3758" w:type="pct"/>
            <w:shd w:val="clear" w:color="auto" w:fill="auto"/>
            <w:noWrap w:val="0"/>
            <w:vAlign w:val="top"/>
          </w:tcPr>
          <w:p w14:paraId="08B859BF">
            <w:pPr>
              <w:rPr>
                <w:rFonts w:hint="eastAsia" w:ascii="宋体" w:hAnsi="宋体" w:cs="宋体"/>
              </w:rPr>
            </w:pPr>
            <w:r>
              <w:rPr>
                <w:rFonts w:hint="eastAsia" w:ascii="宋体" w:hAnsi="宋体" w:cs="宋体"/>
              </w:rPr>
              <w:t>欧式期权：只能在到期日行权。</w:t>
            </w:r>
          </w:p>
        </w:tc>
      </w:tr>
      <w:tr w14:paraId="1C10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pct"/>
            <w:vMerge w:val="continue"/>
            <w:shd w:val="clear" w:color="auto" w:fill="auto"/>
            <w:noWrap w:val="0"/>
            <w:vAlign w:val="top"/>
          </w:tcPr>
          <w:p w14:paraId="36333032">
            <w:pPr>
              <w:jc w:val="left"/>
              <w:rPr>
                <w:rFonts w:hint="eastAsia" w:ascii="宋体" w:hAnsi="宋体" w:cs="宋体"/>
              </w:rPr>
            </w:pPr>
          </w:p>
        </w:tc>
        <w:tc>
          <w:tcPr>
            <w:tcW w:w="3758" w:type="pct"/>
            <w:shd w:val="clear" w:color="auto" w:fill="auto"/>
            <w:noWrap w:val="0"/>
            <w:vAlign w:val="top"/>
          </w:tcPr>
          <w:p w14:paraId="403382E9">
            <w:pPr>
              <w:rPr>
                <w:rFonts w:hint="eastAsia" w:ascii="宋体" w:hAnsi="宋体" w:cs="宋体"/>
              </w:rPr>
            </w:pPr>
            <w:r>
              <w:rPr>
                <w:rFonts w:hint="eastAsia" w:ascii="宋体" w:hAnsi="宋体" w:cs="宋体"/>
              </w:rPr>
              <w:t>美式期权：可以在到期日前任何时点行权。</w:t>
            </w:r>
          </w:p>
        </w:tc>
      </w:tr>
      <w:tr w14:paraId="2CAD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pct"/>
            <w:vMerge w:val="restart"/>
            <w:shd w:val="clear" w:color="auto" w:fill="auto"/>
            <w:noWrap w:val="0"/>
            <w:vAlign w:val="top"/>
          </w:tcPr>
          <w:p w14:paraId="13F6F1A4">
            <w:pPr>
              <w:rPr>
                <w:rFonts w:hint="eastAsia" w:ascii="宋体" w:hAnsi="宋体" w:cs="宋体"/>
              </w:rPr>
            </w:pPr>
            <w:r>
              <w:rPr>
                <w:rFonts w:hint="eastAsia" w:ascii="宋体" w:hAnsi="宋体" w:cs="宋体"/>
              </w:rPr>
              <w:t>按期权买方的权利不同</w:t>
            </w:r>
          </w:p>
        </w:tc>
        <w:tc>
          <w:tcPr>
            <w:tcW w:w="3758" w:type="pct"/>
            <w:shd w:val="clear" w:color="auto" w:fill="auto"/>
            <w:noWrap w:val="0"/>
            <w:vAlign w:val="top"/>
          </w:tcPr>
          <w:p w14:paraId="4C978639">
            <w:pPr>
              <w:rPr>
                <w:rFonts w:hint="eastAsia" w:ascii="宋体" w:hAnsi="宋体" w:cs="宋体"/>
              </w:rPr>
            </w:pPr>
            <w:r>
              <w:rPr>
                <w:rFonts w:hint="eastAsia" w:ascii="宋体" w:hAnsi="宋体" w:cs="宋体"/>
              </w:rPr>
              <w:t>看涨期权：指期权赋予持有人在到期日或到期日之前任何时间，以固定价格购买标的资产的权利。</w:t>
            </w:r>
          </w:p>
        </w:tc>
      </w:tr>
      <w:tr w14:paraId="1AB1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pct"/>
            <w:vMerge w:val="continue"/>
            <w:shd w:val="clear" w:color="auto" w:fill="auto"/>
            <w:noWrap w:val="0"/>
            <w:vAlign w:val="top"/>
          </w:tcPr>
          <w:p w14:paraId="38F4B739">
            <w:pPr>
              <w:jc w:val="left"/>
              <w:rPr>
                <w:rFonts w:hint="eastAsia" w:ascii="宋体" w:hAnsi="宋体" w:cs="宋体"/>
              </w:rPr>
            </w:pPr>
          </w:p>
        </w:tc>
        <w:tc>
          <w:tcPr>
            <w:tcW w:w="3758" w:type="pct"/>
            <w:shd w:val="clear" w:color="auto" w:fill="auto"/>
            <w:noWrap w:val="0"/>
            <w:vAlign w:val="top"/>
          </w:tcPr>
          <w:p w14:paraId="2D3070DD">
            <w:pPr>
              <w:rPr>
                <w:rFonts w:hint="eastAsia" w:ascii="宋体" w:hAnsi="宋体" w:cs="宋体"/>
              </w:rPr>
            </w:pPr>
            <w:r>
              <w:rPr>
                <w:rFonts w:hint="eastAsia" w:ascii="宋体" w:hAnsi="宋体" w:cs="宋体"/>
              </w:rPr>
              <w:t>看跌期权：指期权赋予持有人在到期日或到期日之前任何时间，以固定价格出售标的资产的权利。</w:t>
            </w:r>
          </w:p>
        </w:tc>
      </w:tr>
    </w:tbl>
    <w:p w14:paraId="6D40E056">
      <w:pPr>
        <w:jc w:val="left"/>
        <w:rPr>
          <w:rFonts w:hint="eastAsia" w:ascii="宋体" w:hAnsi="宋体" w:cs="宋体"/>
        </w:rPr>
      </w:pPr>
      <w:r>
        <w:rPr>
          <w:rFonts w:hint="eastAsia" w:ascii="宋体" w:hAnsi="宋体" w:cs="宋体"/>
        </w:rPr>
        <w:t>（三）期权到期日价值与净损益的计算</w:t>
      </w:r>
    </w:p>
    <w:p w14:paraId="1CD77EA7">
      <w:pPr>
        <w:jc w:val="left"/>
        <w:rPr>
          <w:rFonts w:hint="eastAsia" w:ascii="宋体" w:hAnsi="宋体" w:cs="宋体"/>
        </w:rPr>
      </w:pPr>
      <w:r>
        <w:rPr>
          <w:rFonts w:hint="eastAsia" w:ascii="宋体" w:hAnsi="宋体" w:cs="宋体"/>
        </w:rPr>
        <w:t>1.买入看涨期权合约</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7050"/>
      </w:tblGrid>
      <w:tr w14:paraId="08E2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shd w:val="clear" w:color="auto" w:fill="auto"/>
            <w:noWrap w:val="0"/>
            <w:vAlign w:val="top"/>
          </w:tcPr>
          <w:p w14:paraId="75BBCAA2">
            <w:pPr>
              <w:jc w:val="left"/>
              <w:rPr>
                <w:rFonts w:hint="eastAsia" w:ascii="宋体" w:hAnsi="宋体" w:cs="宋体"/>
              </w:rPr>
            </w:pPr>
            <w:r>
              <w:rPr>
                <w:rFonts w:hint="eastAsia" w:ascii="宋体" w:hAnsi="宋体" w:cs="宋体"/>
              </w:rPr>
              <w:t>买入看涨期权到期日价值V</w:t>
            </w:r>
          </w:p>
          <w:p w14:paraId="034FE14C">
            <w:pPr>
              <w:rPr>
                <w:rFonts w:hint="eastAsia" w:ascii="宋体" w:hAnsi="宋体" w:cs="宋体"/>
              </w:rPr>
            </w:pPr>
            <w:r>
              <w:rPr>
                <w:rFonts w:hint="eastAsia" w:ascii="宋体" w:hAnsi="宋体" w:cs="宋体"/>
              </w:rPr>
              <w:t> </w:t>
            </w:r>
          </w:p>
        </w:tc>
        <w:tc>
          <w:tcPr>
            <w:tcW w:w="3478" w:type="pct"/>
            <w:shd w:val="clear" w:color="auto" w:fill="auto"/>
            <w:noWrap w:val="0"/>
            <w:vAlign w:val="top"/>
          </w:tcPr>
          <w:p w14:paraId="0C71D8AE">
            <w:pPr>
              <w:jc w:val="left"/>
              <w:rPr>
                <w:rFonts w:hint="eastAsia" w:ascii="宋体" w:hAnsi="宋体" w:cs="宋体"/>
              </w:rPr>
            </w:pPr>
            <w:r>
              <w:rPr>
                <w:rFonts w:hint="eastAsia" w:ascii="宋体" w:hAnsi="宋体" w:cs="宋体"/>
              </w:rPr>
              <w:t>若到期日标的资产市价Am大于执行价格X，期权持有人会选择执行期权。</w:t>
            </w:r>
          </w:p>
          <w:p w14:paraId="796442F7">
            <w:pPr>
              <w:jc w:val="left"/>
              <w:rPr>
                <w:rFonts w:hint="eastAsia" w:ascii="宋体" w:hAnsi="宋体" w:cs="宋体"/>
              </w:rPr>
            </w:pPr>
            <w:r>
              <w:rPr>
                <w:rFonts w:hint="eastAsia" w:ascii="宋体" w:hAnsi="宋体" w:cs="宋体"/>
              </w:rPr>
              <w:t>买入看涨期权的到期日价值=Max（Am-X，0）</w:t>
            </w:r>
          </w:p>
          <w:p w14:paraId="0BB4CEFD">
            <w:pPr>
              <w:jc w:val="left"/>
              <w:rPr>
                <w:rFonts w:hint="eastAsia" w:ascii="宋体" w:hAnsi="宋体" w:cs="宋体"/>
              </w:rPr>
            </w:pPr>
            <w:r>
              <w:rPr>
                <w:rFonts w:hint="eastAsia" w:ascii="宋体" w:hAnsi="宋体" w:cs="宋体"/>
              </w:rPr>
              <w:t>其中：Am：标的资产市价；     X：期权执行价格</w:t>
            </w:r>
          </w:p>
        </w:tc>
      </w:tr>
      <w:tr w14:paraId="2AEA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shd w:val="clear" w:color="auto" w:fill="auto"/>
            <w:noWrap w:val="0"/>
            <w:vAlign w:val="top"/>
          </w:tcPr>
          <w:p w14:paraId="205B5D5E">
            <w:pPr>
              <w:jc w:val="left"/>
              <w:rPr>
                <w:rFonts w:hint="eastAsia" w:ascii="宋体" w:hAnsi="宋体" w:cs="宋体"/>
              </w:rPr>
            </w:pPr>
            <w:r>
              <w:rPr>
                <w:rFonts w:hint="eastAsia" w:ascii="宋体" w:hAnsi="宋体" w:cs="宋体"/>
              </w:rPr>
              <w:t>买入看涨期权到期日净损益P</w:t>
            </w:r>
          </w:p>
        </w:tc>
        <w:tc>
          <w:tcPr>
            <w:tcW w:w="3478" w:type="pct"/>
            <w:shd w:val="clear" w:color="auto" w:fill="auto"/>
            <w:noWrap w:val="0"/>
            <w:vAlign w:val="top"/>
          </w:tcPr>
          <w:p w14:paraId="0916E6DD">
            <w:pPr>
              <w:jc w:val="left"/>
              <w:rPr>
                <w:rFonts w:hint="eastAsia" w:ascii="宋体" w:hAnsi="宋体" w:cs="宋体"/>
              </w:rPr>
            </w:pPr>
            <w:r>
              <w:rPr>
                <w:rFonts w:hint="eastAsia" w:ascii="宋体" w:hAnsi="宋体" w:cs="宋体"/>
              </w:rPr>
              <w:t>P=V-期权费用 =MAX（Am-X,0）-期权费用</w:t>
            </w:r>
          </w:p>
        </w:tc>
      </w:tr>
    </w:tbl>
    <w:p w14:paraId="7E69A3AD">
      <w:pPr>
        <w:jc w:val="left"/>
        <w:rPr>
          <w:rFonts w:hint="eastAsia" w:ascii="宋体" w:hAnsi="宋体" w:cs="宋体"/>
        </w:rPr>
      </w:pPr>
      <w:r>
        <w:rPr>
          <w:rFonts w:hint="eastAsia" w:ascii="宋体" w:hAnsi="宋体" w:cs="宋体"/>
          <w:color w:val="FF0000"/>
        </w:rPr>
        <w:t>【提示】</w:t>
      </w:r>
      <w:r>
        <w:rPr>
          <w:rFonts w:hint="eastAsia" w:ascii="宋体" w:hAnsi="宋体" w:cs="宋体"/>
        </w:rPr>
        <w:t>买入看涨期权方的净损益损失最大为期权费用，净收益则没有上限</w:t>
      </w:r>
    </w:p>
    <w:p w14:paraId="34E0532D">
      <w:pPr>
        <w:jc w:val="left"/>
        <w:rPr>
          <w:rFonts w:hint="eastAsia" w:ascii="宋体" w:hAnsi="宋体" w:cs="宋体"/>
        </w:rPr>
      </w:pPr>
      <w:r>
        <w:rPr>
          <w:rFonts w:hint="eastAsia" w:ascii="宋体" w:hAnsi="宋体" w:cs="宋体"/>
        </w:rPr>
        <w:t>2.卖出看涨期权合约</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8"/>
        <w:gridCol w:w="5069"/>
      </w:tblGrid>
      <w:tr w14:paraId="7C1A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noWrap w:val="0"/>
            <w:vAlign w:val="top"/>
          </w:tcPr>
          <w:p w14:paraId="04DB2A39">
            <w:pPr>
              <w:rPr>
                <w:rFonts w:hint="eastAsia" w:ascii="宋体" w:hAnsi="宋体" w:cs="宋体"/>
              </w:rPr>
            </w:pPr>
            <w:r>
              <w:rPr>
                <w:rFonts w:hint="eastAsia" w:ascii="宋体" w:hAnsi="宋体" w:cs="宋体"/>
              </w:rPr>
              <w:t>卖出看涨期权到期日价值V</w:t>
            </w:r>
          </w:p>
        </w:tc>
        <w:tc>
          <w:tcPr>
            <w:tcW w:w="2500" w:type="pct"/>
            <w:shd w:val="clear" w:color="auto" w:fill="auto"/>
            <w:noWrap w:val="0"/>
            <w:vAlign w:val="top"/>
          </w:tcPr>
          <w:p w14:paraId="140452D5">
            <w:pPr>
              <w:rPr>
                <w:rFonts w:hint="eastAsia" w:ascii="宋体" w:hAnsi="宋体" w:cs="宋体"/>
              </w:rPr>
            </w:pPr>
            <w:r>
              <w:rPr>
                <w:rFonts w:hint="eastAsia" w:ascii="宋体" w:hAnsi="宋体" w:cs="宋体"/>
              </w:rPr>
              <w:t>V=-Max（Am-X，0）</w:t>
            </w:r>
          </w:p>
        </w:tc>
      </w:tr>
      <w:tr w14:paraId="2883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noWrap w:val="0"/>
            <w:vAlign w:val="top"/>
          </w:tcPr>
          <w:p w14:paraId="0C223390">
            <w:pPr>
              <w:jc w:val="left"/>
              <w:rPr>
                <w:rFonts w:hint="eastAsia" w:ascii="宋体" w:hAnsi="宋体" w:cs="宋体"/>
              </w:rPr>
            </w:pPr>
            <w:r>
              <w:rPr>
                <w:rFonts w:hint="eastAsia" w:ascii="宋体" w:hAnsi="宋体" w:cs="宋体"/>
              </w:rPr>
              <w:t>卖出看涨期权到期日净损益P</w:t>
            </w:r>
          </w:p>
        </w:tc>
        <w:tc>
          <w:tcPr>
            <w:tcW w:w="2500" w:type="pct"/>
            <w:shd w:val="clear" w:color="auto" w:fill="auto"/>
            <w:noWrap w:val="0"/>
            <w:vAlign w:val="top"/>
          </w:tcPr>
          <w:p w14:paraId="1DB181A3">
            <w:pPr>
              <w:jc w:val="left"/>
              <w:rPr>
                <w:rFonts w:hint="eastAsia" w:ascii="宋体" w:hAnsi="宋体" w:cs="宋体"/>
              </w:rPr>
            </w:pPr>
            <w:r>
              <w:rPr>
                <w:rFonts w:hint="eastAsia" w:ascii="宋体" w:hAnsi="宋体" w:cs="宋体"/>
              </w:rPr>
              <w:t>P=V+期权费用</w:t>
            </w:r>
          </w:p>
        </w:tc>
      </w:tr>
    </w:tbl>
    <w:p w14:paraId="2FEF756D">
      <w:pPr>
        <w:jc w:val="left"/>
        <w:rPr>
          <w:rFonts w:hint="eastAsia" w:ascii="宋体" w:hAnsi="宋体" w:cs="宋体"/>
        </w:rPr>
      </w:pPr>
      <w:r>
        <w:rPr>
          <w:rFonts w:hint="eastAsia" w:ascii="宋体" w:hAnsi="宋体" w:cs="宋体"/>
          <w:color w:val="FF0000"/>
        </w:rPr>
        <w:t>【提示】</w:t>
      </w:r>
      <w:r>
        <w:rPr>
          <w:rFonts w:hint="eastAsia" w:ascii="宋体" w:hAnsi="宋体" w:cs="宋体"/>
        </w:rPr>
        <w:t>卖出看涨期权方的净损失没有下限，净收益最大为期权费用</w:t>
      </w:r>
    </w:p>
    <w:p w14:paraId="72165E17">
      <w:pPr>
        <w:jc w:val="left"/>
        <w:rPr>
          <w:rFonts w:hint="eastAsia" w:ascii="宋体" w:hAnsi="宋体" w:cs="宋体"/>
        </w:rPr>
      </w:pPr>
      <w:r>
        <w:rPr>
          <w:rFonts w:hint="eastAsia" w:ascii="宋体" w:hAnsi="宋体" w:cs="宋体"/>
        </w:rPr>
        <w:t>3.买入看跌期权合约</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7050"/>
      </w:tblGrid>
      <w:tr w14:paraId="170E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shd w:val="clear" w:color="auto" w:fill="auto"/>
            <w:noWrap w:val="0"/>
            <w:vAlign w:val="top"/>
          </w:tcPr>
          <w:p w14:paraId="6BA23246">
            <w:pPr>
              <w:rPr>
                <w:rFonts w:hint="eastAsia" w:ascii="宋体" w:hAnsi="宋体" w:cs="宋体"/>
              </w:rPr>
            </w:pPr>
            <w:r>
              <w:rPr>
                <w:rFonts w:hint="eastAsia" w:ascii="宋体" w:hAnsi="宋体" w:cs="宋体"/>
              </w:rPr>
              <w:t>买入看跌期权到期日价值V</w:t>
            </w:r>
          </w:p>
        </w:tc>
        <w:tc>
          <w:tcPr>
            <w:tcW w:w="3478" w:type="pct"/>
            <w:shd w:val="clear" w:color="auto" w:fill="auto"/>
            <w:noWrap w:val="0"/>
            <w:vAlign w:val="top"/>
          </w:tcPr>
          <w:p w14:paraId="631A7D93">
            <w:pPr>
              <w:jc w:val="left"/>
              <w:rPr>
                <w:rFonts w:hint="eastAsia" w:ascii="宋体" w:hAnsi="宋体" w:cs="宋体"/>
              </w:rPr>
            </w:pPr>
            <w:r>
              <w:rPr>
                <w:rFonts w:hint="eastAsia" w:ascii="宋体" w:hAnsi="宋体" w:cs="宋体"/>
              </w:rPr>
              <w:t>若到期日标的资产市价Am小于执行价格X，期权持有人会选择执行期权。</w:t>
            </w:r>
          </w:p>
          <w:p w14:paraId="08105CCE">
            <w:pPr>
              <w:rPr>
                <w:rFonts w:hint="eastAsia" w:ascii="宋体" w:hAnsi="宋体" w:cs="宋体"/>
              </w:rPr>
            </w:pPr>
            <w:r>
              <w:rPr>
                <w:rFonts w:hint="eastAsia" w:ascii="宋体" w:hAnsi="宋体" w:cs="宋体"/>
              </w:rPr>
              <w:t>V=Max（X-Am，0）</w:t>
            </w:r>
          </w:p>
        </w:tc>
      </w:tr>
      <w:tr w14:paraId="2641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shd w:val="clear" w:color="auto" w:fill="auto"/>
            <w:noWrap w:val="0"/>
            <w:vAlign w:val="top"/>
          </w:tcPr>
          <w:p w14:paraId="75DAEC7D">
            <w:pPr>
              <w:jc w:val="left"/>
              <w:rPr>
                <w:rFonts w:hint="eastAsia" w:ascii="宋体" w:hAnsi="宋体" w:cs="宋体"/>
              </w:rPr>
            </w:pPr>
            <w:r>
              <w:rPr>
                <w:rFonts w:hint="eastAsia" w:ascii="宋体" w:hAnsi="宋体" w:cs="宋体"/>
              </w:rPr>
              <w:t>买入看跌期权到期日净损益P</w:t>
            </w:r>
          </w:p>
        </w:tc>
        <w:tc>
          <w:tcPr>
            <w:tcW w:w="3478" w:type="pct"/>
            <w:shd w:val="clear" w:color="auto" w:fill="auto"/>
            <w:noWrap w:val="0"/>
            <w:vAlign w:val="top"/>
          </w:tcPr>
          <w:p w14:paraId="17EDB727">
            <w:pPr>
              <w:jc w:val="left"/>
              <w:rPr>
                <w:rFonts w:hint="eastAsia" w:ascii="宋体" w:hAnsi="宋体" w:cs="宋体"/>
              </w:rPr>
            </w:pPr>
            <w:r>
              <w:rPr>
                <w:rFonts w:hint="eastAsia" w:ascii="宋体" w:hAnsi="宋体" w:cs="宋体"/>
              </w:rPr>
              <w:t>P=V-期权费用</w:t>
            </w:r>
          </w:p>
        </w:tc>
      </w:tr>
    </w:tbl>
    <w:p w14:paraId="26118A84">
      <w:pPr>
        <w:jc w:val="left"/>
        <w:rPr>
          <w:rFonts w:hint="eastAsia" w:ascii="宋体" w:hAnsi="宋体" w:cs="宋体"/>
        </w:rPr>
      </w:pPr>
      <w:r>
        <w:rPr>
          <w:rFonts w:hint="eastAsia" w:ascii="宋体" w:hAnsi="宋体" w:cs="宋体"/>
          <w:color w:val="FF0000"/>
        </w:rPr>
        <w:t>【提示】</w:t>
      </w:r>
      <w:r>
        <w:rPr>
          <w:rFonts w:hint="eastAsia" w:ascii="宋体" w:hAnsi="宋体" w:cs="宋体"/>
        </w:rPr>
        <w:t>买入看跌期权方的净损失最大为期权费用，净收益上线为X-期权费用，即标的资产市场价格Am降至0</w:t>
      </w:r>
    </w:p>
    <w:p w14:paraId="3FA81531">
      <w:pPr>
        <w:jc w:val="left"/>
        <w:rPr>
          <w:rFonts w:hint="eastAsia" w:ascii="宋体" w:hAnsi="宋体" w:cs="宋体"/>
        </w:rPr>
      </w:pPr>
      <w:r>
        <w:rPr>
          <w:rFonts w:hint="eastAsia" w:ascii="宋体" w:hAnsi="宋体" w:cs="宋体"/>
        </w:rPr>
        <w:t>4.卖出看跌期权合约</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6767"/>
      </w:tblGrid>
      <w:tr w14:paraId="03F1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shd w:val="clear" w:color="auto" w:fill="auto"/>
            <w:noWrap w:val="0"/>
            <w:vAlign w:val="top"/>
          </w:tcPr>
          <w:p w14:paraId="7B8CB9F7">
            <w:pPr>
              <w:rPr>
                <w:rFonts w:hint="eastAsia" w:ascii="宋体" w:hAnsi="宋体" w:cs="宋体"/>
              </w:rPr>
            </w:pPr>
            <w:r>
              <w:rPr>
                <w:rFonts w:hint="eastAsia" w:ascii="宋体" w:hAnsi="宋体" w:cs="宋体"/>
              </w:rPr>
              <w:t>卖出看跌期权到期日价值V</w:t>
            </w:r>
          </w:p>
        </w:tc>
        <w:tc>
          <w:tcPr>
            <w:tcW w:w="3338" w:type="pct"/>
            <w:shd w:val="clear" w:color="auto" w:fill="auto"/>
            <w:noWrap w:val="0"/>
            <w:vAlign w:val="top"/>
          </w:tcPr>
          <w:p w14:paraId="0C865354">
            <w:pPr>
              <w:rPr>
                <w:rFonts w:hint="eastAsia" w:ascii="宋体" w:hAnsi="宋体" w:cs="宋体"/>
              </w:rPr>
            </w:pPr>
            <w:r>
              <w:rPr>
                <w:rFonts w:hint="eastAsia" w:ascii="宋体" w:hAnsi="宋体" w:cs="宋体"/>
              </w:rPr>
              <w:t>V=-Max（X-Am，0）</w:t>
            </w:r>
          </w:p>
        </w:tc>
      </w:tr>
      <w:tr w14:paraId="7E7E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shd w:val="clear" w:color="auto" w:fill="auto"/>
            <w:noWrap w:val="0"/>
            <w:vAlign w:val="top"/>
          </w:tcPr>
          <w:p w14:paraId="0353BEEC">
            <w:pPr>
              <w:jc w:val="left"/>
              <w:rPr>
                <w:rFonts w:hint="eastAsia" w:ascii="宋体" w:hAnsi="宋体" w:cs="宋体"/>
              </w:rPr>
            </w:pPr>
            <w:r>
              <w:rPr>
                <w:rFonts w:hint="eastAsia" w:ascii="宋体" w:hAnsi="宋体" w:cs="宋体"/>
              </w:rPr>
              <w:t>卖出看跌期权到期日净损益P</w:t>
            </w:r>
          </w:p>
        </w:tc>
        <w:tc>
          <w:tcPr>
            <w:tcW w:w="3338" w:type="pct"/>
            <w:shd w:val="clear" w:color="auto" w:fill="auto"/>
            <w:noWrap w:val="0"/>
            <w:vAlign w:val="top"/>
          </w:tcPr>
          <w:p w14:paraId="5330D666">
            <w:pPr>
              <w:jc w:val="left"/>
              <w:rPr>
                <w:rFonts w:hint="eastAsia" w:ascii="宋体" w:hAnsi="宋体" w:cs="宋体"/>
              </w:rPr>
            </w:pPr>
            <w:r>
              <w:rPr>
                <w:rFonts w:hint="eastAsia" w:ascii="宋体" w:hAnsi="宋体" w:cs="宋体"/>
              </w:rPr>
              <w:t>P=V+期权费用</w:t>
            </w:r>
          </w:p>
        </w:tc>
      </w:tr>
    </w:tbl>
    <w:p w14:paraId="06E5ECF5">
      <w:pPr>
        <w:jc w:val="left"/>
        <w:rPr>
          <w:rFonts w:hint="eastAsia" w:ascii="宋体" w:hAnsi="宋体" w:cs="宋体"/>
        </w:rPr>
      </w:pPr>
      <w:r>
        <w:rPr>
          <w:rFonts w:hint="eastAsia" w:ascii="宋体" w:hAnsi="宋体" w:cs="宋体"/>
          <w:color w:val="FF0000"/>
        </w:rPr>
        <w:t>【提示】</w:t>
      </w:r>
      <w:r>
        <w:rPr>
          <w:rFonts w:hint="eastAsia" w:ascii="宋体" w:hAnsi="宋体" w:cs="宋体"/>
        </w:rPr>
        <w:t>卖出看跌期权方的净收益最大为期权费用，净损失最大为X-期权费用，即标的资产市场价格Am降至0</w:t>
      </w:r>
    </w:p>
    <w:p w14:paraId="1D08F282">
      <w:pPr>
        <w:overflowPunct w:val="0"/>
        <w:jc w:val="center"/>
        <w:rPr>
          <w:rFonts w:hint="eastAsia" w:ascii="宋体" w:hAnsi="宋体" w:cs="宋体"/>
          <w:b/>
        </w:rPr>
      </w:pPr>
      <w:r>
        <w:rPr>
          <w:rFonts w:hint="eastAsia" w:ascii="宋体" w:hAnsi="宋体" w:cs="宋体"/>
          <w:b/>
        </w:rPr>
        <w:t>第七章  营运资金管理</w:t>
      </w:r>
    </w:p>
    <w:p w14:paraId="04749EF1">
      <w:pPr>
        <w:jc w:val="left"/>
        <w:rPr>
          <w:rFonts w:hint="eastAsia" w:ascii="宋体" w:hAnsi="宋体" w:cs="宋体"/>
        </w:rPr>
      </w:pPr>
      <w:r>
        <w:rPr>
          <w:rFonts w:hint="eastAsia" w:ascii="宋体" w:hAnsi="宋体" w:cs="宋体"/>
          <w:color w:val="FF0000"/>
        </w:rPr>
        <w:t>【考情分析】</w:t>
      </w:r>
      <w:r>
        <w:rPr>
          <w:rFonts w:hint="eastAsia" w:ascii="宋体" w:hAnsi="宋体" w:cs="宋体"/>
        </w:rPr>
        <w:t>预测2024年分数在14分左右，主观题和客观题都会涉及。</w:t>
      </w:r>
    </w:p>
    <w:p w14:paraId="1FF6C8A6">
      <w:pPr>
        <w:jc w:val="center"/>
        <w:rPr>
          <w:rFonts w:hint="eastAsia" w:ascii="宋体" w:hAnsi="宋体" w:cs="宋体"/>
          <w:color w:val="FF0000"/>
        </w:rPr>
      </w:pPr>
      <w:r>
        <w:rPr>
          <w:rFonts w:hint="eastAsia" w:ascii="宋体" w:hAnsi="宋体" w:cs="宋体"/>
          <w:b/>
          <w:bCs/>
        </w:rPr>
        <w:t>第一节 营运资金管理概述</w:t>
      </w:r>
    </w:p>
    <w:p w14:paraId="472246C4">
      <w:pPr>
        <w:jc w:val="left"/>
        <w:rPr>
          <w:rFonts w:hint="eastAsia" w:ascii="宋体" w:hAnsi="宋体" w:cs="宋体"/>
          <w:color w:val="FF0000"/>
        </w:rPr>
      </w:pPr>
      <w:r>
        <w:rPr>
          <w:rFonts w:hint="eastAsia" w:ascii="宋体" w:hAnsi="宋体" w:cs="宋体"/>
          <w:color w:val="FF0000"/>
        </w:rPr>
        <w:t>【知识点1】营运资金的概念</w:t>
      </w:r>
    </w:p>
    <w:p w14:paraId="3A781CB4">
      <w:pPr>
        <w:jc w:val="left"/>
        <w:rPr>
          <w:rFonts w:hint="eastAsia" w:ascii="宋体" w:hAnsi="宋体" w:cs="宋体"/>
        </w:rPr>
      </w:pPr>
      <w:r>
        <w:rPr>
          <w:rFonts w:hint="eastAsia" w:ascii="宋体" w:hAnsi="宋体" w:cs="宋体"/>
        </w:rPr>
        <w:t>营运资金是指在企业生产经营活动中占用在流动资产上的资金。</w:t>
      </w:r>
    </w:p>
    <w:p w14:paraId="472DBF99">
      <w:pPr>
        <w:jc w:val="left"/>
        <w:rPr>
          <w:rFonts w:hint="eastAsia" w:ascii="宋体" w:hAnsi="宋体" w:cs="宋体"/>
          <w:color w:val="FF0000"/>
        </w:rPr>
      </w:pPr>
      <w:r>
        <w:rPr>
          <w:rFonts w:hint="eastAsia" w:ascii="宋体" w:hAnsi="宋体" w:cs="宋体"/>
          <w:color w:val="FF0000"/>
        </w:rPr>
        <w:t>营运资金＝流动资产－流动负债</w:t>
      </w:r>
    </w:p>
    <w:p w14:paraId="017D72F6">
      <w:pPr>
        <w:jc w:val="left"/>
        <w:rPr>
          <w:rFonts w:hint="eastAsia" w:ascii="宋体" w:hAnsi="宋体" w:cs="宋体"/>
          <w:color w:val="FF0000"/>
        </w:rPr>
      </w:pPr>
      <w:r>
        <w:rPr>
          <w:rFonts w:hint="eastAsia" w:ascii="宋体" w:hAnsi="宋体" w:cs="宋体"/>
          <w:color w:val="FF0000"/>
        </w:rPr>
        <w:t>【知识点2】营运资金管理策略</w:t>
      </w:r>
    </w:p>
    <w:p w14:paraId="739F7913">
      <w:pPr>
        <w:jc w:val="left"/>
        <w:rPr>
          <w:rFonts w:hint="eastAsia" w:ascii="宋体" w:hAnsi="宋体" w:cs="宋体"/>
          <w:color w:val="FF0000"/>
        </w:rPr>
      </w:pPr>
      <w:r>
        <w:rPr>
          <w:rFonts w:hint="eastAsia" w:ascii="宋体" w:hAnsi="宋体" w:cs="宋体"/>
          <w:color w:val="FF0000"/>
        </w:rPr>
        <w:t>1.流动资产的投资策略</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8"/>
        <w:gridCol w:w="5069"/>
      </w:tblGrid>
      <w:tr w14:paraId="6ECD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noWrap w:val="0"/>
            <w:vAlign w:val="top"/>
          </w:tcPr>
          <w:p w14:paraId="2DD1CCD0">
            <w:pPr>
              <w:rPr>
                <w:rFonts w:hint="eastAsia" w:ascii="宋体" w:hAnsi="宋体" w:cs="宋体"/>
              </w:rPr>
            </w:pPr>
            <w:r>
              <w:rPr>
                <w:rFonts w:hint="eastAsia" w:ascii="宋体" w:hAnsi="宋体" w:cs="宋体"/>
              </w:rPr>
              <w:t>紧缩的流动资产</w:t>
            </w:r>
          </w:p>
        </w:tc>
        <w:tc>
          <w:tcPr>
            <w:tcW w:w="2500" w:type="pct"/>
            <w:shd w:val="clear" w:color="auto" w:fill="auto"/>
            <w:noWrap w:val="0"/>
            <w:vAlign w:val="top"/>
          </w:tcPr>
          <w:p w14:paraId="31F8EC1B">
            <w:pPr>
              <w:rPr>
                <w:rFonts w:hint="eastAsia" w:ascii="宋体" w:hAnsi="宋体" w:cs="宋体"/>
              </w:rPr>
            </w:pPr>
            <w:r>
              <w:rPr>
                <w:rFonts w:hint="eastAsia" w:ascii="宋体" w:hAnsi="宋体" w:cs="宋体"/>
              </w:rPr>
              <w:t>高风险、高收益。</w:t>
            </w:r>
          </w:p>
        </w:tc>
      </w:tr>
      <w:tr w14:paraId="248A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noWrap w:val="0"/>
            <w:vAlign w:val="top"/>
          </w:tcPr>
          <w:p w14:paraId="0E0720B1">
            <w:pPr>
              <w:rPr>
                <w:rFonts w:hint="eastAsia" w:ascii="宋体" w:hAnsi="宋体" w:cs="宋体"/>
              </w:rPr>
            </w:pPr>
            <w:r>
              <w:rPr>
                <w:rFonts w:hint="eastAsia" w:ascii="宋体" w:hAnsi="宋体" w:cs="宋体"/>
              </w:rPr>
              <w:t>宽松的流动资产</w:t>
            </w:r>
          </w:p>
        </w:tc>
        <w:tc>
          <w:tcPr>
            <w:tcW w:w="2500" w:type="pct"/>
            <w:shd w:val="clear" w:color="auto" w:fill="auto"/>
            <w:noWrap w:val="0"/>
            <w:vAlign w:val="top"/>
          </w:tcPr>
          <w:p w14:paraId="361A8FBD">
            <w:pPr>
              <w:rPr>
                <w:rFonts w:hint="eastAsia" w:ascii="宋体" w:hAnsi="宋体" w:cs="宋体"/>
              </w:rPr>
            </w:pPr>
            <w:r>
              <w:rPr>
                <w:rFonts w:hint="eastAsia" w:ascii="宋体" w:hAnsi="宋体" w:cs="宋体"/>
              </w:rPr>
              <w:t>低风险、低收益。</w:t>
            </w:r>
          </w:p>
        </w:tc>
      </w:tr>
    </w:tbl>
    <w:p w14:paraId="2D163C47">
      <w:pPr>
        <w:jc w:val="left"/>
        <w:rPr>
          <w:rFonts w:hint="eastAsia" w:ascii="宋体" w:hAnsi="宋体" w:cs="宋体"/>
        </w:rPr>
      </w:pPr>
      <w:r>
        <w:rPr>
          <w:rFonts w:hint="eastAsia" w:ascii="宋体" w:hAnsi="宋体" w:cs="宋体"/>
        </w:rPr>
        <w:t>2.流动资产的融资策略</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985"/>
        <w:gridCol w:w="7923"/>
      </w:tblGrid>
      <w:tr w14:paraId="1FA0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noWrap w:val="0"/>
            <w:vAlign w:val="top"/>
          </w:tcPr>
          <w:p w14:paraId="3D72753C">
            <w:pPr>
              <w:rPr>
                <w:rFonts w:hint="eastAsia" w:ascii="宋体" w:hAnsi="宋体" w:cs="宋体"/>
              </w:rPr>
            </w:pPr>
            <w:r>
              <w:rPr>
                <w:rFonts w:hint="eastAsia" w:ascii="宋体" w:hAnsi="宋体" w:cs="宋体"/>
              </w:rPr>
              <w:t>类型</w:t>
            </w:r>
          </w:p>
        </w:tc>
        <w:tc>
          <w:tcPr>
            <w:tcW w:w="486" w:type="pct"/>
            <w:shd w:val="clear" w:color="auto" w:fill="auto"/>
            <w:noWrap w:val="0"/>
            <w:vAlign w:val="top"/>
          </w:tcPr>
          <w:p w14:paraId="1EE17E35">
            <w:pPr>
              <w:rPr>
                <w:rFonts w:hint="eastAsia" w:ascii="宋体" w:hAnsi="宋体" w:cs="宋体"/>
              </w:rPr>
            </w:pPr>
            <w:r>
              <w:rPr>
                <w:rFonts w:hint="eastAsia" w:ascii="宋体" w:hAnsi="宋体" w:cs="宋体"/>
              </w:rPr>
              <w:t>分类</w:t>
            </w:r>
          </w:p>
        </w:tc>
        <w:tc>
          <w:tcPr>
            <w:tcW w:w="3908" w:type="pct"/>
            <w:shd w:val="clear" w:color="auto" w:fill="auto"/>
            <w:noWrap w:val="0"/>
            <w:vAlign w:val="top"/>
          </w:tcPr>
          <w:p w14:paraId="7A79D9B8">
            <w:pPr>
              <w:rPr>
                <w:rFonts w:hint="eastAsia" w:ascii="宋体" w:hAnsi="宋体" w:cs="宋体"/>
              </w:rPr>
            </w:pPr>
            <w:r>
              <w:rPr>
                <w:rFonts w:hint="eastAsia" w:ascii="宋体" w:hAnsi="宋体" w:cs="宋体"/>
              </w:rPr>
              <w:t>特征</w:t>
            </w:r>
          </w:p>
        </w:tc>
      </w:tr>
      <w:tr w14:paraId="620E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Merge w:val="restart"/>
            <w:shd w:val="clear" w:color="auto" w:fill="auto"/>
            <w:noWrap w:val="0"/>
            <w:vAlign w:val="top"/>
          </w:tcPr>
          <w:p w14:paraId="6CE16BA9">
            <w:pPr>
              <w:jc w:val="center"/>
              <w:rPr>
                <w:rFonts w:hint="eastAsia" w:ascii="宋体" w:hAnsi="宋体" w:cs="宋体"/>
              </w:rPr>
            </w:pPr>
            <w:r>
              <w:rPr>
                <w:rFonts w:hint="eastAsia" w:ascii="宋体" w:hAnsi="宋体" w:cs="宋体"/>
              </w:rPr>
              <w:t>流动资产</w:t>
            </w:r>
          </w:p>
        </w:tc>
        <w:tc>
          <w:tcPr>
            <w:tcW w:w="486" w:type="pct"/>
            <w:shd w:val="clear" w:color="auto" w:fill="auto"/>
            <w:noWrap w:val="0"/>
            <w:vAlign w:val="top"/>
          </w:tcPr>
          <w:p w14:paraId="1DA8CD71">
            <w:pPr>
              <w:rPr>
                <w:rFonts w:hint="eastAsia" w:ascii="宋体" w:hAnsi="宋体" w:cs="宋体"/>
              </w:rPr>
            </w:pPr>
            <w:r>
              <w:rPr>
                <w:rFonts w:hint="eastAsia" w:ascii="宋体" w:hAnsi="宋体" w:cs="宋体"/>
              </w:rPr>
              <w:t>永久性</w:t>
            </w:r>
          </w:p>
        </w:tc>
        <w:tc>
          <w:tcPr>
            <w:tcW w:w="3908" w:type="pct"/>
            <w:shd w:val="clear" w:color="auto" w:fill="auto"/>
            <w:noWrap w:val="0"/>
            <w:vAlign w:val="top"/>
          </w:tcPr>
          <w:p w14:paraId="55785C0E">
            <w:pPr>
              <w:rPr>
                <w:rFonts w:hint="eastAsia" w:ascii="宋体" w:hAnsi="宋体" w:cs="宋体"/>
              </w:rPr>
            </w:pPr>
            <w:r>
              <w:rPr>
                <w:rFonts w:hint="eastAsia" w:ascii="宋体" w:hAnsi="宋体" w:cs="宋体"/>
              </w:rPr>
              <w:t>满足企业长期最低需求的流动资产，占用量通常相对稳定</w:t>
            </w:r>
          </w:p>
        </w:tc>
      </w:tr>
      <w:tr w14:paraId="2DA4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Merge w:val="continue"/>
            <w:shd w:val="clear" w:color="auto" w:fill="auto"/>
            <w:noWrap w:val="0"/>
            <w:vAlign w:val="top"/>
          </w:tcPr>
          <w:p w14:paraId="6C32FE8A">
            <w:pPr>
              <w:jc w:val="left"/>
              <w:rPr>
                <w:rFonts w:hint="eastAsia" w:ascii="宋体" w:hAnsi="宋体" w:cs="宋体"/>
              </w:rPr>
            </w:pPr>
          </w:p>
        </w:tc>
        <w:tc>
          <w:tcPr>
            <w:tcW w:w="486" w:type="pct"/>
            <w:shd w:val="clear" w:color="auto" w:fill="auto"/>
            <w:noWrap w:val="0"/>
            <w:vAlign w:val="top"/>
          </w:tcPr>
          <w:p w14:paraId="70EBC0C2">
            <w:pPr>
              <w:rPr>
                <w:rFonts w:hint="eastAsia" w:ascii="宋体" w:hAnsi="宋体" w:cs="宋体"/>
              </w:rPr>
            </w:pPr>
            <w:r>
              <w:rPr>
                <w:rFonts w:hint="eastAsia" w:ascii="宋体" w:hAnsi="宋体" w:cs="宋体"/>
              </w:rPr>
              <w:t>波动性</w:t>
            </w:r>
          </w:p>
        </w:tc>
        <w:tc>
          <w:tcPr>
            <w:tcW w:w="3908" w:type="pct"/>
            <w:shd w:val="clear" w:color="auto" w:fill="auto"/>
            <w:noWrap w:val="0"/>
            <w:vAlign w:val="top"/>
          </w:tcPr>
          <w:p w14:paraId="5BA33D41">
            <w:pPr>
              <w:rPr>
                <w:rFonts w:hint="eastAsia" w:ascii="宋体" w:hAnsi="宋体" w:cs="宋体"/>
              </w:rPr>
            </w:pPr>
            <w:r>
              <w:rPr>
                <w:rFonts w:hint="eastAsia" w:ascii="宋体" w:hAnsi="宋体" w:cs="宋体"/>
              </w:rPr>
              <w:t>季节性或临时性原因形成的流动资产，占用量随当时需求而波动</w:t>
            </w:r>
          </w:p>
        </w:tc>
      </w:tr>
      <w:tr w14:paraId="6CDE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Merge w:val="restart"/>
            <w:shd w:val="clear" w:color="auto" w:fill="auto"/>
            <w:noWrap w:val="0"/>
            <w:vAlign w:val="top"/>
          </w:tcPr>
          <w:p w14:paraId="271E95EC">
            <w:pPr>
              <w:jc w:val="center"/>
              <w:rPr>
                <w:rFonts w:hint="eastAsia" w:ascii="宋体" w:hAnsi="宋体" w:cs="宋体"/>
              </w:rPr>
            </w:pPr>
            <w:r>
              <w:rPr>
                <w:rFonts w:hint="eastAsia" w:ascii="宋体" w:hAnsi="宋体" w:cs="宋体"/>
              </w:rPr>
              <w:t>流动负债</w:t>
            </w:r>
          </w:p>
        </w:tc>
        <w:tc>
          <w:tcPr>
            <w:tcW w:w="486" w:type="pct"/>
            <w:shd w:val="clear" w:color="auto" w:fill="auto"/>
            <w:noWrap w:val="0"/>
            <w:vAlign w:val="top"/>
          </w:tcPr>
          <w:p w14:paraId="6415155E">
            <w:pPr>
              <w:rPr>
                <w:rFonts w:hint="eastAsia" w:ascii="宋体" w:hAnsi="宋体" w:cs="宋体"/>
              </w:rPr>
            </w:pPr>
            <w:r>
              <w:rPr>
                <w:rFonts w:hint="eastAsia" w:ascii="宋体" w:hAnsi="宋体" w:cs="宋体"/>
              </w:rPr>
              <w:t>自发性</w:t>
            </w:r>
          </w:p>
        </w:tc>
        <w:tc>
          <w:tcPr>
            <w:tcW w:w="3908" w:type="pct"/>
            <w:shd w:val="clear" w:color="auto" w:fill="auto"/>
            <w:noWrap w:val="0"/>
            <w:vAlign w:val="top"/>
          </w:tcPr>
          <w:p w14:paraId="57E7F800">
            <w:pPr>
              <w:rPr>
                <w:rFonts w:hint="eastAsia" w:ascii="宋体" w:hAnsi="宋体" w:cs="宋体"/>
              </w:rPr>
            </w:pPr>
            <w:r>
              <w:rPr>
                <w:rFonts w:hint="eastAsia" w:ascii="宋体" w:hAnsi="宋体" w:cs="宋体"/>
              </w:rPr>
              <w:t>又称经营性流动负债，直接产生于企业的持续经营过程的流动负债，提供企业长期资金使用。</w:t>
            </w:r>
          </w:p>
        </w:tc>
      </w:tr>
      <w:tr w14:paraId="1D46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Merge w:val="continue"/>
            <w:shd w:val="clear" w:color="auto" w:fill="auto"/>
            <w:noWrap w:val="0"/>
            <w:vAlign w:val="top"/>
          </w:tcPr>
          <w:p w14:paraId="07576195">
            <w:pPr>
              <w:jc w:val="left"/>
              <w:rPr>
                <w:rFonts w:hint="eastAsia" w:ascii="宋体" w:hAnsi="宋体" w:cs="宋体"/>
              </w:rPr>
            </w:pPr>
          </w:p>
        </w:tc>
        <w:tc>
          <w:tcPr>
            <w:tcW w:w="486" w:type="pct"/>
            <w:shd w:val="clear" w:color="auto" w:fill="auto"/>
            <w:noWrap w:val="0"/>
            <w:vAlign w:val="top"/>
          </w:tcPr>
          <w:p w14:paraId="6812084F">
            <w:pPr>
              <w:rPr>
                <w:rFonts w:hint="eastAsia" w:ascii="宋体" w:hAnsi="宋体" w:cs="宋体"/>
              </w:rPr>
            </w:pPr>
            <w:r>
              <w:rPr>
                <w:rFonts w:hint="eastAsia" w:ascii="宋体" w:hAnsi="宋体" w:cs="宋体"/>
              </w:rPr>
              <w:t>临时性</w:t>
            </w:r>
          </w:p>
        </w:tc>
        <w:tc>
          <w:tcPr>
            <w:tcW w:w="3908" w:type="pct"/>
            <w:shd w:val="clear" w:color="auto" w:fill="auto"/>
            <w:noWrap w:val="0"/>
            <w:vAlign w:val="top"/>
          </w:tcPr>
          <w:p w14:paraId="77F5C8AF">
            <w:pPr>
              <w:rPr>
                <w:rFonts w:hint="eastAsia" w:ascii="宋体" w:hAnsi="宋体" w:cs="宋体"/>
              </w:rPr>
            </w:pPr>
            <w:r>
              <w:rPr>
                <w:rFonts w:hint="eastAsia" w:ascii="宋体" w:hAnsi="宋体" w:cs="宋体"/>
              </w:rPr>
              <w:t>又称筹资性流动负债，满足临时性流动资金需要的流动负债，提供企业短期资金使用。</w:t>
            </w:r>
          </w:p>
        </w:tc>
      </w:tr>
    </w:tbl>
    <w:p w14:paraId="11CBD0E4">
      <w:pPr>
        <w:jc w:val="left"/>
        <w:rPr>
          <w:rFonts w:hint="eastAsia" w:ascii="宋体" w:hAnsi="宋体" w:cs="宋体"/>
        </w:rPr>
      </w:pPr>
      <w:r>
        <w:rPr>
          <w:rFonts w:hint="eastAsia" w:ascii="宋体" w:hAnsi="宋体" w:cs="宋体"/>
        </w:rPr>
        <w:t>资产的期限结构与资金来源的期限结构的匹配程度差异，流动资产融资策略可以分为：期限匹配融资策略、保守融资策略和激进融资策略三种类型。</w:t>
      </w:r>
    </w:p>
    <w:p w14:paraId="18F6ECEC">
      <w:pPr>
        <w:jc w:val="left"/>
        <w:rPr>
          <w:rFonts w:hint="eastAsia" w:ascii="宋体" w:hAnsi="宋体" w:cs="宋体"/>
        </w:rPr>
      </w:pPr>
      <w:r>
        <w:drawing>
          <wp:inline distT="0" distB="0" distL="114300" distR="114300">
            <wp:extent cx="6300470" cy="1994535"/>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9">
                      <a:clrChange>
                        <a:clrFrom>
                          <a:srgbClr val="0C5348"/>
                        </a:clrFrom>
                        <a:clrTo>
                          <a:srgbClr val="0C5348">
                            <a:alpha val="0"/>
                          </a:srgbClr>
                        </a:clrTo>
                      </a:clrChange>
                    </a:blip>
                    <a:stretch>
                      <a:fillRect/>
                    </a:stretch>
                  </pic:blipFill>
                  <pic:spPr>
                    <a:xfrm>
                      <a:off x="0" y="0"/>
                      <a:ext cx="6300470" cy="1994535"/>
                    </a:xfrm>
                    <a:prstGeom prst="rect">
                      <a:avLst/>
                    </a:prstGeom>
                    <a:noFill/>
                    <a:ln>
                      <a:noFill/>
                    </a:ln>
                  </pic:spPr>
                </pic:pic>
              </a:graphicData>
            </a:graphic>
          </wp:inline>
        </w:drawing>
      </w:r>
    </w:p>
    <w:p w14:paraId="4A09AB4F">
      <w:pPr>
        <w:jc w:val="left"/>
        <w:rPr>
          <w:rFonts w:hint="eastAsia" w:ascii="宋体" w:hAnsi="宋体" w:cs="宋体"/>
        </w:rPr>
      </w:pPr>
      <w:r>
        <w:rPr>
          <w:rFonts w:hint="eastAsia" w:ascii="宋体" w:hAnsi="宋体" w:cs="宋体"/>
          <w:color w:val="FF0000"/>
        </w:rPr>
        <w:t>【结论】</w:t>
      </w:r>
      <w:r>
        <w:rPr>
          <w:rFonts w:hint="eastAsia" w:ascii="宋体" w:hAnsi="宋体" w:cs="宋体"/>
        </w:rPr>
        <w:t>长期资金来源不仅包括长期资本，还包括自发性流动负债（持续经营的流动性负债，非临时性资金需求），具体地说，长期资金来源＝自发性流动负债＋长期负债＋权益资本。</w:t>
      </w:r>
    </w:p>
    <w:p w14:paraId="518B27DD">
      <w:pPr>
        <w:jc w:val="left"/>
        <w:rPr>
          <w:rFonts w:hint="eastAsia" w:ascii="宋体" w:hAnsi="宋体" w:cs="宋体"/>
        </w:rPr>
      </w:pPr>
    </w:p>
    <w:p w14:paraId="3B4ADC70">
      <w:pPr>
        <w:jc w:val="center"/>
        <w:rPr>
          <w:rFonts w:hint="eastAsia" w:ascii="宋体" w:hAnsi="宋体" w:cs="宋体"/>
          <w:b/>
          <w:bCs/>
        </w:rPr>
      </w:pPr>
      <w:r>
        <w:rPr>
          <w:rFonts w:hint="eastAsia" w:ascii="宋体" w:hAnsi="宋体" w:cs="宋体"/>
          <w:b/>
          <w:bCs/>
        </w:rPr>
        <w:t>第二节 现金管理</w:t>
      </w:r>
    </w:p>
    <w:p w14:paraId="2174187F">
      <w:pPr>
        <w:jc w:val="left"/>
        <w:rPr>
          <w:rFonts w:hint="eastAsia" w:ascii="宋体" w:hAnsi="宋体" w:cs="宋体"/>
          <w:color w:val="FF0000"/>
        </w:rPr>
      </w:pPr>
      <w:r>
        <w:rPr>
          <w:rFonts w:hint="eastAsia" w:ascii="宋体" w:hAnsi="宋体" w:cs="宋体"/>
          <w:color w:val="FF0000"/>
        </w:rPr>
        <w:t>【知识点1】持有现金的动机</w:t>
      </w:r>
    </w:p>
    <w:p w14:paraId="41F14005">
      <w:pPr>
        <w:jc w:val="left"/>
        <w:rPr>
          <w:rFonts w:hint="eastAsia" w:ascii="宋体" w:hAnsi="宋体" w:cs="宋体"/>
        </w:rPr>
      </w:pPr>
      <w:r>
        <w:rPr>
          <w:rFonts w:hint="eastAsia" w:ascii="宋体" w:hAnsi="宋体" w:cs="宋体"/>
        </w:rPr>
        <w:t>交易性需求、预防性需求和投机性需求</w:t>
      </w:r>
    </w:p>
    <w:p w14:paraId="306AF5F4">
      <w:pPr>
        <w:jc w:val="left"/>
        <w:rPr>
          <w:rFonts w:hint="eastAsia" w:ascii="宋体" w:hAnsi="宋体" w:cs="宋体"/>
        </w:rPr>
      </w:pPr>
      <w:r>
        <w:rPr>
          <w:rFonts w:hint="eastAsia" w:ascii="宋体" w:hAnsi="宋体" w:cs="宋体"/>
          <w:color w:val="FF0000"/>
        </w:rPr>
        <w:t>【提示】</w:t>
      </w:r>
      <w:r>
        <w:rPr>
          <w:rFonts w:hint="eastAsia" w:ascii="宋体" w:hAnsi="宋体" w:cs="宋体"/>
        </w:rPr>
        <w:t>企业的现金持有量一般小于三种需求下的现金持有量之和，因为某一需求持有的现金可以用于满足其他需求。</w:t>
      </w:r>
    </w:p>
    <w:p w14:paraId="2967F548">
      <w:pPr>
        <w:jc w:val="left"/>
        <w:rPr>
          <w:rFonts w:hint="eastAsia" w:ascii="宋体" w:hAnsi="宋体" w:cs="宋体"/>
          <w:color w:val="FF0000"/>
        </w:rPr>
      </w:pPr>
      <w:r>
        <w:rPr>
          <w:rFonts w:hint="eastAsia" w:ascii="宋体" w:hAnsi="宋体" w:cs="宋体"/>
          <w:color w:val="FF0000"/>
        </w:rPr>
        <w:t>【知识点2】目标现金余额的确定——成本模型</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8953"/>
      </w:tblGrid>
      <w:tr w14:paraId="48D4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shd w:val="clear" w:color="auto" w:fill="auto"/>
            <w:noWrap w:val="0"/>
            <w:vAlign w:val="top"/>
          </w:tcPr>
          <w:p w14:paraId="7FACC3D7">
            <w:pPr>
              <w:rPr>
                <w:rFonts w:hint="eastAsia" w:ascii="宋体" w:hAnsi="宋体" w:cs="宋体"/>
              </w:rPr>
            </w:pPr>
            <w:r>
              <w:rPr>
                <w:rFonts w:hint="eastAsia" w:ascii="宋体" w:hAnsi="宋体" w:cs="宋体"/>
              </w:rPr>
              <w:t>机会成本</w:t>
            </w:r>
          </w:p>
        </w:tc>
        <w:tc>
          <w:tcPr>
            <w:tcW w:w="4415" w:type="pct"/>
            <w:shd w:val="clear" w:color="auto" w:fill="auto"/>
            <w:noWrap w:val="0"/>
            <w:vAlign w:val="top"/>
          </w:tcPr>
          <w:p w14:paraId="7594AE57">
            <w:pPr>
              <w:rPr>
                <w:rFonts w:hint="eastAsia" w:ascii="宋体" w:hAnsi="宋体" w:cs="宋体"/>
              </w:rPr>
            </w:pPr>
            <w:r>
              <w:rPr>
                <w:rFonts w:hint="eastAsia" w:ascii="宋体" w:hAnsi="宋体" w:cs="宋体"/>
              </w:rPr>
              <w:t>企业因持有一定现金余额丧失的再投资收益（有价证券的投资收益），与现金持有量之间成正比，即：机会成本＝现金平均持有量×资本成本率</w:t>
            </w:r>
          </w:p>
        </w:tc>
      </w:tr>
      <w:tr w14:paraId="5321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shd w:val="clear" w:color="auto" w:fill="auto"/>
            <w:noWrap w:val="0"/>
            <w:vAlign w:val="top"/>
          </w:tcPr>
          <w:p w14:paraId="7F5C7875">
            <w:pPr>
              <w:rPr>
                <w:rFonts w:hint="eastAsia" w:ascii="宋体" w:hAnsi="宋体" w:cs="宋体"/>
              </w:rPr>
            </w:pPr>
            <w:r>
              <w:rPr>
                <w:rFonts w:hint="eastAsia" w:ascii="宋体" w:hAnsi="宋体" w:cs="宋体"/>
              </w:rPr>
              <w:t>管理成本</w:t>
            </w:r>
          </w:p>
        </w:tc>
        <w:tc>
          <w:tcPr>
            <w:tcW w:w="4415" w:type="pct"/>
            <w:shd w:val="clear" w:color="auto" w:fill="auto"/>
            <w:noWrap w:val="0"/>
            <w:vAlign w:val="top"/>
          </w:tcPr>
          <w:p w14:paraId="117072D0">
            <w:pPr>
              <w:rPr>
                <w:rFonts w:hint="eastAsia" w:ascii="宋体" w:hAnsi="宋体" w:cs="宋体"/>
              </w:rPr>
            </w:pPr>
            <w:r>
              <w:rPr>
                <w:rFonts w:hint="eastAsia" w:ascii="宋体" w:hAnsi="宋体" w:cs="宋体"/>
              </w:rPr>
              <w:t>因持有一定数量的现金而发生的管理费用，是一种固定成本，在一定范围内与现金持有量没有明显的比例关系</w:t>
            </w:r>
          </w:p>
        </w:tc>
      </w:tr>
      <w:tr w14:paraId="0B68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shd w:val="clear" w:color="auto" w:fill="auto"/>
            <w:noWrap w:val="0"/>
            <w:vAlign w:val="top"/>
          </w:tcPr>
          <w:p w14:paraId="7969BC07">
            <w:pPr>
              <w:rPr>
                <w:rFonts w:hint="eastAsia" w:ascii="宋体" w:hAnsi="宋体" w:cs="宋体"/>
              </w:rPr>
            </w:pPr>
            <w:r>
              <w:rPr>
                <w:rFonts w:hint="eastAsia" w:ascii="宋体" w:hAnsi="宋体" w:cs="宋体"/>
              </w:rPr>
              <w:t>短缺成本</w:t>
            </w:r>
          </w:p>
        </w:tc>
        <w:tc>
          <w:tcPr>
            <w:tcW w:w="4415" w:type="pct"/>
            <w:shd w:val="clear" w:color="auto" w:fill="auto"/>
            <w:noWrap w:val="0"/>
            <w:vAlign w:val="top"/>
          </w:tcPr>
          <w:p w14:paraId="3F3A1EF7">
            <w:pPr>
              <w:rPr>
                <w:rFonts w:hint="eastAsia" w:ascii="宋体" w:hAnsi="宋体" w:cs="宋体"/>
              </w:rPr>
            </w:pPr>
            <w:r>
              <w:rPr>
                <w:rFonts w:hint="eastAsia" w:ascii="宋体" w:hAnsi="宋体" w:cs="宋体"/>
              </w:rPr>
              <w:t>现金持有量不足，又无法及时通过有价证券变现加以补充给企业造成的损失，随现金持有量的增加而下降</w:t>
            </w:r>
          </w:p>
        </w:tc>
      </w:tr>
    </w:tbl>
    <w:p w14:paraId="10685006">
      <w:pPr>
        <w:jc w:val="left"/>
        <w:rPr>
          <w:rFonts w:hint="eastAsia" w:ascii="宋体" w:hAnsi="宋体" w:cs="宋体"/>
        </w:rPr>
      </w:pPr>
      <w:r>
        <w:rPr>
          <w:rFonts w:hint="eastAsia" w:ascii="宋体" w:hAnsi="宋体" w:cs="宋体"/>
          <w:color w:val="FF0000"/>
        </w:rPr>
        <w:t>【提示1】</w:t>
      </w:r>
      <w:r>
        <w:rPr>
          <w:rFonts w:hint="eastAsia" w:ascii="宋体" w:hAnsi="宋体" w:cs="宋体"/>
        </w:rPr>
        <w:t>最佳现金持有量下的现金持有总成本＝min（管理成本＋机会成本＋短缺成本）</w:t>
      </w:r>
    </w:p>
    <w:p w14:paraId="6CEBC090">
      <w:pPr>
        <w:jc w:val="left"/>
        <w:rPr>
          <w:rFonts w:hint="eastAsia" w:ascii="宋体" w:hAnsi="宋体" w:cs="宋体"/>
        </w:rPr>
      </w:pPr>
      <w:r>
        <w:rPr>
          <w:rFonts w:hint="eastAsia" w:ascii="宋体" w:hAnsi="宋体" w:cs="宋体"/>
          <w:color w:val="FF0000"/>
        </w:rPr>
        <w:t>【提示2】</w:t>
      </w:r>
      <w:r>
        <w:rPr>
          <w:rFonts w:hint="eastAsia" w:ascii="宋体" w:hAnsi="宋体" w:cs="宋体"/>
        </w:rPr>
        <w:t>机会成本与现金持有量成正比；短缺成本与现金持有量成反比</w:t>
      </w:r>
    </w:p>
    <w:p w14:paraId="438C6AA4">
      <w:pPr>
        <w:jc w:val="left"/>
        <w:rPr>
          <w:rFonts w:hint="eastAsia" w:ascii="宋体" w:hAnsi="宋体" w:cs="宋体"/>
          <w:color w:val="FF0000"/>
        </w:rPr>
      </w:pPr>
      <w:r>
        <w:rPr>
          <w:rFonts w:hint="eastAsia" w:ascii="宋体" w:hAnsi="宋体" w:cs="宋体"/>
          <w:color w:val="FF0000"/>
        </w:rPr>
        <w:t>【知识点3】存货模型</w:t>
      </w:r>
    </w:p>
    <w:p w14:paraId="3FE0AEF9">
      <w:pPr>
        <w:jc w:val="left"/>
        <w:rPr>
          <w:rFonts w:hint="eastAsia" w:ascii="宋体" w:hAnsi="宋体" w:cs="宋体"/>
        </w:rPr>
      </w:pPr>
      <w:r>
        <w:rPr>
          <w:rFonts w:hint="eastAsia" w:ascii="宋体" w:hAnsi="宋体" w:cs="宋体"/>
        </w:rPr>
        <w:t>现金持有量的存货模型是按照存货的思想对现金进行管理</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8671"/>
      </w:tblGrid>
      <w:tr w14:paraId="2E10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shd w:val="clear" w:color="auto" w:fill="auto"/>
            <w:noWrap w:val="0"/>
            <w:vAlign w:val="top"/>
          </w:tcPr>
          <w:p w14:paraId="1A09D58D">
            <w:pPr>
              <w:rPr>
                <w:rFonts w:hint="eastAsia" w:ascii="宋体" w:hAnsi="宋体" w:cs="宋体"/>
              </w:rPr>
            </w:pPr>
            <w:r>
              <w:rPr>
                <w:rFonts w:hint="eastAsia" w:ascii="宋体" w:hAnsi="宋体" w:cs="宋体"/>
              </w:rPr>
              <w:t>机会成本</w:t>
            </w:r>
          </w:p>
        </w:tc>
        <w:tc>
          <w:tcPr>
            <w:tcW w:w="4276" w:type="pct"/>
            <w:shd w:val="clear" w:color="auto" w:fill="auto"/>
            <w:noWrap w:val="0"/>
            <w:vAlign w:val="top"/>
          </w:tcPr>
          <w:p w14:paraId="3E41D316">
            <w:pPr>
              <w:rPr>
                <w:rFonts w:hint="eastAsia" w:ascii="宋体" w:hAnsi="宋体" w:cs="宋体"/>
              </w:rPr>
            </w:pPr>
            <w:r>
              <w:rPr>
                <w:rFonts w:hint="eastAsia" w:ascii="宋体" w:hAnsi="宋体" w:cs="宋体"/>
              </w:rPr>
              <w:t>现金平均占用额*现金的机会成本率=机会成本=（C/2）*K</w:t>
            </w:r>
          </w:p>
        </w:tc>
      </w:tr>
      <w:tr w14:paraId="073F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shd w:val="clear" w:color="auto" w:fill="auto"/>
            <w:noWrap w:val="0"/>
            <w:vAlign w:val="top"/>
          </w:tcPr>
          <w:p w14:paraId="51DF61FE">
            <w:pPr>
              <w:rPr>
                <w:rFonts w:hint="eastAsia" w:ascii="宋体" w:hAnsi="宋体" w:cs="宋体"/>
              </w:rPr>
            </w:pPr>
            <w:r>
              <w:rPr>
                <w:rFonts w:hint="eastAsia" w:ascii="宋体" w:hAnsi="宋体" w:cs="宋体"/>
              </w:rPr>
              <w:t>交易成本</w:t>
            </w:r>
          </w:p>
        </w:tc>
        <w:tc>
          <w:tcPr>
            <w:tcW w:w="4276" w:type="pct"/>
            <w:shd w:val="clear" w:color="auto" w:fill="auto"/>
            <w:noWrap w:val="0"/>
            <w:vAlign w:val="top"/>
          </w:tcPr>
          <w:p w14:paraId="0E40C384">
            <w:pPr>
              <w:rPr>
                <w:rFonts w:hint="eastAsia" w:ascii="宋体" w:hAnsi="宋体" w:cs="宋体"/>
              </w:rPr>
            </w:pPr>
            <w:r>
              <w:rPr>
                <w:rFonts w:hint="eastAsia" w:ascii="宋体" w:hAnsi="宋体" w:cs="宋体"/>
              </w:rPr>
              <w:t>有价证券转换回现金所付出的代价（如支付手续费用），现金转换次数*每次转换的成本=交易成本=（T/C）*F</w:t>
            </w:r>
          </w:p>
        </w:tc>
      </w:tr>
      <w:tr w14:paraId="5881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shd w:val="clear" w:color="auto" w:fill="auto"/>
            <w:noWrap w:val="0"/>
            <w:vAlign w:val="top"/>
          </w:tcPr>
          <w:p w14:paraId="05697812">
            <w:pPr>
              <w:rPr>
                <w:rFonts w:hint="eastAsia" w:ascii="宋体" w:hAnsi="宋体" w:cs="宋体"/>
              </w:rPr>
            </w:pPr>
            <w:r>
              <w:rPr>
                <w:rFonts w:hint="eastAsia" w:ascii="宋体" w:hAnsi="宋体" w:cs="宋体"/>
              </w:rPr>
              <w:t>总成本</w:t>
            </w:r>
          </w:p>
        </w:tc>
        <w:tc>
          <w:tcPr>
            <w:tcW w:w="4276" w:type="pct"/>
            <w:shd w:val="clear" w:color="auto" w:fill="auto"/>
            <w:noWrap w:val="0"/>
            <w:vAlign w:val="top"/>
          </w:tcPr>
          <w:p w14:paraId="381621FB">
            <w:pPr>
              <w:rPr>
                <w:rFonts w:hint="eastAsia" w:ascii="宋体" w:hAnsi="宋体" w:cs="宋体"/>
              </w:rPr>
            </w:pPr>
            <w:r>
              <w:rPr>
                <w:rFonts w:hint="eastAsia" w:ascii="宋体" w:hAnsi="宋体" w:cs="宋体"/>
              </w:rPr>
              <w:t>总成本=机会成本+交易成本=（C/2）*K+（T/C）*F</w:t>
            </w:r>
          </w:p>
        </w:tc>
      </w:tr>
    </w:tbl>
    <w:p w14:paraId="3032CFC1">
      <w:pPr>
        <w:jc w:val="left"/>
        <w:rPr>
          <w:rFonts w:hint="eastAsia" w:ascii="宋体" w:hAnsi="宋体" w:cs="宋体"/>
        </w:rPr>
      </w:pPr>
      <w:r>
        <w:rPr>
          <w:rFonts w:hint="eastAsia" w:ascii="宋体" w:hAnsi="宋体" w:cs="宋体"/>
        </w:rPr>
        <w:t>C*，也称最佳现金持有量，应当满足：机会成本=交易成本，</w:t>
      </w:r>
      <w:r>
        <w:drawing>
          <wp:inline distT="0" distB="0" distL="114300" distR="114300">
            <wp:extent cx="1391920" cy="311150"/>
            <wp:effectExtent l="0" t="0" r="17780"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50">
                      <a:lum bright="-89999"/>
                    </a:blip>
                    <a:stretch>
                      <a:fillRect/>
                    </a:stretch>
                  </pic:blipFill>
                  <pic:spPr>
                    <a:xfrm>
                      <a:off x="0" y="0"/>
                      <a:ext cx="1391920" cy="311150"/>
                    </a:xfrm>
                    <a:prstGeom prst="rect">
                      <a:avLst/>
                    </a:prstGeom>
                    <a:noFill/>
                    <a:ln>
                      <a:noFill/>
                    </a:ln>
                  </pic:spPr>
                </pic:pic>
              </a:graphicData>
            </a:graphic>
          </wp:inline>
        </w:drawing>
      </w:r>
    </w:p>
    <w:p w14:paraId="3F849D2A">
      <w:pPr>
        <w:jc w:val="left"/>
        <w:rPr>
          <w:rFonts w:hint="eastAsia" w:ascii="宋体" w:hAnsi="宋体" w:cs="宋体"/>
          <w:color w:val="FF0000"/>
        </w:rPr>
      </w:pPr>
      <w:r>
        <w:rPr>
          <w:rFonts w:hint="eastAsia" w:ascii="宋体" w:hAnsi="宋体" w:cs="宋体"/>
          <w:color w:val="FF0000"/>
        </w:rPr>
        <w:t>【知识点4】随机模型</w:t>
      </w:r>
    </w:p>
    <w:p w14:paraId="6A43DFF4">
      <w:pPr>
        <w:jc w:val="left"/>
        <w:rPr>
          <w:rFonts w:hint="eastAsia" w:ascii="宋体" w:hAnsi="宋体" w:cs="宋体"/>
        </w:rPr>
      </w:pPr>
      <w:r>
        <w:rPr>
          <w:rFonts w:hint="eastAsia" w:ascii="宋体" w:hAnsi="宋体" w:cs="宋体"/>
        </w:rPr>
        <w:drawing>
          <wp:inline distT="0" distB="0" distL="114300" distR="114300">
            <wp:extent cx="4765040" cy="1985010"/>
            <wp:effectExtent l="0" t="0" r="16510" b="152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51">
                      <a:lum bright="17999"/>
                    </a:blip>
                    <a:stretch>
                      <a:fillRect/>
                    </a:stretch>
                  </pic:blipFill>
                  <pic:spPr>
                    <a:xfrm>
                      <a:off x="0" y="0"/>
                      <a:ext cx="4765040" cy="1985010"/>
                    </a:xfrm>
                    <a:prstGeom prst="rect">
                      <a:avLst/>
                    </a:prstGeom>
                    <a:noFill/>
                    <a:ln>
                      <a:noFill/>
                    </a:ln>
                  </pic:spPr>
                </pic:pic>
              </a:graphicData>
            </a:graphic>
          </wp:inline>
        </w:drawing>
      </w:r>
    </w:p>
    <w:p w14:paraId="574054AC">
      <w:pPr>
        <w:jc w:val="left"/>
        <w:rPr>
          <w:rFonts w:hint="eastAsia" w:ascii="宋体" w:hAnsi="宋体" w:cs="宋体"/>
        </w:rPr>
      </w:pPr>
      <w:r>
        <w:rPr>
          <w:rFonts w:hint="eastAsia" w:ascii="宋体" w:hAnsi="宋体" w:cs="宋体"/>
        </w:rPr>
        <w:t>计算公式：H-R=2（R-L）</w:t>
      </w:r>
    </w:p>
    <w:p w14:paraId="361110DE">
      <w:pPr>
        <w:jc w:val="left"/>
        <w:rPr>
          <w:rFonts w:hint="eastAsia" w:ascii="宋体" w:hAnsi="宋体" w:cs="宋体"/>
        </w:rPr>
      </w:pPr>
      <w:r>
        <w:drawing>
          <wp:inline distT="0" distB="0" distL="114300" distR="114300">
            <wp:extent cx="1517015" cy="680720"/>
            <wp:effectExtent l="0" t="0" r="0" b="444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2">
                      <a:lum bright="-100000"/>
                    </a:blip>
                    <a:stretch>
                      <a:fillRect/>
                    </a:stretch>
                  </pic:blipFill>
                  <pic:spPr>
                    <a:xfrm>
                      <a:off x="0" y="0"/>
                      <a:ext cx="1517015" cy="680720"/>
                    </a:xfrm>
                    <a:prstGeom prst="rect">
                      <a:avLst/>
                    </a:prstGeom>
                    <a:noFill/>
                    <a:ln>
                      <a:noFill/>
                    </a:ln>
                  </pic:spPr>
                </pic:pic>
              </a:graphicData>
            </a:graphic>
          </wp:inline>
        </w:drawing>
      </w:r>
    </w:p>
    <w:p w14:paraId="7A9C74B7">
      <w:pPr>
        <w:jc w:val="left"/>
        <w:rPr>
          <w:rFonts w:hint="eastAsia" w:ascii="宋体" w:hAnsi="宋体" w:cs="宋体"/>
        </w:rPr>
      </w:pPr>
      <w:r>
        <w:rPr>
          <w:rFonts w:hint="eastAsia" w:ascii="宋体" w:hAnsi="宋体" w:cs="宋体"/>
          <w:color w:val="FF0000"/>
        </w:rPr>
        <w:t>【提示】</w:t>
      </w:r>
      <w:r>
        <w:rPr>
          <w:rFonts w:hint="eastAsia" w:ascii="宋体" w:hAnsi="宋体" w:cs="宋体"/>
        </w:rPr>
        <w:t>随机模型中，考虑了交易成本和机会成本</w:t>
      </w:r>
    </w:p>
    <w:p w14:paraId="3AD81830">
      <w:pPr>
        <w:jc w:val="left"/>
        <w:rPr>
          <w:rFonts w:hint="eastAsia" w:ascii="宋体" w:hAnsi="宋体" w:cs="宋体"/>
          <w:color w:val="FF0000"/>
        </w:rPr>
      </w:pPr>
      <w:r>
        <w:rPr>
          <w:rFonts w:hint="eastAsia" w:ascii="宋体" w:hAnsi="宋体" w:cs="宋体"/>
          <w:color w:val="FF0000"/>
        </w:rPr>
        <w:t>【总结】目标现金余额的确定</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2533"/>
        <w:gridCol w:w="2535"/>
        <w:gridCol w:w="2535"/>
      </w:tblGrid>
      <w:tr w14:paraId="0EA7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noWrap w:val="0"/>
            <w:vAlign w:val="top"/>
          </w:tcPr>
          <w:p w14:paraId="75A25078">
            <w:pPr>
              <w:jc w:val="left"/>
              <w:rPr>
                <w:rFonts w:hint="eastAsia" w:ascii="宋体" w:hAnsi="宋体" w:cs="宋体"/>
              </w:rPr>
            </w:pPr>
          </w:p>
        </w:tc>
        <w:tc>
          <w:tcPr>
            <w:tcW w:w="1249" w:type="pct"/>
            <w:shd w:val="clear" w:color="auto" w:fill="auto"/>
            <w:noWrap w:val="0"/>
            <w:vAlign w:val="top"/>
          </w:tcPr>
          <w:p w14:paraId="571E5E0E">
            <w:pPr>
              <w:jc w:val="left"/>
              <w:rPr>
                <w:rFonts w:hint="eastAsia" w:ascii="宋体" w:hAnsi="宋体" w:cs="宋体"/>
              </w:rPr>
            </w:pPr>
            <w:r>
              <w:rPr>
                <w:rFonts w:hint="eastAsia" w:ascii="宋体" w:hAnsi="宋体" w:cs="宋体"/>
              </w:rPr>
              <w:t>成本模型</w:t>
            </w:r>
          </w:p>
        </w:tc>
        <w:tc>
          <w:tcPr>
            <w:tcW w:w="1250" w:type="pct"/>
            <w:shd w:val="clear" w:color="auto" w:fill="auto"/>
            <w:noWrap w:val="0"/>
            <w:vAlign w:val="top"/>
          </w:tcPr>
          <w:p w14:paraId="71BB050B">
            <w:pPr>
              <w:jc w:val="left"/>
              <w:rPr>
                <w:rFonts w:hint="eastAsia" w:ascii="宋体" w:hAnsi="宋体" w:cs="宋体"/>
              </w:rPr>
            </w:pPr>
            <w:r>
              <w:rPr>
                <w:rFonts w:hint="eastAsia" w:ascii="宋体" w:hAnsi="宋体" w:cs="宋体"/>
              </w:rPr>
              <w:t>存货模型</w:t>
            </w:r>
          </w:p>
        </w:tc>
        <w:tc>
          <w:tcPr>
            <w:tcW w:w="1250" w:type="pct"/>
            <w:shd w:val="clear" w:color="auto" w:fill="auto"/>
            <w:noWrap w:val="0"/>
            <w:vAlign w:val="top"/>
          </w:tcPr>
          <w:p w14:paraId="2A932C16">
            <w:pPr>
              <w:jc w:val="left"/>
              <w:rPr>
                <w:rFonts w:hint="eastAsia" w:ascii="宋体" w:hAnsi="宋体" w:cs="宋体"/>
              </w:rPr>
            </w:pPr>
            <w:r>
              <w:rPr>
                <w:rFonts w:hint="eastAsia" w:ascii="宋体" w:hAnsi="宋体" w:cs="宋体"/>
              </w:rPr>
              <w:t>随机模型</w:t>
            </w:r>
          </w:p>
        </w:tc>
      </w:tr>
      <w:tr w14:paraId="6673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noWrap w:val="0"/>
            <w:vAlign w:val="top"/>
          </w:tcPr>
          <w:p w14:paraId="77459C48">
            <w:pPr>
              <w:jc w:val="left"/>
              <w:rPr>
                <w:rFonts w:hint="eastAsia" w:ascii="宋体" w:hAnsi="宋体" w:cs="宋体"/>
              </w:rPr>
            </w:pPr>
            <w:r>
              <w:rPr>
                <w:rFonts w:hint="eastAsia" w:ascii="宋体" w:hAnsi="宋体" w:cs="宋体"/>
              </w:rPr>
              <w:t>机会成本</w:t>
            </w:r>
          </w:p>
        </w:tc>
        <w:tc>
          <w:tcPr>
            <w:tcW w:w="1249" w:type="pct"/>
            <w:shd w:val="clear" w:color="auto" w:fill="auto"/>
            <w:noWrap w:val="0"/>
            <w:vAlign w:val="top"/>
          </w:tcPr>
          <w:p w14:paraId="0CEEBD89">
            <w:pPr>
              <w:jc w:val="left"/>
              <w:rPr>
                <w:rFonts w:hint="eastAsia" w:ascii="宋体" w:hAnsi="宋体" w:cs="宋体"/>
              </w:rPr>
            </w:pPr>
            <w:r>
              <w:rPr>
                <w:rFonts w:hint="eastAsia" w:ascii="宋体" w:hAnsi="宋体" w:cs="宋体"/>
              </w:rPr>
              <w:t>✔</w:t>
            </w:r>
          </w:p>
        </w:tc>
        <w:tc>
          <w:tcPr>
            <w:tcW w:w="1250" w:type="pct"/>
            <w:shd w:val="clear" w:color="auto" w:fill="auto"/>
            <w:noWrap w:val="0"/>
            <w:vAlign w:val="top"/>
          </w:tcPr>
          <w:p w14:paraId="1932C99E">
            <w:pPr>
              <w:jc w:val="left"/>
              <w:rPr>
                <w:rFonts w:hint="eastAsia" w:ascii="宋体" w:hAnsi="宋体" w:cs="宋体"/>
              </w:rPr>
            </w:pPr>
            <w:r>
              <w:rPr>
                <w:rFonts w:hint="eastAsia" w:ascii="宋体" w:hAnsi="宋体" w:cs="宋体"/>
              </w:rPr>
              <w:t>✔</w:t>
            </w:r>
          </w:p>
        </w:tc>
        <w:tc>
          <w:tcPr>
            <w:tcW w:w="1250" w:type="pct"/>
            <w:shd w:val="clear" w:color="auto" w:fill="auto"/>
            <w:noWrap w:val="0"/>
            <w:vAlign w:val="top"/>
          </w:tcPr>
          <w:p w14:paraId="5371AFA1">
            <w:pPr>
              <w:jc w:val="left"/>
              <w:rPr>
                <w:rFonts w:hint="eastAsia" w:ascii="宋体" w:hAnsi="宋体" w:cs="宋体"/>
              </w:rPr>
            </w:pPr>
            <w:r>
              <w:rPr>
                <w:rFonts w:hint="eastAsia" w:ascii="宋体" w:hAnsi="宋体" w:cs="宋体"/>
              </w:rPr>
              <w:t>✔</w:t>
            </w:r>
          </w:p>
        </w:tc>
      </w:tr>
      <w:tr w14:paraId="2FC6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noWrap w:val="0"/>
            <w:vAlign w:val="top"/>
          </w:tcPr>
          <w:p w14:paraId="5C9BB3DA">
            <w:pPr>
              <w:jc w:val="left"/>
              <w:rPr>
                <w:rFonts w:hint="eastAsia" w:ascii="宋体" w:hAnsi="宋体" w:cs="宋体"/>
              </w:rPr>
            </w:pPr>
            <w:r>
              <w:rPr>
                <w:rFonts w:hint="eastAsia" w:ascii="宋体" w:hAnsi="宋体" w:cs="宋体"/>
              </w:rPr>
              <w:t>管理成本</w:t>
            </w:r>
          </w:p>
        </w:tc>
        <w:tc>
          <w:tcPr>
            <w:tcW w:w="1249" w:type="pct"/>
            <w:shd w:val="clear" w:color="auto" w:fill="auto"/>
            <w:noWrap w:val="0"/>
            <w:vAlign w:val="top"/>
          </w:tcPr>
          <w:p w14:paraId="7A051947">
            <w:pPr>
              <w:jc w:val="left"/>
              <w:rPr>
                <w:rFonts w:hint="eastAsia" w:ascii="宋体" w:hAnsi="宋体" w:cs="宋体"/>
              </w:rPr>
            </w:pPr>
            <w:r>
              <w:rPr>
                <w:rFonts w:hint="eastAsia" w:ascii="宋体" w:hAnsi="宋体" w:cs="宋体"/>
              </w:rPr>
              <w:t>✔</w:t>
            </w:r>
          </w:p>
        </w:tc>
        <w:tc>
          <w:tcPr>
            <w:tcW w:w="1250" w:type="pct"/>
            <w:shd w:val="clear" w:color="auto" w:fill="auto"/>
            <w:noWrap w:val="0"/>
            <w:vAlign w:val="top"/>
          </w:tcPr>
          <w:p w14:paraId="4DD6D7C2">
            <w:pPr>
              <w:jc w:val="left"/>
              <w:rPr>
                <w:rFonts w:hint="eastAsia" w:ascii="宋体" w:hAnsi="宋体" w:cs="宋体"/>
              </w:rPr>
            </w:pPr>
            <w:r>
              <w:rPr>
                <w:rFonts w:hint="eastAsia" w:ascii="宋体" w:hAnsi="宋体" w:cs="宋体"/>
              </w:rPr>
              <w:t> </w:t>
            </w:r>
          </w:p>
        </w:tc>
        <w:tc>
          <w:tcPr>
            <w:tcW w:w="1250" w:type="pct"/>
            <w:shd w:val="clear" w:color="auto" w:fill="auto"/>
            <w:noWrap w:val="0"/>
            <w:vAlign w:val="top"/>
          </w:tcPr>
          <w:p w14:paraId="58CB8311">
            <w:pPr>
              <w:jc w:val="left"/>
              <w:rPr>
                <w:rFonts w:hint="eastAsia" w:ascii="宋体" w:hAnsi="宋体" w:cs="宋体"/>
              </w:rPr>
            </w:pPr>
            <w:r>
              <w:rPr>
                <w:rFonts w:hint="eastAsia" w:ascii="宋体" w:hAnsi="宋体" w:cs="宋体"/>
              </w:rPr>
              <w:t> </w:t>
            </w:r>
          </w:p>
        </w:tc>
      </w:tr>
      <w:tr w14:paraId="4E00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noWrap w:val="0"/>
            <w:vAlign w:val="top"/>
          </w:tcPr>
          <w:p w14:paraId="10E198DF">
            <w:pPr>
              <w:jc w:val="left"/>
              <w:rPr>
                <w:rFonts w:hint="eastAsia" w:ascii="宋体" w:hAnsi="宋体" w:cs="宋体"/>
              </w:rPr>
            </w:pPr>
            <w:r>
              <w:rPr>
                <w:rFonts w:hint="eastAsia" w:ascii="宋体" w:hAnsi="宋体" w:cs="宋体"/>
              </w:rPr>
              <w:t>短缺成本</w:t>
            </w:r>
          </w:p>
        </w:tc>
        <w:tc>
          <w:tcPr>
            <w:tcW w:w="1249" w:type="pct"/>
            <w:shd w:val="clear" w:color="auto" w:fill="auto"/>
            <w:noWrap w:val="0"/>
            <w:vAlign w:val="top"/>
          </w:tcPr>
          <w:p w14:paraId="3424C8C3">
            <w:pPr>
              <w:jc w:val="left"/>
              <w:rPr>
                <w:rFonts w:hint="eastAsia" w:ascii="宋体" w:hAnsi="宋体" w:cs="宋体"/>
              </w:rPr>
            </w:pPr>
            <w:r>
              <w:rPr>
                <w:rFonts w:hint="eastAsia" w:ascii="宋体" w:hAnsi="宋体" w:cs="宋体"/>
              </w:rPr>
              <w:t>✔</w:t>
            </w:r>
          </w:p>
        </w:tc>
        <w:tc>
          <w:tcPr>
            <w:tcW w:w="1250" w:type="pct"/>
            <w:shd w:val="clear" w:color="auto" w:fill="auto"/>
            <w:noWrap w:val="0"/>
            <w:vAlign w:val="top"/>
          </w:tcPr>
          <w:p w14:paraId="17AEC67A">
            <w:pPr>
              <w:jc w:val="left"/>
              <w:rPr>
                <w:rFonts w:hint="eastAsia" w:ascii="宋体" w:hAnsi="宋体" w:cs="宋体"/>
              </w:rPr>
            </w:pPr>
            <w:r>
              <w:rPr>
                <w:rFonts w:hint="eastAsia" w:ascii="宋体" w:hAnsi="宋体" w:cs="宋体"/>
              </w:rPr>
              <w:t> </w:t>
            </w:r>
          </w:p>
        </w:tc>
        <w:tc>
          <w:tcPr>
            <w:tcW w:w="1250" w:type="pct"/>
            <w:shd w:val="clear" w:color="auto" w:fill="auto"/>
            <w:noWrap w:val="0"/>
            <w:vAlign w:val="top"/>
          </w:tcPr>
          <w:p w14:paraId="0AF2BD22">
            <w:pPr>
              <w:jc w:val="left"/>
              <w:rPr>
                <w:rFonts w:hint="eastAsia" w:ascii="宋体" w:hAnsi="宋体" w:cs="宋体"/>
              </w:rPr>
            </w:pPr>
            <w:r>
              <w:rPr>
                <w:rFonts w:hint="eastAsia" w:ascii="宋体" w:hAnsi="宋体" w:cs="宋体"/>
              </w:rPr>
              <w:t> </w:t>
            </w:r>
          </w:p>
        </w:tc>
      </w:tr>
      <w:tr w14:paraId="5DBD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noWrap w:val="0"/>
            <w:vAlign w:val="top"/>
          </w:tcPr>
          <w:p w14:paraId="3E5AAB82">
            <w:pPr>
              <w:jc w:val="left"/>
              <w:rPr>
                <w:rFonts w:hint="eastAsia" w:ascii="宋体" w:hAnsi="宋体" w:cs="宋体"/>
              </w:rPr>
            </w:pPr>
            <w:r>
              <w:rPr>
                <w:rFonts w:hint="eastAsia" w:ascii="宋体" w:hAnsi="宋体" w:cs="宋体"/>
              </w:rPr>
              <w:t>交易成本</w:t>
            </w:r>
          </w:p>
        </w:tc>
        <w:tc>
          <w:tcPr>
            <w:tcW w:w="1249" w:type="pct"/>
            <w:shd w:val="clear" w:color="auto" w:fill="auto"/>
            <w:noWrap w:val="0"/>
            <w:vAlign w:val="top"/>
          </w:tcPr>
          <w:p w14:paraId="51883A75">
            <w:pPr>
              <w:jc w:val="left"/>
              <w:rPr>
                <w:rFonts w:hint="eastAsia" w:ascii="宋体" w:hAnsi="宋体" w:cs="宋体"/>
              </w:rPr>
            </w:pPr>
            <w:r>
              <w:rPr>
                <w:rFonts w:hint="eastAsia" w:ascii="宋体" w:hAnsi="宋体" w:cs="宋体"/>
              </w:rPr>
              <w:t> </w:t>
            </w:r>
          </w:p>
        </w:tc>
        <w:tc>
          <w:tcPr>
            <w:tcW w:w="1250" w:type="pct"/>
            <w:shd w:val="clear" w:color="auto" w:fill="auto"/>
            <w:noWrap w:val="0"/>
            <w:vAlign w:val="top"/>
          </w:tcPr>
          <w:p w14:paraId="3330D0D6">
            <w:pPr>
              <w:jc w:val="left"/>
              <w:rPr>
                <w:rFonts w:hint="eastAsia" w:ascii="宋体" w:hAnsi="宋体" w:cs="宋体"/>
              </w:rPr>
            </w:pPr>
            <w:r>
              <w:rPr>
                <w:rFonts w:hint="eastAsia" w:ascii="宋体" w:hAnsi="宋体" w:cs="宋体"/>
              </w:rPr>
              <w:t>✔</w:t>
            </w:r>
          </w:p>
        </w:tc>
        <w:tc>
          <w:tcPr>
            <w:tcW w:w="1250" w:type="pct"/>
            <w:shd w:val="clear" w:color="auto" w:fill="auto"/>
            <w:noWrap w:val="0"/>
            <w:vAlign w:val="top"/>
          </w:tcPr>
          <w:p w14:paraId="49970E03">
            <w:pPr>
              <w:jc w:val="left"/>
              <w:rPr>
                <w:rFonts w:hint="eastAsia" w:ascii="宋体" w:hAnsi="宋体" w:cs="宋体"/>
              </w:rPr>
            </w:pPr>
            <w:r>
              <w:rPr>
                <w:rFonts w:hint="eastAsia" w:ascii="宋体" w:hAnsi="宋体" w:cs="宋体"/>
              </w:rPr>
              <w:t>✔</w:t>
            </w:r>
          </w:p>
        </w:tc>
      </w:tr>
    </w:tbl>
    <w:p w14:paraId="6EC08065">
      <w:pPr>
        <w:jc w:val="left"/>
        <w:rPr>
          <w:rFonts w:hint="eastAsia" w:ascii="宋体" w:hAnsi="宋体" w:cs="宋体"/>
          <w:color w:val="FF0000"/>
        </w:rPr>
      </w:pPr>
      <w:r>
        <w:rPr>
          <w:rFonts w:hint="eastAsia" w:ascii="宋体" w:hAnsi="宋体" w:cs="宋体"/>
          <w:color w:val="FF0000"/>
        </w:rPr>
        <w:t>【知识点5】现金收支日常管理</w:t>
      </w:r>
    </w:p>
    <w:p w14:paraId="7637D477">
      <w:pPr>
        <w:jc w:val="left"/>
        <w:rPr>
          <w:rFonts w:hint="eastAsia" w:ascii="宋体" w:hAnsi="宋体" w:cs="宋体"/>
          <w:color w:val="FF0000"/>
        </w:rPr>
      </w:pPr>
      <w:r>
        <w:rPr>
          <w:rFonts w:hint="eastAsia" w:ascii="宋体" w:hAnsi="宋体" w:cs="宋体"/>
          <w:color w:val="FF0000"/>
        </w:rPr>
        <w:t>（一）现金周转期</w:t>
      </w:r>
    </w:p>
    <w:p w14:paraId="60199FE2">
      <w:pPr>
        <w:jc w:val="left"/>
        <w:rPr>
          <w:rFonts w:hint="eastAsia" w:ascii="宋体" w:hAnsi="宋体" w:cs="宋体"/>
        </w:rPr>
      </w:pPr>
      <w:r>
        <w:rPr>
          <w:rFonts w:hint="eastAsia" w:ascii="宋体" w:hAnsi="宋体" w:cs="宋体"/>
        </w:rPr>
        <w:t>现金周转期＝存货周转期＋应收账款周转期－应付账款周转期</w:t>
      </w:r>
    </w:p>
    <w:p w14:paraId="04F88098">
      <w:pPr>
        <w:jc w:val="left"/>
        <w:rPr>
          <w:rFonts w:hint="eastAsia" w:ascii="宋体" w:hAnsi="宋体" w:cs="宋体"/>
        </w:rPr>
      </w:pPr>
    </w:p>
    <w:p w14:paraId="2FB2F2C8">
      <w:pPr>
        <w:jc w:val="center"/>
        <w:rPr>
          <w:rFonts w:hint="eastAsia" w:ascii="宋体" w:hAnsi="宋体" w:cs="宋体"/>
          <w:b/>
          <w:bCs/>
        </w:rPr>
      </w:pPr>
      <w:r>
        <w:rPr>
          <w:rFonts w:hint="eastAsia" w:ascii="宋体" w:hAnsi="宋体" w:cs="宋体"/>
          <w:b/>
          <w:bCs/>
        </w:rPr>
        <w:t>第三节 应收账款管理</w:t>
      </w:r>
    </w:p>
    <w:p w14:paraId="4A98ED80">
      <w:pPr>
        <w:jc w:val="left"/>
        <w:rPr>
          <w:rFonts w:hint="eastAsia" w:ascii="宋体" w:hAnsi="宋体" w:cs="宋体"/>
          <w:color w:val="FF0000"/>
        </w:rPr>
      </w:pPr>
      <w:r>
        <w:rPr>
          <w:rFonts w:hint="eastAsia" w:ascii="宋体" w:hAnsi="宋体" w:cs="宋体"/>
          <w:color w:val="FF0000"/>
        </w:rPr>
        <w:t>【知识点1】应收账款功能</w:t>
      </w:r>
    </w:p>
    <w:p w14:paraId="4630D4B7">
      <w:pPr>
        <w:jc w:val="left"/>
        <w:rPr>
          <w:rFonts w:hint="eastAsia" w:ascii="宋体" w:hAnsi="宋体" w:cs="宋体"/>
        </w:rPr>
      </w:pPr>
      <w:r>
        <w:rPr>
          <w:rFonts w:hint="eastAsia" w:ascii="宋体" w:hAnsi="宋体" w:cs="宋体"/>
        </w:rPr>
        <w:t>应收账款功能包括增加销售，同时减少存货，两者相辅相成。</w:t>
      </w:r>
    </w:p>
    <w:p w14:paraId="178BAFE2">
      <w:pPr>
        <w:jc w:val="left"/>
        <w:rPr>
          <w:rFonts w:hint="eastAsia" w:ascii="宋体" w:hAnsi="宋体" w:cs="宋体"/>
          <w:color w:val="FF0000"/>
        </w:rPr>
      </w:pPr>
      <w:r>
        <w:rPr>
          <w:rFonts w:hint="eastAsia" w:ascii="宋体" w:hAnsi="宋体" w:cs="宋体"/>
          <w:color w:val="FF0000"/>
        </w:rPr>
        <w:t>【知识点2】应收账款的成本</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8738"/>
      </w:tblGrid>
      <w:tr w14:paraId="3C12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shd w:val="clear" w:color="auto" w:fill="auto"/>
            <w:noWrap w:val="0"/>
            <w:vAlign w:val="top"/>
          </w:tcPr>
          <w:p w14:paraId="23B0F777">
            <w:pPr>
              <w:rPr>
                <w:rFonts w:hint="eastAsia" w:ascii="宋体" w:hAnsi="宋体" w:cs="宋体"/>
              </w:rPr>
            </w:pPr>
            <w:r>
              <w:rPr>
                <w:rFonts w:hint="eastAsia" w:ascii="宋体" w:hAnsi="宋体" w:cs="宋体"/>
              </w:rPr>
              <w:t>机会成本</w:t>
            </w:r>
          </w:p>
        </w:tc>
        <w:tc>
          <w:tcPr>
            <w:tcW w:w="4309" w:type="pct"/>
            <w:shd w:val="clear" w:color="auto" w:fill="auto"/>
            <w:noWrap w:val="0"/>
            <w:vAlign w:val="top"/>
          </w:tcPr>
          <w:p w14:paraId="4440FB8C">
            <w:pPr>
              <w:rPr>
                <w:rFonts w:hint="eastAsia" w:ascii="宋体" w:hAnsi="宋体" w:cs="宋体"/>
              </w:rPr>
            </w:pPr>
            <w:r>
              <w:rPr>
                <w:rFonts w:hint="eastAsia" w:ascii="宋体" w:hAnsi="宋体" w:cs="宋体"/>
              </w:rPr>
              <w:t>应收账款占用资金而失去投资机会</w:t>
            </w:r>
          </w:p>
        </w:tc>
      </w:tr>
      <w:tr w14:paraId="7BCA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shd w:val="clear" w:color="auto" w:fill="auto"/>
            <w:noWrap w:val="0"/>
            <w:vAlign w:val="top"/>
          </w:tcPr>
          <w:p w14:paraId="4DB86506">
            <w:pPr>
              <w:rPr>
                <w:rFonts w:hint="eastAsia" w:ascii="宋体" w:hAnsi="宋体" w:cs="宋体"/>
              </w:rPr>
            </w:pPr>
            <w:r>
              <w:rPr>
                <w:rFonts w:hint="eastAsia" w:ascii="宋体" w:hAnsi="宋体" w:cs="宋体"/>
              </w:rPr>
              <w:t>管理成本</w:t>
            </w:r>
          </w:p>
        </w:tc>
        <w:tc>
          <w:tcPr>
            <w:tcW w:w="4309" w:type="pct"/>
            <w:shd w:val="clear" w:color="auto" w:fill="auto"/>
            <w:noWrap w:val="0"/>
            <w:vAlign w:val="top"/>
          </w:tcPr>
          <w:p w14:paraId="754B1F44">
            <w:pPr>
              <w:rPr>
                <w:rFonts w:hint="eastAsia" w:ascii="宋体" w:hAnsi="宋体" w:cs="宋体"/>
              </w:rPr>
            </w:pPr>
            <w:r>
              <w:rPr>
                <w:rFonts w:hint="eastAsia" w:ascii="宋体" w:hAnsi="宋体" w:cs="宋体"/>
              </w:rPr>
              <w:t>应收账款管理时增加的费用，主要包括：调查顾客信用状况的费用、收集各种信息的费用、账簿的记录费用、收账费用等</w:t>
            </w:r>
          </w:p>
        </w:tc>
      </w:tr>
      <w:tr w14:paraId="0488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shd w:val="clear" w:color="auto" w:fill="auto"/>
            <w:noWrap w:val="0"/>
            <w:vAlign w:val="top"/>
          </w:tcPr>
          <w:p w14:paraId="2BBD62A6">
            <w:pPr>
              <w:rPr>
                <w:rFonts w:hint="eastAsia" w:ascii="宋体" w:hAnsi="宋体" w:cs="宋体"/>
              </w:rPr>
            </w:pPr>
            <w:r>
              <w:rPr>
                <w:rFonts w:hint="eastAsia" w:ascii="宋体" w:hAnsi="宋体" w:cs="宋体"/>
              </w:rPr>
              <w:t>坏账成本</w:t>
            </w:r>
          </w:p>
        </w:tc>
        <w:tc>
          <w:tcPr>
            <w:tcW w:w="4309" w:type="pct"/>
            <w:shd w:val="clear" w:color="auto" w:fill="auto"/>
            <w:noWrap w:val="0"/>
            <w:vAlign w:val="top"/>
          </w:tcPr>
          <w:p w14:paraId="1E51E91A">
            <w:pPr>
              <w:rPr>
                <w:rFonts w:hint="eastAsia" w:ascii="宋体" w:hAnsi="宋体" w:cs="宋体"/>
              </w:rPr>
            </w:pPr>
            <w:r>
              <w:rPr>
                <w:rFonts w:hint="eastAsia" w:ascii="宋体" w:hAnsi="宋体" w:cs="宋体"/>
              </w:rPr>
              <w:t>由于种种原因，使得债权人无法收回应收账款而发生的损失</w:t>
            </w:r>
          </w:p>
        </w:tc>
      </w:tr>
    </w:tbl>
    <w:p w14:paraId="2E6D74EF">
      <w:pPr>
        <w:jc w:val="left"/>
        <w:rPr>
          <w:rFonts w:hint="eastAsia" w:ascii="宋体" w:hAnsi="宋体" w:cs="宋体"/>
          <w:color w:val="FF0000"/>
        </w:rPr>
      </w:pPr>
      <w:r>
        <w:rPr>
          <w:rFonts w:hint="eastAsia" w:ascii="宋体" w:hAnsi="宋体" w:cs="宋体"/>
          <w:color w:val="FF0000"/>
        </w:rPr>
        <w:t>【知识点3】信用政策</w:t>
      </w:r>
    </w:p>
    <w:p w14:paraId="57273A08">
      <w:pPr>
        <w:jc w:val="left"/>
        <w:rPr>
          <w:rFonts w:hint="eastAsia" w:ascii="宋体" w:hAnsi="宋体" w:cs="宋体"/>
        </w:rPr>
      </w:pPr>
      <w:r>
        <w:rPr>
          <w:rFonts w:hint="eastAsia" w:ascii="宋体" w:hAnsi="宋体" w:cs="宋体"/>
        </w:rPr>
        <w:t>信用政策包括信用标准、信用条件和收账政策三个方面。</w:t>
      </w:r>
    </w:p>
    <w:p w14:paraId="19B94CAB">
      <w:pPr>
        <w:jc w:val="left"/>
        <w:rPr>
          <w:rFonts w:hint="eastAsia" w:ascii="宋体" w:hAnsi="宋体" w:cs="宋体"/>
          <w:color w:val="FF0000"/>
        </w:rPr>
      </w:pPr>
      <w:r>
        <w:rPr>
          <w:rFonts w:hint="eastAsia" w:ascii="宋体" w:hAnsi="宋体" w:cs="宋体"/>
          <w:color w:val="FF0000"/>
        </w:rPr>
        <w:t>1.信用标准-信用的定性分析</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9405"/>
      </w:tblGrid>
      <w:tr w14:paraId="1738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shd w:val="clear" w:color="auto" w:fill="auto"/>
            <w:noWrap w:val="0"/>
            <w:vAlign w:val="top"/>
          </w:tcPr>
          <w:p w14:paraId="4770905A">
            <w:pPr>
              <w:rPr>
                <w:rFonts w:hint="eastAsia" w:ascii="宋体" w:hAnsi="宋体" w:cs="宋体"/>
              </w:rPr>
            </w:pPr>
            <w:r>
              <w:rPr>
                <w:rFonts w:hint="eastAsia" w:ascii="宋体" w:hAnsi="宋体" w:cs="宋体"/>
              </w:rPr>
              <w:t>品质</w:t>
            </w:r>
          </w:p>
        </w:tc>
        <w:tc>
          <w:tcPr>
            <w:tcW w:w="4638" w:type="pct"/>
            <w:shd w:val="clear" w:color="auto" w:fill="auto"/>
            <w:noWrap w:val="0"/>
            <w:vAlign w:val="top"/>
          </w:tcPr>
          <w:p w14:paraId="51347DD9">
            <w:pPr>
              <w:rPr>
                <w:rFonts w:hint="eastAsia" w:ascii="宋体" w:hAnsi="宋体" w:cs="宋体"/>
              </w:rPr>
            </w:pPr>
            <w:r>
              <w:rPr>
                <w:rFonts w:hint="eastAsia" w:ascii="宋体" w:hAnsi="宋体" w:cs="宋体"/>
              </w:rPr>
              <w:t>个人或企业申请人管理者的诚实和正直表现，反映了申请人在过去的还款中所体现的还款意图和愿望</w:t>
            </w:r>
          </w:p>
        </w:tc>
      </w:tr>
      <w:tr w14:paraId="39E2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shd w:val="clear" w:color="auto" w:fill="auto"/>
            <w:noWrap w:val="0"/>
            <w:vAlign w:val="top"/>
          </w:tcPr>
          <w:p w14:paraId="16107C49">
            <w:pPr>
              <w:rPr>
                <w:rFonts w:hint="eastAsia" w:ascii="宋体" w:hAnsi="宋体" w:cs="宋体"/>
              </w:rPr>
            </w:pPr>
            <w:r>
              <w:rPr>
                <w:rFonts w:hint="eastAsia" w:ascii="宋体" w:hAnsi="宋体" w:cs="宋体"/>
              </w:rPr>
              <w:t>能力</w:t>
            </w:r>
          </w:p>
        </w:tc>
        <w:tc>
          <w:tcPr>
            <w:tcW w:w="4638" w:type="pct"/>
            <w:shd w:val="clear" w:color="auto" w:fill="auto"/>
            <w:noWrap w:val="0"/>
            <w:vAlign w:val="top"/>
          </w:tcPr>
          <w:p w14:paraId="2E1ABB95">
            <w:pPr>
              <w:rPr>
                <w:rFonts w:hint="eastAsia" w:ascii="宋体" w:hAnsi="宋体" w:cs="宋体"/>
              </w:rPr>
            </w:pPr>
            <w:r>
              <w:rPr>
                <w:rFonts w:hint="eastAsia" w:ascii="宋体" w:hAnsi="宋体" w:cs="宋体"/>
              </w:rPr>
              <w:t>申请人的偿债能力，着重了解流动资产的数量、质量以及流动比率的高低，必要时还可实地考察申请人的日常运营状况</w:t>
            </w:r>
          </w:p>
        </w:tc>
      </w:tr>
      <w:tr w14:paraId="3810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shd w:val="clear" w:color="auto" w:fill="auto"/>
            <w:noWrap w:val="0"/>
            <w:vAlign w:val="top"/>
          </w:tcPr>
          <w:p w14:paraId="70F425AE">
            <w:pPr>
              <w:rPr>
                <w:rFonts w:hint="eastAsia" w:ascii="宋体" w:hAnsi="宋体" w:cs="宋体"/>
              </w:rPr>
            </w:pPr>
            <w:r>
              <w:rPr>
                <w:rFonts w:hint="eastAsia" w:ascii="宋体" w:hAnsi="宋体" w:cs="宋体"/>
              </w:rPr>
              <w:t>资本</w:t>
            </w:r>
          </w:p>
        </w:tc>
        <w:tc>
          <w:tcPr>
            <w:tcW w:w="4638" w:type="pct"/>
            <w:shd w:val="clear" w:color="auto" w:fill="auto"/>
            <w:noWrap w:val="0"/>
            <w:vAlign w:val="top"/>
          </w:tcPr>
          <w:p w14:paraId="4E548D26">
            <w:pPr>
              <w:rPr>
                <w:rFonts w:hint="eastAsia" w:ascii="宋体" w:hAnsi="宋体" w:cs="宋体"/>
              </w:rPr>
            </w:pPr>
            <w:r>
              <w:rPr>
                <w:rFonts w:hint="eastAsia" w:ascii="宋体" w:hAnsi="宋体" w:cs="宋体"/>
              </w:rPr>
              <w:t>申请人当期现金流不足以还债时，其短期和长期内可使用的财务资源</w:t>
            </w:r>
          </w:p>
        </w:tc>
      </w:tr>
      <w:tr w14:paraId="3428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shd w:val="clear" w:color="auto" w:fill="auto"/>
            <w:noWrap w:val="0"/>
            <w:vAlign w:val="top"/>
          </w:tcPr>
          <w:p w14:paraId="173C414B">
            <w:pPr>
              <w:rPr>
                <w:rFonts w:hint="eastAsia" w:ascii="宋体" w:hAnsi="宋体" w:cs="宋体"/>
              </w:rPr>
            </w:pPr>
            <w:r>
              <w:rPr>
                <w:rFonts w:hint="eastAsia" w:ascii="宋体" w:hAnsi="宋体" w:cs="宋体"/>
              </w:rPr>
              <w:t>抵押</w:t>
            </w:r>
          </w:p>
        </w:tc>
        <w:tc>
          <w:tcPr>
            <w:tcW w:w="4638" w:type="pct"/>
            <w:shd w:val="clear" w:color="auto" w:fill="auto"/>
            <w:noWrap w:val="0"/>
            <w:vAlign w:val="top"/>
          </w:tcPr>
          <w:p w14:paraId="5B0BD324">
            <w:pPr>
              <w:rPr>
                <w:rFonts w:hint="eastAsia" w:ascii="宋体" w:hAnsi="宋体" w:cs="宋体"/>
              </w:rPr>
            </w:pPr>
            <w:r>
              <w:rPr>
                <w:rFonts w:hint="eastAsia" w:ascii="宋体" w:hAnsi="宋体" w:cs="宋体"/>
              </w:rPr>
              <w:t>申请人不能满足还款条款时，可以用作债务担保的资产或其他担保物</w:t>
            </w:r>
          </w:p>
        </w:tc>
      </w:tr>
      <w:tr w14:paraId="6E9D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shd w:val="clear" w:color="auto" w:fill="auto"/>
            <w:noWrap w:val="0"/>
            <w:vAlign w:val="top"/>
          </w:tcPr>
          <w:p w14:paraId="035587D7">
            <w:pPr>
              <w:rPr>
                <w:rFonts w:hint="eastAsia" w:ascii="宋体" w:hAnsi="宋体" w:cs="宋体"/>
              </w:rPr>
            </w:pPr>
            <w:r>
              <w:rPr>
                <w:rFonts w:hint="eastAsia" w:ascii="宋体" w:hAnsi="宋体" w:cs="宋体"/>
              </w:rPr>
              <w:t>条件</w:t>
            </w:r>
          </w:p>
        </w:tc>
        <w:tc>
          <w:tcPr>
            <w:tcW w:w="4638" w:type="pct"/>
            <w:shd w:val="clear" w:color="auto" w:fill="auto"/>
            <w:noWrap w:val="0"/>
            <w:vAlign w:val="top"/>
          </w:tcPr>
          <w:p w14:paraId="2E4505FD">
            <w:pPr>
              <w:rPr>
                <w:rFonts w:hint="eastAsia" w:ascii="宋体" w:hAnsi="宋体" w:cs="宋体"/>
              </w:rPr>
            </w:pPr>
            <w:r>
              <w:rPr>
                <w:rFonts w:hint="eastAsia" w:ascii="宋体" w:hAnsi="宋体" w:cs="宋体"/>
              </w:rPr>
              <w:t>影响申请人还款能力和还款意愿的各种外在因素</w:t>
            </w:r>
          </w:p>
        </w:tc>
      </w:tr>
    </w:tbl>
    <w:p w14:paraId="70894F7C">
      <w:pPr>
        <w:jc w:val="left"/>
        <w:rPr>
          <w:rFonts w:hint="eastAsia" w:ascii="宋体" w:hAnsi="宋体" w:cs="宋体"/>
          <w:color w:val="FF0000"/>
        </w:rPr>
      </w:pPr>
      <w:r>
        <w:rPr>
          <w:rFonts w:hint="eastAsia" w:ascii="宋体" w:hAnsi="宋体" w:cs="宋体"/>
          <w:color w:val="FF0000"/>
        </w:rPr>
        <w:t>2.信用条件</w:t>
      </w:r>
    </w:p>
    <w:p w14:paraId="065C527B">
      <w:pPr>
        <w:jc w:val="left"/>
        <w:rPr>
          <w:rFonts w:hint="eastAsia" w:ascii="宋体" w:hAnsi="宋体" w:cs="宋体"/>
        </w:rPr>
      </w:pPr>
      <w:r>
        <w:rPr>
          <w:rFonts w:hint="eastAsia" w:ascii="宋体" w:hAnsi="宋体" w:cs="宋体"/>
        </w:rPr>
        <w:t>信用政策包括：信用期间、信用标准和现金折扣政策。</w:t>
      </w:r>
    </w:p>
    <w:p w14:paraId="072C1C0B">
      <w:pPr>
        <w:jc w:val="left"/>
        <w:rPr>
          <w:rFonts w:hint="eastAsia" w:ascii="宋体" w:hAnsi="宋体" w:cs="宋体"/>
        </w:rPr>
      </w:pPr>
      <w:r>
        <w:rPr>
          <w:rFonts w:hint="eastAsia" w:ascii="宋体" w:hAnsi="宋体" w:cs="宋体"/>
        </w:rPr>
        <w:t>信用政策制定方法：选择使企业税前净收益最高的信用政策。</w:t>
      </w:r>
    </w:p>
    <w:p w14:paraId="22ACA30F">
      <w:pPr>
        <w:jc w:val="left"/>
        <w:rPr>
          <w:rFonts w:hint="eastAsia" w:ascii="宋体" w:hAnsi="宋体" w:cs="宋体"/>
          <w:color w:val="FF0000"/>
        </w:rPr>
      </w:pPr>
      <w:r>
        <w:rPr>
          <w:rFonts w:hint="eastAsia" w:ascii="宋体" w:hAnsi="宋体" w:cs="宋体"/>
          <w:color w:val="FF0000"/>
        </w:rPr>
        <w:t>（1）收益的增加</w:t>
      </w:r>
    </w:p>
    <w:p w14:paraId="11BF044E">
      <w:pPr>
        <w:jc w:val="left"/>
        <w:rPr>
          <w:rFonts w:hint="eastAsia" w:ascii="宋体" w:hAnsi="宋体" w:cs="宋体"/>
        </w:rPr>
      </w:pPr>
      <w:r>
        <w:rPr>
          <w:rFonts w:hint="eastAsia" w:ascii="宋体" w:hAnsi="宋体" w:cs="宋体"/>
        </w:rPr>
        <w:t>收益增加＝销售量增加×单位边际贡献＝销售量增加×（单价－单位变动成本）</w:t>
      </w:r>
    </w:p>
    <w:p w14:paraId="4FEFC7C5">
      <w:pPr>
        <w:jc w:val="left"/>
        <w:rPr>
          <w:rFonts w:hint="eastAsia" w:ascii="宋体" w:hAnsi="宋体" w:cs="宋体"/>
          <w:color w:val="FF0000"/>
        </w:rPr>
      </w:pPr>
      <w:r>
        <w:rPr>
          <w:rFonts w:hint="eastAsia" w:ascii="宋体" w:hAnsi="宋体" w:cs="宋体"/>
          <w:color w:val="FF0000"/>
        </w:rPr>
        <w:t>（2）应付账款增加导致应计利息的减少</w:t>
      </w:r>
    </w:p>
    <w:p w14:paraId="55724F1F">
      <w:pPr>
        <w:jc w:val="left"/>
        <w:rPr>
          <w:rFonts w:hint="eastAsia" w:ascii="宋体" w:hAnsi="宋体" w:cs="宋体"/>
        </w:rPr>
      </w:pPr>
      <w:r>
        <w:rPr>
          <w:rFonts w:hint="eastAsia" w:ascii="宋体" w:hAnsi="宋体" w:cs="宋体"/>
        </w:rPr>
        <w:t>应付账款增加导致的应计利息减少＝应付账款平均余额增加×资金成本</w:t>
      </w:r>
    </w:p>
    <w:p w14:paraId="1FA2C957">
      <w:pPr>
        <w:jc w:val="left"/>
        <w:rPr>
          <w:rFonts w:hint="eastAsia" w:ascii="宋体" w:hAnsi="宋体" w:cs="宋体"/>
          <w:color w:val="FF0000"/>
        </w:rPr>
      </w:pPr>
      <w:r>
        <w:rPr>
          <w:rFonts w:hint="eastAsia" w:ascii="宋体" w:hAnsi="宋体" w:cs="宋体"/>
          <w:color w:val="FF0000"/>
        </w:rPr>
        <w:t>（3）应收账款机会成本的增加</w:t>
      </w:r>
    </w:p>
    <w:p w14:paraId="522D5FAE">
      <w:pPr>
        <w:jc w:val="left"/>
        <w:rPr>
          <w:rFonts w:hint="eastAsia" w:ascii="宋体" w:hAnsi="宋体" w:cs="宋体"/>
        </w:rPr>
      </w:pPr>
      <w:r>
        <w:rPr>
          <w:rFonts w:hint="eastAsia" w:ascii="宋体" w:hAnsi="宋体" w:cs="宋体"/>
        </w:rPr>
        <w:t>应收账款的机会成本</w:t>
      </w:r>
    </w:p>
    <w:p w14:paraId="60B2F034">
      <w:pPr>
        <w:jc w:val="left"/>
        <w:rPr>
          <w:rFonts w:hint="eastAsia" w:ascii="宋体" w:hAnsi="宋体" w:cs="宋体"/>
        </w:rPr>
      </w:pPr>
      <w:r>
        <w:rPr>
          <w:rFonts w:hint="eastAsia" w:ascii="宋体" w:hAnsi="宋体" w:cs="宋体"/>
        </w:rPr>
        <w:t>应收账款占用资金的应计利息＝应收账款占用资金×资本成本</w:t>
      </w:r>
    </w:p>
    <w:p w14:paraId="6E1B2CE4">
      <w:pPr>
        <w:jc w:val="left"/>
        <w:rPr>
          <w:rFonts w:hint="eastAsia" w:ascii="宋体" w:hAnsi="宋体" w:cs="宋体"/>
        </w:rPr>
      </w:pPr>
      <w:r>
        <w:rPr>
          <w:rFonts w:hint="eastAsia" w:ascii="宋体" w:hAnsi="宋体" w:cs="宋体"/>
        </w:rPr>
        <w:t>应收账款占用资金＝应收账款平均余额×变动成本率</w:t>
      </w:r>
    </w:p>
    <w:p w14:paraId="30ADE44B">
      <w:pPr>
        <w:jc w:val="left"/>
        <w:rPr>
          <w:rFonts w:hint="eastAsia" w:ascii="宋体" w:hAnsi="宋体" w:cs="宋体"/>
        </w:rPr>
      </w:pPr>
      <w:r>
        <w:rPr>
          <w:rFonts w:hint="eastAsia" w:ascii="宋体" w:hAnsi="宋体" w:cs="宋体"/>
        </w:rPr>
        <w:t>应收账款平均余额＝日销售额×平均收现期</w:t>
      </w:r>
    </w:p>
    <w:p w14:paraId="596A7711">
      <w:pPr>
        <w:jc w:val="left"/>
        <w:rPr>
          <w:rFonts w:hint="eastAsia" w:ascii="宋体" w:hAnsi="宋体" w:cs="宋体"/>
        </w:rPr>
      </w:pPr>
      <w:r>
        <w:rPr>
          <w:rFonts w:hint="eastAsia" w:ascii="宋体" w:hAnsi="宋体" w:cs="宋体"/>
        </w:rPr>
        <w:t>应收账款占用资金应计利息＝日销售额×平均收现期×变动成本率×资本成本</w:t>
      </w:r>
    </w:p>
    <w:p w14:paraId="1304BAE3">
      <w:pPr>
        <w:jc w:val="left"/>
        <w:rPr>
          <w:rFonts w:hint="eastAsia" w:ascii="宋体" w:hAnsi="宋体" w:cs="宋体"/>
        </w:rPr>
      </w:pPr>
      <w:r>
        <w:rPr>
          <w:rFonts w:hint="eastAsia" w:ascii="宋体" w:hAnsi="宋体" w:cs="宋体"/>
        </w:rPr>
        <w:t>应收账款占用资金的应计利息增加</w:t>
      </w:r>
    </w:p>
    <w:p w14:paraId="32D37B43">
      <w:pPr>
        <w:jc w:val="left"/>
        <w:rPr>
          <w:rFonts w:hint="eastAsia" w:ascii="宋体" w:hAnsi="宋体" w:cs="宋体"/>
        </w:rPr>
      </w:pPr>
      <w:r>
        <w:rPr>
          <w:rFonts w:hint="eastAsia" w:ascii="宋体" w:hAnsi="宋体" w:cs="宋体"/>
        </w:rPr>
        <w:t>＝新信用政策占用资金的应计利息－原信用政策占用资金的应计利息</w:t>
      </w:r>
    </w:p>
    <w:p w14:paraId="74D4403C">
      <w:pPr>
        <w:jc w:val="left"/>
        <w:rPr>
          <w:rFonts w:hint="eastAsia" w:ascii="宋体" w:hAnsi="宋体" w:cs="宋体"/>
          <w:color w:val="FF0000"/>
        </w:rPr>
      </w:pPr>
      <w:r>
        <w:rPr>
          <w:rFonts w:hint="eastAsia" w:ascii="宋体" w:hAnsi="宋体" w:cs="宋体"/>
          <w:color w:val="FF0000"/>
        </w:rPr>
        <w:t>（4）管理成本及收账费用的增加</w:t>
      </w:r>
    </w:p>
    <w:p w14:paraId="20732D35">
      <w:pPr>
        <w:jc w:val="left"/>
        <w:rPr>
          <w:rFonts w:hint="eastAsia" w:ascii="宋体" w:hAnsi="宋体" w:cs="宋体"/>
          <w:color w:val="FF0000"/>
        </w:rPr>
      </w:pPr>
      <w:r>
        <w:rPr>
          <w:rFonts w:hint="eastAsia" w:ascii="宋体" w:hAnsi="宋体" w:cs="宋体"/>
          <w:color w:val="FF0000"/>
        </w:rPr>
        <w:t>（5）坏账成本的增加</w:t>
      </w:r>
    </w:p>
    <w:p w14:paraId="6B24E88F">
      <w:pPr>
        <w:jc w:val="left"/>
        <w:rPr>
          <w:rFonts w:hint="eastAsia" w:ascii="宋体" w:hAnsi="宋体" w:cs="宋体"/>
          <w:color w:val="FF0000"/>
        </w:rPr>
      </w:pPr>
      <w:r>
        <w:rPr>
          <w:rFonts w:hint="eastAsia" w:ascii="宋体" w:hAnsi="宋体" w:cs="宋体"/>
          <w:color w:val="FF0000"/>
        </w:rPr>
        <w:t>（6）存货占用资金应计利息的增加</w:t>
      </w:r>
    </w:p>
    <w:p w14:paraId="64F290A4">
      <w:pPr>
        <w:jc w:val="left"/>
        <w:rPr>
          <w:rFonts w:hint="eastAsia" w:ascii="宋体" w:hAnsi="宋体" w:cs="宋体"/>
        </w:rPr>
      </w:pPr>
      <w:r>
        <w:rPr>
          <w:rFonts w:hint="eastAsia" w:ascii="宋体" w:hAnsi="宋体" w:cs="宋体"/>
        </w:rPr>
        <w:t>存货占用资金应计利息增加＝存货增加量×单位变动成本×资金成本</w:t>
      </w:r>
    </w:p>
    <w:p w14:paraId="41069F9A">
      <w:pPr>
        <w:jc w:val="left"/>
        <w:rPr>
          <w:rFonts w:hint="eastAsia" w:ascii="宋体" w:hAnsi="宋体" w:cs="宋体"/>
          <w:color w:val="FF0000"/>
        </w:rPr>
      </w:pPr>
      <w:r>
        <w:rPr>
          <w:rFonts w:hint="eastAsia" w:ascii="宋体" w:hAnsi="宋体" w:cs="宋体"/>
          <w:color w:val="FF0000"/>
        </w:rPr>
        <w:t>（7）现金折扣成本增加</w:t>
      </w:r>
    </w:p>
    <w:p w14:paraId="69B3AC3F">
      <w:pPr>
        <w:jc w:val="left"/>
        <w:rPr>
          <w:rFonts w:hint="eastAsia" w:ascii="宋体" w:hAnsi="宋体" w:cs="宋体"/>
        </w:rPr>
      </w:pPr>
      <w:r>
        <w:rPr>
          <w:rFonts w:hint="eastAsia" w:ascii="宋体" w:hAnsi="宋体" w:cs="宋体"/>
        </w:rPr>
        <w:t>＝新的销售水平×享受现金折扣的顾客比例×新的现金折扣率－旧的销售水平×享受现金折扣的顾客比例×旧的现金折扣率</w:t>
      </w:r>
    </w:p>
    <w:p w14:paraId="64DF9DA7">
      <w:pPr>
        <w:jc w:val="left"/>
        <w:rPr>
          <w:rFonts w:hint="eastAsia" w:ascii="宋体" w:hAnsi="宋体" w:cs="宋体"/>
          <w:color w:val="FF0000"/>
        </w:rPr>
      </w:pPr>
      <w:r>
        <w:rPr>
          <w:rFonts w:hint="eastAsia" w:ascii="宋体" w:hAnsi="宋体" w:cs="宋体"/>
          <w:color w:val="FF0000"/>
        </w:rPr>
        <w:t>3.收账政策</w:t>
      </w:r>
    </w:p>
    <w:p w14:paraId="5CCEC79D">
      <w:pPr>
        <w:jc w:val="left"/>
        <w:rPr>
          <w:rFonts w:hint="eastAsia" w:ascii="宋体" w:hAnsi="宋体" w:cs="宋体"/>
        </w:rPr>
      </w:pPr>
      <w:r>
        <w:rPr>
          <w:rFonts w:hint="eastAsia" w:ascii="宋体" w:hAnsi="宋体" w:cs="宋体"/>
        </w:rPr>
        <w:t>企业如果采取较积极的收账政策，可能会减少应收账款投资，减少坏账损失，但要增加收账成本；反之亦然。</w:t>
      </w:r>
    </w:p>
    <w:p w14:paraId="7DE7C13A">
      <w:pPr>
        <w:jc w:val="left"/>
        <w:rPr>
          <w:rFonts w:hint="eastAsia" w:ascii="宋体" w:hAnsi="宋体" w:cs="宋体"/>
          <w:color w:val="FF0000"/>
        </w:rPr>
      </w:pPr>
      <w:r>
        <w:rPr>
          <w:rFonts w:hint="eastAsia" w:ascii="宋体" w:hAnsi="宋体" w:cs="宋体"/>
          <w:color w:val="FF0000"/>
        </w:rPr>
        <w:t>【知识点4】应收账款日常管理</w:t>
      </w:r>
    </w:p>
    <w:p w14:paraId="349EB15A">
      <w:pPr>
        <w:jc w:val="left"/>
        <w:rPr>
          <w:rFonts w:hint="eastAsia" w:ascii="宋体" w:hAnsi="宋体" w:cs="宋体"/>
        </w:rPr>
      </w:pPr>
      <w:r>
        <w:rPr>
          <w:rFonts w:hint="eastAsia" w:ascii="宋体" w:hAnsi="宋体" w:cs="宋体"/>
        </w:rPr>
        <w:t>1.评估客户信用（三类九等分为AAA（最优）、AA、A、BBB、BB、B、CCC、CC、C九等；三级制分为AAA、AA、A三个信用等级）</w:t>
      </w:r>
    </w:p>
    <w:p w14:paraId="2766E05E">
      <w:pPr>
        <w:jc w:val="left"/>
        <w:rPr>
          <w:rFonts w:hint="eastAsia" w:ascii="宋体" w:hAnsi="宋体" w:cs="宋体"/>
        </w:rPr>
      </w:pPr>
      <w:r>
        <w:rPr>
          <w:rFonts w:hint="eastAsia" w:ascii="宋体" w:hAnsi="宋体" w:cs="宋体"/>
        </w:rPr>
        <w:t>2.应收账款保理</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8338"/>
      </w:tblGrid>
      <w:tr w14:paraId="379F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7" w:type="pct"/>
            <w:shd w:val="clear" w:color="auto" w:fill="auto"/>
            <w:noWrap w:val="0"/>
            <w:vAlign w:val="top"/>
          </w:tcPr>
          <w:p w14:paraId="7EC7C91B">
            <w:pPr>
              <w:rPr>
                <w:rFonts w:hint="eastAsia" w:ascii="宋体" w:hAnsi="宋体" w:cs="宋体"/>
              </w:rPr>
            </w:pPr>
            <w:r>
              <w:rPr>
                <w:rFonts w:hint="eastAsia" w:ascii="宋体" w:hAnsi="宋体" w:cs="宋体"/>
              </w:rPr>
              <w:t>分类</w:t>
            </w:r>
          </w:p>
        </w:tc>
        <w:tc>
          <w:tcPr>
            <w:tcW w:w="4112" w:type="pct"/>
            <w:shd w:val="clear" w:color="auto" w:fill="auto"/>
            <w:noWrap w:val="0"/>
            <w:vAlign w:val="top"/>
          </w:tcPr>
          <w:p w14:paraId="026881D9">
            <w:pPr>
              <w:rPr>
                <w:rFonts w:hint="eastAsia" w:ascii="宋体" w:hAnsi="宋体" w:cs="宋体"/>
              </w:rPr>
            </w:pPr>
            <w:r>
              <w:rPr>
                <w:rFonts w:hint="eastAsia" w:ascii="宋体" w:hAnsi="宋体" w:cs="宋体"/>
              </w:rPr>
              <w:t>含义</w:t>
            </w:r>
          </w:p>
        </w:tc>
      </w:tr>
      <w:tr w14:paraId="305E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pct"/>
            <w:shd w:val="clear" w:color="auto" w:fill="auto"/>
            <w:noWrap w:val="0"/>
            <w:vAlign w:val="top"/>
          </w:tcPr>
          <w:p w14:paraId="5FF16A0E">
            <w:pPr>
              <w:rPr>
                <w:rFonts w:hint="eastAsia" w:ascii="宋体" w:hAnsi="宋体" w:cs="宋体"/>
              </w:rPr>
            </w:pPr>
            <w:r>
              <w:rPr>
                <w:rFonts w:hint="eastAsia" w:ascii="宋体" w:hAnsi="宋体" w:cs="宋体"/>
              </w:rPr>
              <w:t>有追索权保理</w:t>
            </w:r>
          </w:p>
          <w:p w14:paraId="1EE739E9">
            <w:pPr>
              <w:rPr>
                <w:rFonts w:hint="eastAsia" w:ascii="宋体" w:hAnsi="宋体" w:cs="宋体"/>
              </w:rPr>
            </w:pPr>
            <w:r>
              <w:rPr>
                <w:rFonts w:hint="eastAsia" w:ascii="宋体" w:hAnsi="宋体" w:cs="宋体"/>
              </w:rPr>
              <w:t>（非买断型）</w:t>
            </w:r>
          </w:p>
        </w:tc>
        <w:tc>
          <w:tcPr>
            <w:tcW w:w="4112" w:type="pct"/>
            <w:shd w:val="clear" w:color="auto" w:fill="auto"/>
            <w:noWrap w:val="0"/>
            <w:vAlign w:val="top"/>
          </w:tcPr>
          <w:p w14:paraId="2D35F981">
            <w:pPr>
              <w:rPr>
                <w:rFonts w:hint="eastAsia" w:ascii="宋体" w:hAnsi="宋体" w:cs="宋体"/>
              </w:rPr>
            </w:pPr>
            <w:r>
              <w:rPr>
                <w:rFonts w:hint="eastAsia" w:ascii="宋体" w:hAnsi="宋体" w:cs="宋体"/>
              </w:rPr>
              <w:t>如购货商拒绝付款或无力支付，只要有关款项到期未能收回，保理商都有权向供应商进行追索，因而保理商具有全部“追索权”</w:t>
            </w:r>
          </w:p>
        </w:tc>
      </w:tr>
      <w:tr w14:paraId="592B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pct"/>
            <w:shd w:val="clear" w:color="auto" w:fill="auto"/>
            <w:noWrap w:val="0"/>
            <w:vAlign w:val="top"/>
          </w:tcPr>
          <w:p w14:paraId="157BA321">
            <w:pPr>
              <w:rPr>
                <w:rFonts w:hint="eastAsia" w:ascii="宋体" w:hAnsi="宋体" w:cs="宋体"/>
              </w:rPr>
            </w:pPr>
            <w:r>
              <w:rPr>
                <w:rFonts w:hint="eastAsia" w:ascii="宋体" w:hAnsi="宋体" w:cs="宋体"/>
              </w:rPr>
              <w:t>无追索权保理</w:t>
            </w:r>
          </w:p>
          <w:p w14:paraId="703A395B">
            <w:pPr>
              <w:rPr>
                <w:rFonts w:hint="eastAsia" w:ascii="宋体" w:hAnsi="宋体" w:cs="宋体"/>
              </w:rPr>
            </w:pPr>
            <w:r>
              <w:rPr>
                <w:rFonts w:hint="eastAsia" w:ascii="宋体" w:hAnsi="宋体" w:cs="宋体"/>
              </w:rPr>
              <w:t>（买断型）</w:t>
            </w:r>
          </w:p>
        </w:tc>
        <w:tc>
          <w:tcPr>
            <w:tcW w:w="4112" w:type="pct"/>
            <w:shd w:val="clear" w:color="auto" w:fill="auto"/>
            <w:noWrap w:val="0"/>
            <w:vAlign w:val="top"/>
          </w:tcPr>
          <w:p w14:paraId="349B49E6">
            <w:pPr>
              <w:rPr>
                <w:rFonts w:hint="eastAsia" w:ascii="宋体" w:hAnsi="宋体" w:cs="宋体"/>
              </w:rPr>
            </w:pPr>
            <w:r>
              <w:rPr>
                <w:rFonts w:hint="eastAsia" w:ascii="宋体" w:hAnsi="宋体" w:cs="宋体"/>
              </w:rPr>
              <w:t>保理商将销售合同完全买断，并承担全部的收款风险</w:t>
            </w:r>
          </w:p>
        </w:tc>
      </w:tr>
      <w:tr w14:paraId="3B5A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pct"/>
            <w:shd w:val="clear" w:color="auto" w:fill="auto"/>
            <w:noWrap w:val="0"/>
            <w:vAlign w:val="top"/>
          </w:tcPr>
          <w:p w14:paraId="72768558">
            <w:pPr>
              <w:rPr>
                <w:rFonts w:hint="eastAsia" w:ascii="宋体" w:hAnsi="宋体" w:cs="宋体"/>
              </w:rPr>
            </w:pPr>
            <w:r>
              <w:rPr>
                <w:rFonts w:hint="eastAsia" w:ascii="宋体" w:hAnsi="宋体" w:cs="宋体"/>
              </w:rPr>
              <w:t>明保理</w:t>
            </w:r>
          </w:p>
        </w:tc>
        <w:tc>
          <w:tcPr>
            <w:tcW w:w="4112" w:type="pct"/>
            <w:shd w:val="clear" w:color="auto" w:fill="auto"/>
            <w:noWrap w:val="0"/>
            <w:vAlign w:val="top"/>
          </w:tcPr>
          <w:p w14:paraId="5351562B">
            <w:pPr>
              <w:rPr>
                <w:rFonts w:hint="eastAsia" w:ascii="宋体" w:hAnsi="宋体" w:cs="宋体"/>
              </w:rPr>
            </w:pPr>
            <w:r>
              <w:rPr>
                <w:rFonts w:hint="eastAsia" w:ascii="宋体" w:hAnsi="宋体" w:cs="宋体"/>
              </w:rPr>
              <w:t>保理商和供应商需要将销售合同被转让的情况通知购货商，并签订保理商、供应商、购货商之间的三方合同</w:t>
            </w:r>
          </w:p>
        </w:tc>
      </w:tr>
      <w:tr w14:paraId="5165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pct"/>
            <w:shd w:val="clear" w:color="auto" w:fill="auto"/>
            <w:noWrap w:val="0"/>
            <w:vAlign w:val="top"/>
          </w:tcPr>
          <w:p w14:paraId="49B2B6C6">
            <w:pPr>
              <w:rPr>
                <w:rFonts w:hint="eastAsia" w:ascii="宋体" w:hAnsi="宋体" w:cs="宋体"/>
              </w:rPr>
            </w:pPr>
            <w:r>
              <w:rPr>
                <w:rFonts w:hint="eastAsia" w:ascii="宋体" w:hAnsi="宋体" w:cs="宋体"/>
              </w:rPr>
              <w:t>暗保理</w:t>
            </w:r>
          </w:p>
        </w:tc>
        <w:tc>
          <w:tcPr>
            <w:tcW w:w="4112" w:type="pct"/>
            <w:shd w:val="clear" w:color="auto" w:fill="auto"/>
            <w:noWrap w:val="0"/>
            <w:vAlign w:val="top"/>
          </w:tcPr>
          <w:p w14:paraId="7438EBB3">
            <w:pPr>
              <w:rPr>
                <w:rFonts w:hint="eastAsia" w:ascii="宋体" w:hAnsi="宋体" w:cs="宋体"/>
              </w:rPr>
            </w:pPr>
            <w:r>
              <w:rPr>
                <w:rFonts w:hint="eastAsia" w:ascii="宋体" w:hAnsi="宋体" w:cs="宋体"/>
              </w:rPr>
              <w:t>供应商不将债权转让情况通知客户，货款到期时仍由销售商（供应商）出面催款，再向银行偿还借款</w:t>
            </w:r>
          </w:p>
        </w:tc>
      </w:tr>
      <w:tr w14:paraId="54D0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pct"/>
            <w:shd w:val="clear" w:color="auto" w:fill="auto"/>
            <w:noWrap w:val="0"/>
            <w:vAlign w:val="top"/>
          </w:tcPr>
          <w:p w14:paraId="5E250533">
            <w:pPr>
              <w:rPr>
                <w:rFonts w:hint="eastAsia" w:ascii="宋体" w:hAnsi="宋体" w:cs="宋体"/>
              </w:rPr>
            </w:pPr>
            <w:r>
              <w:rPr>
                <w:rFonts w:hint="eastAsia" w:ascii="宋体" w:hAnsi="宋体" w:cs="宋体"/>
              </w:rPr>
              <w:t>折扣保理</w:t>
            </w:r>
          </w:p>
          <w:p w14:paraId="16C10F11">
            <w:pPr>
              <w:rPr>
                <w:rFonts w:hint="eastAsia" w:ascii="宋体" w:hAnsi="宋体" w:cs="宋体"/>
              </w:rPr>
            </w:pPr>
            <w:r>
              <w:rPr>
                <w:rFonts w:hint="eastAsia" w:ascii="宋体" w:hAnsi="宋体" w:cs="宋体"/>
              </w:rPr>
              <w:t>（融资保理）</w:t>
            </w:r>
          </w:p>
        </w:tc>
        <w:tc>
          <w:tcPr>
            <w:tcW w:w="4112" w:type="pct"/>
            <w:shd w:val="clear" w:color="auto" w:fill="auto"/>
            <w:noWrap w:val="0"/>
            <w:vAlign w:val="top"/>
          </w:tcPr>
          <w:p w14:paraId="1A49E216">
            <w:pPr>
              <w:rPr>
                <w:rFonts w:hint="eastAsia" w:ascii="宋体" w:hAnsi="宋体" w:cs="宋体"/>
              </w:rPr>
            </w:pPr>
            <w:r>
              <w:rPr>
                <w:rFonts w:hint="eastAsia" w:ascii="宋体" w:hAnsi="宋体" w:cs="宋体"/>
              </w:rPr>
              <w:t>在销售合同到期前，保理商将剩余未收款部分先预付给销售商，一般不超过全部合同的70%～90%</w:t>
            </w:r>
          </w:p>
        </w:tc>
      </w:tr>
      <w:tr w14:paraId="360D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pct"/>
            <w:shd w:val="clear" w:color="auto" w:fill="auto"/>
            <w:noWrap w:val="0"/>
            <w:vAlign w:val="top"/>
          </w:tcPr>
          <w:p w14:paraId="21973042">
            <w:pPr>
              <w:rPr>
                <w:rFonts w:hint="eastAsia" w:ascii="宋体" w:hAnsi="宋体" w:cs="宋体"/>
              </w:rPr>
            </w:pPr>
            <w:r>
              <w:rPr>
                <w:rFonts w:hint="eastAsia" w:ascii="宋体" w:hAnsi="宋体" w:cs="宋体"/>
              </w:rPr>
              <w:t>到期保理</w:t>
            </w:r>
          </w:p>
        </w:tc>
        <w:tc>
          <w:tcPr>
            <w:tcW w:w="4112" w:type="pct"/>
            <w:shd w:val="clear" w:color="auto" w:fill="auto"/>
            <w:noWrap w:val="0"/>
            <w:vAlign w:val="top"/>
          </w:tcPr>
          <w:p w14:paraId="6BBA889E">
            <w:pPr>
              <w:rPr>
                <w:rFonts w:hint="eastAsia" w:ascii="宋体" w:hAnsi="宋体" w:cs="宋体"/>
              </w:rPr>
            </w:pPr>
            <w:r>
              <w:rPr>
                <w:rFonts w:hint="eastAsia" w:ascii="宋体" w:hAnsi="宋体" w:cs="宋体"/>
              </w:rPr>
              <w:t>保理商并不提供预付账款融资，而是在赊销到期时才支付，届时不管货款是否收到，保理商都必须向销售商支付货款</w:t>
            </w:r>
          </w:p>
        </w:tc>
      </w:tr>
    </w:tbl>
    <w:p w14:paraId="6CF914C6">
      <w:pPr>
        <w:jc w:val="left"/>
        <w:rPr>
          <w:rFonts w:hint="eastAsia" w:ascii="宋体" w:hAnsi="宋体" w:cs="宋体"/>
        </w:rPr>
      </w:pPr>
    </w:p>
    <w:p w14:paraId="2B2B8270">
      <w:pPr>
        <w:overflowPunct w:val="0"/>
        <w:jc w:val="center"/>
        <w:rPr>
          <w:rFonts w:hint="eastAsia" w:ascii="宋体" w:hAnsi="宋体" w:cs="宋体"/>
          <w:b/>
        </w:rPr>
      </w:pPr>
      <w:r>
        <w:rPr>
          <w:rFonts w:hint="eastAsia" w:ascii="宋体" w:hAnsi="宋体" w:cs="宋体"/>
          <w:b/>
        </w:rPr>
        <w:t>第七章  营运资金管理</w:t>
      </w:r>
    </w:p>
    <w:p w14:paraId="28559A69">
      <w:pPr>
        <w:jc w:val="center"/>
        <w:rPr>
          <w:rFonts w:hint="eastAsia" w:ascii="宋体" w:hAnsi="宋体" w:cs="宋体"/>
          <w:b/>
        </w:rPr>
      </w:pPr>
      <w:r>
        <w:rPr>
          <w:rFonts w:hint="eastAsia" w:ascii="宋体" w:hAnsi="宋体" w:cs="宋体"/>
          <w:b/>
        </w:rPr>
        <w:t>第四节 存货管理</w:t>
      </w:r>
    </w:p>
    <w:p w14:paraId="243DD5E0">
      <w:pPr>
        <w:jc w:val="left"/>
        <w:rPr>
          <w:rFonts w:hint="eastAsia" w:ascii="宋体" w:hAnsi="宋体" w:cs="宋体"/>
          <w:color w:val="FF0000"/>
        </w:rPr>
      </w:pPr>
      <w:r>
        <w:rPr>
          <w:rFonts w:hint="eastAsia" w:ascii="宋体" w:hAnsi="宋体" w:cs="宋体"/>
          <w:color w:val="FF0000"/>
        </w:rPr>
        <w:t>【知识点1】存货的成本</w:t>
      </w:r>
    </w:p>
    <w:p w14:paraId="59DBE082">
      <w:pPr>
        <w:jc w:val="left"/>
        <w:rPr>
          <w:rFonts w:hint="eastAsia" w:ascii="宋体" w:hAnsi="宋体" w:cs="宋体"/>
        </w:rPr>
      </w:pPr>
      <w:r>
        <w:drawing>
          <wp:inline distT="0" distB="0" distL="114300" distR="114300">
            <wp:extent cx="3463290" cy="1875790"/>
            <wp:effectExtent l="0" t="0" r="0" b="1016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53">
                      <a:clrChange>
                        <a:clrFrom>
                          <a:srgbClr val="0C5348"/>
                        </a:clrFrom>
                        <a:clrTo>
                          <a:srgbClr val="0C5348">
                            <a:alpha val="0"/>
                          </a:srgbClr>
                        </a:clrTo>
                      </a:clrChange>
                    </a:blip>
                    <a:stretch>
                      <a:fillRect/>
                    </a:stretch>
                  </pic:blipFill>
                  <pic:spPr>
                    <a:xfrm>
                      <a:off x="0" y="0"/>
                      <a:ext cx="3463290" cy="1875790"/>
                    </a:xfrm>
                    <a:prstGeom prst="rect">
                      <a:avLst/>
                    </a:prstGeom>
                    <a:noFill/>
                    <a:ln>
                      <a:noFill/>
                    </a:ln>
                  </pic:spPr>
                </pic:pic>
              </a:graphicData>
            </a:graphic>
          </wp:inline>
        </w:drawing>
      </w:r>
    </w:p>
    <w:p w14:paraId="35D590BE">
      <w:pPr>
        <w:jc w:val="left"/>
        <w:rPr>
          <w:rFonts w:hint="eastAsia" w:ascii="宋体" w:hAnsi="宋体" w:cs="宋体"/>
          <w:color w:val="FF0000"/>
        </w:rPr>
      </w:pPr>
      <w:r>
        <w:rPr>
          <w:rFonts w:hint="eastAsia" w:ascii="宋体" w:hAnsi="宋体" w:cs="宋体"/>
          <w:color w:val="FF0000"/>
        </w:rPr>
        <w:t>（一）取得成本</w:t>
      </w:r>
    </w:p>
    <w:p w14:paraId="44A3594D">
      <w:pPr>
        <w:jc w:val="left"/>
        <w:rPr>
          <w:rFonts w:hint="eastAsia" w:ascii="宋体" w:hAnsi="宋体" w:cs="宋体"/>
        </w:rPr>
      </w:pPr>
      <w:r>
        <w:rPr>
          <w:rFonts w:hint="eastAsia" w:ascii="宋体" w:hAnsi="宋体" w:cs="宋体"/>
        </w:rPr>
        <w:t>取得成本是取得某种存货而支出的成本，又分为购置成本和订货成本。</w:t>
      </w:r>
    </w:p>
    <w:p w14:paraId="146BEDC4">
      <w:pPr>
        <w:jc w:val="left"/>
        <w:rPr>
          <w:rFonts w:hint="eastAsia" w:ascii="宋体" w:hAnsi="宋体" w:cs="宋体"/>
        </w:rPr>
      </w:pPr>
      <w:r>
        <w:rPr>
          <w:rFonts w:hint="eastAsia" w:ascii="宋体" w:hAnsi="宋体" w:cs="宋体"/>
        </w:rPr>
        <w:t>购置成本=年需要量*采购单价（若无折扣，与订货批量无关）</w:t>
      </w:r>
    </w:p>
    <w:p w14:paraId="78091CCD">
      <w:pPr>
        <w:jc w:val="left"/>
        <w:rPr>
          <w:rFonts w:hint="eastAsia" w:ascii="宋体" w:hAnsi="宋体" w:cs="宋体"/>
        </w:rPr>
      </w:pPr>
      <w:r>
        <w:rPr>
          <w:rFonts w:hint="eastAsia" w:ascii="宋体" w:hAnsi="宋体" w:cs="宋体"/>
        </w:rPr>
        <w:t>订货成本=固定订货成本+变动订货成本</w:t>
      </w:r>
    </w:p>
    <w:p w14:paraId="258AF0C3">
      <w:pPr>
        <w:jc w:val="left"/>
        <w:rPr>
          <w:rFonts w:hint="eastAsia" w:ascii="宋体" w:hAnsi="宋体" w:cs="宋体"/>
        </w:rPr>
      </w:pPr>
      <w:r>
        <w:rPr>
          <w:rFonts w:hint="eastAsia" w:ascii="宋体" w:hAnsi="宋体" w:cs="宋体"/>
        </w:rPr>
        <w:t xml:space="preserve">变动订货成本=年订货次数*每次订货成本  </w:t>
      </w:r>
    </w:p>
    <w:p w14:paraId="6CAFFA4D">
      <w:pPr>
        <w:jc w:val="left"/>
        <w:rPr>
          <w:rFonts w:hint="eastAsia" w:ascii="宋体" w:hAnsi="宋体" w:cs="宋体"/>
        </w:rPr>
      </w:pPr>
      <w:r>
        <w:rPr>
          <w:rFonts w:hint="eastAsia" w:ascii="宋体" w:hAnsi="宋体" w:cs="宋体"/>
        </w:rPr>
        <w:t>年订货次数=存货年需要量/批量</w:t>
      </w:r>
    </w:p>
    <w:p w14:paraId="1D479EC3">
      <w:pPr>
        <w:jc w:val="left"/>
        <w:rPr>
          <w:rFonts w:hint="eastAsia" w:ascii="宋体" w:hAnsi="宋体" w:cs="宋体"/>
        </w:rPr>
      </w:pPr>
      <w:r>
        <w:rPr>
          <w:rFonts w:hint="eastAsia" w:ascii="宋体" w:hAnsi="宋体" w:cs="宋体"/>
          <w:color w:val="FF0000"/>
        </w:rPr>
        <w:t>【提示】</w:t>
      </w:r>
      <w:r>
        <w:rPr>
          <w:rFonts w:hint="eastAsia" w:ascii="宋体" w:hAnsi="宋体" w:cs="宋体"/>
        </w:rPr>
        <w:t>固定订货成本与购置成本与订货批量无关；但与变动订货成本成反比例变动。</w:t>
      </w:r>
    </w:p>
    <w:p w14:paraId="30EC62D4">
      <w:pPr>
        <w:jc w:val="left"/>
        <w:rPr>
          <w:rFonts w:hint="eastAsia" w:ascii="宋体" w:hAnsi="宋体" w:cs="宋体"/>
          <w:color w:val="FF0000"/>
        </w:rPr>
      </w:pPr>
      <w:r>
        <w:rPr>
          <w:rFonts w:hint="eastAsia" w:ascii="宋体" w:hAnsi="宋体" w:cs="宋体"/>
          <w:color w:val="FF0000"/>
        </w:rPr>
        <w:t>（二）储存成本</w:t>
      </w:r>
    </w:p>
    <w:p w14:paraId="0145769C">
      <w:pPr>
        <w:jc w:val="left"/>
        <w:rPr>
          <w:rFonts w:hint="eastAsia" w:ascii="宋体" w:hAnsi="宋体" w:cs="宋体"/>
        </w:rPr>
      </w:pPr>
      <w:r>
        <w:rPr>
          <w:rFonts w:hint="eastAsia" w:ascii="宋体" w:hAnsi="宋体" w:cs="宋体"/>
        </w:rPr>
        <w:t xml:space="preserve">固定储存成本，如仓库折旧、仓库职工的固定工资等。 </w:t>
      </w:r>
    </w:p>
    <w:p w14:paraId="247CC01D">
      <w:pPr>
        <w:jc w:val="left"/>
        <w:rPr>
          <w:rFonts w:hint="eastAsia" w:ascii="宋体" w:hAnsi="宋体" w:cs="宋体"/>
        </w:rPr>
      </w:pPr>
      <w:r>
        <w:rPr>
          <w:rFonts w:hint="eastAsia" w:ascii="宋体" w:hAnsi="宋体" w:cs="宋体"/>
        </w:rPr>
        <w:t xml:space="preserve">变动储存成本=平均储存量*单位变动储存成本 </w:t>
      </w:r>
    </w:p>
    <w:p w14:paraId="4543DCBD">
      <w:pPr>
        <w:jc w:val="left"/>
        <w:rPr>
          <w:rFonts w:hint="eastAsia" w:ascii="宋体" w:hAnsi="宋体" w:cs="宋体"/>
        </w:rPr>
      </w:pPr>
      <w:r>
        <w:rPr>
          <w:rFonts w:hint="eastAsia" w:ascii="宋体" w:hAnsi="宋体" w:cs="宋体"/>
        </w:rPr>
        <w:t>平均储存量=批量/2</w:t>
      </w:r>
    </w:p>
    <w:p w14:paraId="0042B98B">
      <w:pPr>
        <w:jc w:val="left"/>
        <w:rPr>
          <w:rFonts w:hint="eastAsia" w:ascii="宋体" w:hAnsi="宋体" w:cs="宋体"/>
        </w:rPr>
      </w:pPr>
      <w:r>
        <w:rPr>
          <w:rFonts w:hint="eastAsia" w:ascii="宋体" w:hAnsi="宋体" w:cs="宋体"/>
        </w:rPr>
        <w:t>那么，储存成本=固定储存成本+变动储存成本</w:t>
      </w:r>
    </w:p>
    <w:p w14:paraId="4178364D">
      <w:pPr>
        <w:jc w:val="left"/>
        <w:rPr>
          <w:rFonts w:hint="eastAsia" w:ascii="宋体" w:hAnsi="宋体" w:cs="宋体"/>
        </w:rPr>
      </w:pPr>
      <w:r>
        <w:rPr>
          <w:rFonts w:hint="eastAsia" w:ascii="宋体" w:hAnsi="宋体" w:cs="宋体"/>
          <w:color w:val="FF0000"/>
        </w:rPr>
        <w:t>【提示】</w:t>
      </w:r>
      <w:r>
        <w:rPr>
          <w:rFonts w:hint="eastAsia" w:ascii="宋体" w:hAnsi="宋体" w:cs="宋体"/>
        </w:rPr>
        <w:t>固定储存成本与订货批量无关；变动储存成本与订货批量成正比例变动。</w:t>
      </w:r>
    </w:p>
    <w:p w14:paraId="7CB62386">
      <w:pPr>
        <w:jc w:val="left"/>
        <w:rPr>
          <w:rFonts w:hint="eastAsia" w:ascii="宋体" w:hAnsi="宋体" w:cs="宋体"/>
          <w:color w:val="FF0000"/>
        </w:rPr>
      </w:pPr>
      <w:r>
        <w:rPr>
          <w:rFonts w:hint="eastAsia" w:ascii="宋体" w:hAnsi="宋体" w:cs="宋体"/>
          <w:color w:val="FF0000"/>
        </w:rPr>
        <w:t>（三）缺货成本</w:t>
      </w:r>
    </w:p>
    <w:p w14:paraId="019D6247">
      <w:pPr>
        <w:jc w:val="left"/>
        <w:rPr>
          <w:rFonts w:hint="eastAsia" w:ascii="宋体" w:hAnsi="宋体" w:cs="宋体"/>
        </w:rPr>
      </w:pPr>
      <w:r>
        <w:rPr>
          <w:rFonts w:hint="eastAsia" w:ascii="宋体" w:hAnsi="宋体" w:cs="宋体"/>
        </w:rPr>
        <w:t>缺货成本，如停工损失、拖欠发货损失、丧失销售机会的损失、商誉损失。</w:t>
      </w:r>
    </w:p>
    <w:p w14:paraId="1BC1F9B4">
      <w:pPr>
        <w:jc w:val="left"/>
        <w:rPr>
          <w:rFonts w:hint="eastAsia" w:ascii="宋体" w:hAnsi="宋体" w:cs="宋体"/>
          <w:color w:val="FF0000"/>
        </w:rPr>
      </w:pPr>
      <w:r>
        <w:rPr>
          <w:rFonts w:hint="eastAsia" w:ascii="宋体" w:hAnsi="宋体" w:cs="宋体"/>
          <w:color w:val="FF0000"/>
        </w:rPr>
        <w:t>企业存货总成本</w:t>
      </w:r>
    </w:p>
    <w:p w14:paraId="1316DC1C">
      <w:pPr>
        <w:jc w:val="left"/>
        <w:rPr>
          <w:rFonts w:hint="eastAsia" w:ascii="宋体" w:hAnsi="宋体" w:cs="宋体"/>
          <w:color w:val="FF0000"/>
        </w:rPr>
      </w:pPr>
      <w:r>
        <w:rPr>
          <w:rFonts w:hint="eastAsia" w:ascii="宋体" w:hAnsi="宋体" w:cs="宋体"/>
          <w:color w:val="FF0000"/>
        </w:rPr>
        <w:t>=购置成本+固定订货成本+变动订货成本+固定储存成本+变动储存成本+缺货成本</w:t>
      </w:r>
    </w:p>
    <w:p w14:paraId="07743095">
      <w:pPr>
        <w:jc w:val="left"/>
        <w:rPr>
          <w:rFonts w:hint="eastAsia" w:ascii="宋体" w:hAnsi="宋体" w:cs="宋体"/>
        </w:rPr>
      </w:pPr>
      <w:r>
        <w:rPr>
          <w:rFonts w:hint="eastAsia" w:ascii="宋体" w:hAnsi="宋体" w:cs="宋体"/>
        </w:rPr>
        <w:t>企业存货的最优化，就是使企业存货总成本值最小。</w:t>
      </w:r>
    </w:p>
    <w:p w14:paraId="08184D13">
      <w:pPr>
        <w:jc w:val="left"/>
        <w:rPr>
          <w:rFonts w:hint="eastAsia" w:ascii="宋体" w:hAnsi="宋体" w:cs="宋体"/>
          <w:color w:val="FF0000"/>
        </w:rPr>
      </w:pPr>
      <w:r>
        <w:rPr>
          <w:rFonts w:hint="eastAsia" w:ascii="宋体" w:hAnsi="宋体" w:cs="宋体"/>
          <w:color w:val="FF0000"/>
        </w:rPr>
        <w:t>【知识点2】最优存货量确定——经济订货批量（基础模型）</w:t>
      </w:r>
    </w:p>
    <w:p w14:paraId="5FCEBF95">
      <w:pPr>
        <w:jc w:val="left"/>
        <w:rPr>
          <w:rFonts w:hint="eastAsia" w:ascii="宋体" w:hAnsi="宋体" w:cs="宋体"/>
        </w:rPr>
      </w:pPr>
      <w:r>
        <w:rPr>
          <w:rFonts w:hint="eastAsia" w:ascii="宋体" w:hAnsi="宋体" w:cs="宋体"/>
        </w:rPr>
        <w:t>经济订货基础模型是建立一系列假设基础上，包括</w:t>
      </w:r>
    </w:p>
    <w:p w14:paraId="49457761">
      <w:pPr>
        <w:jc w:val="left"/>
        <w:rPr>
          <w:rFonts w:hint="eastAsia" w:ascii="宋体" w:hAnsi="宋体" w:cs="宋体"/>
        </w:rPr>
      </w:pPr>
      <w:r>
        <w:rPr>
          <w:rFonts w:hint="eastAsia" w:ascii="宋体" w:hAnsi="宋体" w:cs="宋体"/>
        </w:rPr>
        <w:t>（1）存货总需求量是已知常数；</w:t>
      </w:r>
    </w:p>
    <w:p w14:paraId="50E8AC46">
      <w:pPr>
        <w:jc w:val="left"/>
        <w:rPr>
          <w:rFonts w:hint="eastAsia" w:ascii="宋体" w:hAnsi="宋体" w:cs="宋体"/>
        </w:rPr>
      </w:pPr>
      <w:r>
        <w:rPr>
          <w:rFonts w:hint="eastAsia" w:ascii="宋体" w:hAnsi="宋体" w:cs="宋体"/>
        </w:rPr>
        <w:t>（2）订货提前期是常数；</w:t>
      </w:r>
    </w:p>
    <w:p w14:paraId="544F6E73">
      <w:pPr>
        <w:jc w:val="left"/>
        <w:rPr>
          <w:rFonts w:hint="eastAsia" w:ascii="宋体" w:hAnsi="宋体" w:cs="宋体"/>
        </w:rPr>
      </w:pPr>
      <w:r>
        <w:rPr>
          <w:rFonts w:hint="eastAsia" w:ascii="宋体" w:hAnsi="宋体" w:cs="宋体"/>
        </w:rPr>
        <w:t>（3）货物是一次性入库（不存在陆续供应的情况）；</w:t>
      </w:r>
    </w:p>
    <w:p w14:paraId="140A5AEF">
      <w:pPr>
        <w:jc w:val="left"/>
        <w:rPr>
          <w:rFonts w:hint="eastAsia" w:ascii="宋体" w:hAnsi="宋体" w:cs="宋体"/>
        </w:rPr>
      </w:pPr>
      <w:r>
        <w:rPr>
          <w:rFonts w:hint="eastAsia" w:ascii="宋体" w:hAnsi="宋体" w:cs="宋体"/>
        </w:rPr>
        <w:t>（4）单位货物成本为常数，无批量折扣（单价一定）；</w:t>
      </w:r>
    </w:p>
    <w:p w14:paraId="6A6E0709">
      <w:pPr>
        <w:jc w:val="left"/>
        <w:rPr>
          <w:rFonts w:hint="eastAsia" w:ascii="宋体" w:hAnsi="宋体" w:cs="宋体"/>
        </w:rPr>
      </w:pPr>
      <w:r>
        <w:rPr>
          <w:rFonts w:hint="eastAsia" w:ascii="宋体" w:hAnsi="宋体" w:cs="宋体"/>
        </w:rPr>
        <w:t>（5）库存储存成本与库存水平呈线性关系（单位储存变动成本一定）；</w:t>
      </w:r>
    </w:p>
    <w:p w14:paraId="53E4299A">
      <w:pPr>
        <w:jc w:val="left"/>
        <w:rPr>
          <w:rFonts w:hint="eastAsia" w:ascii="宋体" w:hAnsi="宋体" w:cs="宋体"/>
        </w:rPr>
      </w:pPr>
      <w:r>
        <w:rPr>
          <w:rFonts w:hint="eastAsia" w:ascii="宋体" w:hAnsi="宋体" w:cs="宋体"/>
        </w:rPr>
        <w:t>（6）货物是一种独立需求的物品，不受其他货物影响；</w:t>
      </w:r>
    </w:p>
    <w:p w14:paraId="3C6D64EA">
      <w:pPr>
        <w:jc w:val="left"/>
        <w:rPr>
          <w:rFonts w:hint="eastAsia" w:ascii="宋体" w:hAnsi="宋体" w:cs="宋体"/>
        </w:rPr>
      </w:pPr>
      <w:r>
        <w:rPr>
          <w:rFonts w:hint="eastAsia" w:ascii="宋体" w:hAnsi="宋体" w:cs="宋体"/>
        </w:rPr>
        <w:t>（7）不允许缺货，即无缺货成本。</w:t>
      </w:r>
    </w:p>
    <w:p w14:paraId="746598C6">
      <w:pPr>
        <w:jc w:val="left"/>
        <w:rPr>
          <w:rFonts w:hint="eastAsia" w:ascii="宋体" w:hAnsi="宋体" w:cs="宋体"/>
        </w:rPr>
      </w:pPr>
      <w:r>
        <w:rPr>
          <w:rFonts w:hint="eastAsia" w:ascii="宋体" w:hAnsi="宋体" w:cs="宋体"/>
        </w:rPr>
        <w:t>存货总成本＝变动订货成本＋变动储存成本，</w:t>
      </w:r>
    </w:p>
    <w:p w14:paraId="1F564C4C">
      <w:pPr>
        <w:jc w:val="left"/>
        <w:rPr>
          <w:rFonts w:hint="eastAsia" w:ascii="宋体" w:hAnsi="宋体" w:cs="宋体"/>
        </w:rPr>
      </w:pPr>
      <w:r>
        <w:rPr>
          <w:rFonts w:hint="eastAsia" w:ascii="宋体" w:hAnsi="宋体" w:cs="宋体"/>
        </w:rPr>
        <w:t>经济订货批量是指能够使存货的相关总成本达到最低的进货数量。</w:t>
      </w:r>
    </w:p>
    <w:p w14:paraId="048CB78E">
      <w:pPr>
        <w:jc w:val="left"/>
        <w:rPr>
          <w:rFonts w:hint="eastAsia" w:ascii="宋体" w:hAnsi="宋体" w:cs="宋体"/>
        </w:rPr>
      </w:pPr>
      <w:r>
        <w:rPr>
          <w:rFonts w:hint="eastAsia" w:ascii="宋体" w:hAnsi="宋体" w:cs="宋体"/>
        </w:rPr>
        <w:t>变动订货成本</w:t>
      </w:r>
    </w:p>
    <w:p w14:paraId="30E06C3C">
      <w:pPr>
        <w:jc w:val="left"/>
        <w:rPr>
          <w:rFonts w:hint="eastAsia" w:ascii="宋体" w:hAnsi="宋体" w:cs="宋体"/>
        </w:rPr>
      </w:pPr>
      <w:r>
        <w:rPr>
          <w:rFonts w:hint="eastAsia" w:ascii="宋体" w:hAnsi="宋体" w:cs="宋体"/>
        </w:rPr>
        <w:t>＝年订货次数×每次订货成本=年需要量/批量×每次订货变动成本=（D/Q）×K</w:t>
      </w:r>
    </w:p>
    <w:p w14:paraId="136DED77">
      <w:pPr>
        <w:jc w:val="left"/>
        <w:rPr>
          <w:rFonts w:hint="eastAsia" w:ascii="宋体" w:hAnsi="宋体" w:cs="宋体"/>
        </w:rPr>
      </w:pPr>
      <w:r>
        <w:rPr>
          <w:rFonts w:hint="eastAsia" w:ascii="宋体" w:hAnsi="宋体" w:cs="宋体"/>
        </w:rPr>
        <w:t>变动储存成本</w:t>
      </w:r>
    </w:p>
    <w:p w14:paraId="122D522A">
      <w:pPr>
        <w:jc w:val="left"/>
        <w:rPr>
          <w:rFonts w:hint="eastAsia" w:ascii="宋体" w:hAnsi="宋体" w:cs="宋体"/>
        </w:rPr>
      </w:pPr>
      <w:r>
        <w:rPr>
          <w:rFonts w:hint="eastAsia" w:ascii="宋体" w:hAnsi="宋体" w:cs="宋体"/>
        </w:rPr>
        <w:t xml:space="preserve">＝年平均库存×单位变动储存成本=批量/2×单位变动储存成本＝（Q/2）×Kc </w:t>
      </w:r>
    </w:p>
    <w:p w14:paraId="49A43ACE">
      <w:pPr>
        <w:jc w:val="left"/>
        <w:rPr>
          <w:rFonts w:hint="eastAsia" w:ascii="宋体" w:hAnsi="宋体" w:cs="宋体"/>
        </w:rPr>
      </w:pPr>
      <w:r>
        <w:drawing>
          <wp:inline distT="0" distB="0" distL="114300" distR="114300">
            <wp:extent cx="3171825" cy="418465"/>
            <wp:effectExtent l="0" t="0" r="9525" b="63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54">
                      <a:lum bright="-84000"/>
                    </a:blip>
                    <a:stretch>
                      <a:fillRect/>
                    </a:stretch>
                  </pic:blipFill>
                  <pic:spPr>
                    <a:xfrm>
                      <a:off x="0" y="0"/>
                      <a:ext cx="3171825" cy="418465"/>
                    </a:xfrm>
                    <a:prstGeom prst="rect">
                      <a:avLst/>
                    </a:prstGeom>
                    <a:noFill/>
                    <a:ln>
                      <a:noFill/>
                    </a:ln>
                  </pic:spPr>
                </pic:pic>
              </a:graphicData>
            </a:graphic>
          </wp:inline>
        </w:drawing>
      </w:r>
    </w:p>
    <w:p w14:paraId="2DD4F041">
      <w:pPr>
        <w:jc w:val="left"/>
        <w:rPr>
          <w:rFonts w:hint="eastAsia" w:ascii="宋体" w:hAnsi="宋体" w:cs="宋体"/>
        </w:rPr>
      </w:pPr>
      <w:r>
        <w:rPr>
          <w:rFonts w:hint="eastAsia" w:ascii="宋体" w:hAnsi="宋体" w:cs="宋体"/>
        </w:rPr>
        <w:t>与经济订货批量相关的最小存货总成本</w:t>
      </w:r>
    </w:p>
    <w:p w14:paraId="5A2092F3">
      <w:pPr>
        <w:jc w:val="left"/>
        <w:rPr>
          <w:rFonts w:hint="eastAsia" w:ascii="宋体" w:hAnsi="宋体" w:cs="宋体"/>
        </w:rPr>
      </w:pPr>
      <w:r>
        <w:drawing>
          <wp:inline distT="0" distB="0" distL="114300" distR="114300">
            <wp:extent cx="5400040" cy="408305"/>
            <wp:effectExtent l="0" t="0" r="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55">
                      <a:lum bright="-84000"/>
                    </a:blip>
                    <a:stretch>
                      <a:fillRect/>
                    </a:stretch>
                  </pic:blipFill>
                  <pic:spPr>
                    <a:xfrm>
                      <a:off x="0" y="0"/>
                      <a:ext cx="5400040" cy="408305"/>
                    </a:xfrm>
                    <a:prstGeom prst="rect">
                      <a:avLst/>
                    </a:prstGeom>
                    <a:noFill/>
                    <a:ln>
                      <a:noFill/>
                    </a:ln>
                  </pic:spPr>
                </pic:pic>
              </a:graphicData>
            </a:graphic>
          </wp:inline>
        </w:drawing>
      </w:r>
    </w:p>
    <w:p w14:paraId="6F970B44">
      <w:pPr>
        <w:jc w:val="left"/>
        <w:rPr>
          <w:rFonts w:hint="eastAsia" w:ascii="宋体" w:hAnsi="宋体" w:cs="宋体"/>
          <w:color w:val="FF0000"/>
        </w:rPr>
      </w:pPr>
      <w:r>
        <w:rPr>
          <w:rFonts w:hint="eastAsia" w:ascii="宋体" w:hAnsi="宋体" w:cs="宋体"/>
          <w:color w:val="FF0000"/>
        </w:rPr>
        <w:t>【知识点3】经济订货基础模型的拓展</w:t>
      </w:r>
    </w:p>
    <w:p w14:paraId="5C079ECB">
      <w:pPr>
        <w:jc w:val="left"/>
        <w:rPr>
          <w:rFonts w:hint="eastAsia" w:ascii="宋体" w:hAnsi="宋体" w:cs="宋体"/>
          <w:color w:val="FF0000"/>
        </w:rPr>
      </w:pPr>
      <w:r>
        <w:rPr>
          <w:rFonts w:hint="eastAsia" w:ascii="宋体" w:hAnsi="宋体" w:cs="宋体"/>
          <w:color w:val="FF0000"/>
        </w:rPr>
        <w:t>1.再订货点</w:t>
      </w:r>
    </w:p>
    <w:p w14:paraId="609DCCCA">
      <w:pPr>
        <w:jc w:val="left"/>
        <w:rPr>
          <w:rFonts w:hint="eastAsia" w:ascii="宋体" w:hAnsi="宋体" w:cs="宋体"/>
        </w:rPr>
      </w:pPr>
      <w:r>
        <w:rPr>
          <w:rFonts w:hint="eastAsia" w:ascii="宋体" w:hAnsi="宋体" w:cs="宋体"/>
        </w:rPr>
        <w:t>原理：企业的存货不能做到随用随时补充，因此企业再次发出订货单时，应保持一定的存货库存量，使存货的库存量与订货至到货日之间的需用量相等。</w:t>
      </w:r>
    </w:p>
    <w:p w14:paraId="2F2D28C2">
      <w:pPr>
        <w:jc w:val="left"/>
        <w:rPr>
          <w:rFonts w:hint="eastAsia" w:ascii="宋体" w:hAnsi="宋体" w:cs="宋体"/>
        </w:rPr>
      </w:pPr>
      <w:r>
        <w:rPr>
          <w:rFonts w:hint="eastAsia" w:ascii="宋体" w:hAnsi="宋体" w:cs="宋体"/>
        </w:rPr>
        <w:t>再订货点=平均交货时间*每日平均需用量</w:t>
      </w:r>
    </w:p>
    <w:p w14:paraId="02337659">
      <w:pPr>
        <w:jc w:val="left"/>
        <w:rPr>
          <w:rFonts w:hint="eastAsia" w:ascii="宋体" w:hAnsi="宋体" w:cs="宋体"/>
          <w:color w:val="FF0000"/>
        </w:rPr>
      </w:pPr>
      <w:r>
        <w:rPr>
          <w:rFonts w:hint="eastAsia" w:ascii="宋体" w:hAnsi="宋体" w:cs="宋体"/>
          <w:color w:val="FF0000"/>
        </w:rPr>
        <w:t>2.陆续供应情况下</w:t>
      </w:r>
    </w:p>
    <w:p w14:paraId="6C146816">
      <w:pPr>
        <w:jc w:val="left"/>
        <w:rPr>
          <w:rFonts w:hint="eastAsia" w:ascii="宋体" w:hAnsi="宋体" w:cs="宋体"/>
        </w:rPr>
      </w:pPr>
      <w:r>
        <w:rPr>
          <w:rFonts w:hint="eastAsia" w:ascii="宋体" w:hAnsi="宋体" w:cs="宋体"/>
        </w:rPr>
        <w:t>此时的存货陆续供应和使用的经济订货批量公式为</w:t>
      </w:r>
    </w:p>
    <w:p w14:paraId="56E41D4A">
      <w:pPr>
        <w:jc w:val="left"/>
        <w:rPr>
          <w:rFonts w:hint="eastAsia" w:ascii="宋体" w:hAnsi="宋体" w:cs="宋体"/>
        </w:rPr>
      </w:pPr>
      <w:r>
        <w:rPr>
          <w:rFonts w:hint="eastAsia" w:ascii="宋体" w:hAnsi="宋体" w:cs="宋体"/>
        </w:rPr>
        <w:drawing>
          <wp:inline distT="0" distB="0" distL="114300" distR="114300">
            <wp:extent cx="1546860" cy="583565"/>
            <wp:effectExtent l="0" t="0" r="0" b="635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56">
                      <a:lum bright="-8002" contrast="-70001"/>
                    </a:blip>
                    <a:srcRect l="35971" r="34219"/>
                    <a:stretch>
                      <a:fillRect/>
                    </a:stretch>
                  </pic:blipFill>
                  <pic:spPr>
                    <a:xfrm>
                      <a:off x="0" y="0"/>
                      <a:ext cx="1546860" cy="583565"/>
                    </a:xfrm>
                    <a:prstGeom prst="rect">
                      <a:avLst/>
                    </a:prstGeom>
                    <a:noFill/>
                    <a:ln>
                      <a:noFill/>
                    </a:ln>
                  </pic:spPr>
                </pic:pic>
              </a:graphicData>
            </a:graphic>
          </wp:inline>
        </w:drawing>
      </w:r>
    </w:p>
    <w:p w14:paraId="2D97FE4D">
      <w:pPr>
        <w:jc w:val="left"/>
        <w:rPr>
          <w:rFonts w:hint="eastAsia" w:ascii="宋体" w:hAnsi="宋体" w:cs="宋体"/>
        </w:rPr>
      </w:pPr>
      <w:r>
        <w:rPr>
          <w:rFonts w:hint="eastAsia" w:ascii="宋体" w:hAnsi="宋体" w:cs="宋体"/>
        </w:rPr>
        <w:t>存货陆续供应和使用的经济订货量相关总成本公式为：</w:t>
      </w:r>
    </w:p>
    <w:p w14:paraId="30CD7969">
      <w:pPr>
        <w:jc w:val="left"/>
        <w:rPr>
          <w:rFonts w:hint="eastAsia" w:ascii="宋体" w:hAnsi="宋体" w:cs="宋体"/>
        </w:rPr>
      </w:pPr>
      <w:r>
        <w:drawing>
          <wp:inline distT="0" distB="0" distL="114300" distR="114300">
            <wp:extent cx="2703830" cy="641985"/>
            <wp:effectExtent l="0" t="0" r="1270" b="57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57">
                      <a:lum bright="-100000"/>
                    </a:blip>
                    <a:stretch>
                      <a:fillRect/>
                    </a:stretch>
                  </pic:blipFill>
                  <pic:spPr>
                    <a:xfrm>
                      <a:off x="0" y="0"/>
                      <a:ext cx="2703830" cy="641985"/>
                    </a:xfrm>
                    <a:prstGeom prst="rect">
                      <a:avLst/>
                    </a:prstGeom>
                    <a:noFill/>
                    <a:ln>
                      <a:noFill/>
                    </a:ln>
                  </pic:spPr>
                </pic:pic>
              </a:graphicData>
            </a:graphic>
          </wp:inline>
        </w:drawing>
      </w:r>
    </w:p>
    <w:p w14:paraId="3C37250A">
      <w:pPr>
        <w:jc w:val="left"/>
        <w:rPr>
          <w:rFonts w:hint="eastAsia" w:ascii="宋体" w:hAnsi="宋体" w:cs="宋体"/>
          <w:color w:val="FF0000"/>
        </w:rPr>
      </w:pPr>
      <w:r>
        <w:rPr>
          <w:rFonts w:hint="eastAsia" w:ascii="宋体" w:hAnsi="宋体" w:cs="宋体"/>
          <w:color w:val="FF0000"/>
        </w:rPr>
        <w:t>【知识点4】保险储备</w:t>
      </w:r>
    </w:p>
    <w:p w14:paraId="2E7238AE">
      <w:pPr>
        <w:jc w:val="left"/>
        <w:rPr>
          <w:rFonts w:hint="eastAsia" w:ascii="宋体" w:hAnsi="宋体" w:cs="宋体"/>
        </w:rPr>
      </w:pPr>
      <w:r>
        <w:rPr>
          <w:rFonts w:hint="eastAsia" w:ascii="宋体" w:hAnsi="宋体" w:cs="宋体"/>
        </w:rPr>
        <w:t>再订货点＝预计交货期内的需求＋保险储备</w:t>
      </w:r>
    </w:p>
    <w:p w14:paraId="025ECDF1">
      <w:pPr>
        <w:jc w:val="left"/>
        <w:rPr>
          <w:rFonts w:hint="eastAsia" w:ascii="宋体" w:hAnsi="宋体" w:cs="宋体"/>
        </w:rPr>
      </w:pPr>
      <w:r>
        <w:rPr>
          <w:rFonts w:hint="eastAsia" w:ascii="宋体" w:hAnsi="宋体" w:cs="宋体"/>
        </w:rPr>
        <w:t>决策原理：最佳保险储备应该是使缺货损失和保险储备的储存成本之和达到最低。</w:t>
      </w:r>
    </w:p>
    <w:p w14:paraId="5760B4BA">
      <w:pPr>
        <w:jc w:val="left"/>
        <w:rPr>
          <w:rFonts w:hint="eastAsia" w:ascii="宋体" w:hAnsi="宋体" w:cs="宋体"/>
        </w:rPr>
      </w:pPr>
      <w:r>
        <w:rPr>
          <w:rFonts w:hint="eastAsia" w:ascii="宋体" w:hAnsi="宋体" w:cs="宋体"/>
        </w:rPr>
        <w:t>保险储备的储存成本＝保险储备×单位变动储存成本</w:t>
      </w:r>
    </w:p>
    <w:p w14:paraId="2E7E2C3C">
      <w:pPr>
        <w:jc w:val="left"/>
        <w:rPr>
          <w:rFonts w:hint="eastAsia" w:ascii="宋体" w:hAnsi="宋体" w:cs="宋体"/>
        </w:rPr>
      </w:pPr>
      <w:r>
        <w:rPr>
          <w:rFonts w:hint="eastAsia" w:ascii="宋体" w:hAnsi="宋体" w:cs="宋体"/>
        </w:rPr>
        <w:t>缺货成本＝一次订货期望缺货量×年订货次数×单位缺货损失</w:t>
      </w:r>
    </w:p>
    <w:p w14:paraId="56689234">
      <w:pPr>
        <w:jc w:val="left"/>
        <w:rPr>
          <w:rFonts w:hint="eastAsia" w:ascii="宋体" w:hAnsi="宋体" w:cs="宋体"/>
        </w:rPr>
      </w:pPr>
      <w:r>
        <w:rPr>
          <w:rFonts w:hint="eastAsia" w:ascii="宋体" w:hAnsi="宋体" w:cs="宋体"/>
        </w:rPr>
        <w:t>相关总成本＝保险储备的储存成本＋缺货损失</w:t>
      </w:r>
    </w:p>
    <w:p w14:paraId="3277822B">
      <w:pPr>
        <w:jc w:val="left"/>
        <w:rPr>
          <w:rFonts w:hint="eastAsia" w:ascii="宋体" w:hAnsi="宋体" w:cs="宋体"/>
        </w:rPr>
      </w:pPr>
    </w:p>
    <w:p w14:paraId="52B12897">
      <w:pPr>
        <w:jc w:val="center"/>
        <w:rPr>
          <w:rFonts w:hint="eastAsia" w:ascii="宋体" w:hAnsi="宋体" w:cs="宋体"/>
          <w:b/>
          <w:bCs/>
        </w:rPr>
      </w:pPr>
      <w:r>
        <w:rPr>
          <w:rFonts w:hint="eastAsia" w:ascii="宋体" w:hAnsi="宋体" w:cs="宋体"/>
          <w:b/>
          <w:bCs/>
        </w:rPr>
        <w:t>第五节 流动负债管理</w:t>
      </w:r>
    </w:p>
    <w:p w14:paraId="6A5E5784">
      <w:pPr>
        <w:jc w:val="left"/>
        <w:rPr>
          <w:rFonts w:hint="eastAsia" w:ascii="宋体" w:hAnsi="宋体" w:cs="宋体"/>
        </w:rPr>
      </w:pPr>
      <w:r>
        <w:rPr>
          <w:rFonts w:hint="eastAsia" w:ascii="宋体" w:hAnsi="宋体" w:cs="宋体"/>
        </w:rPr>
        <w:t>流动负债有三种主要来源：短期借款、短期融资券和商业信用，各种来源具有不同的获取速度、灵活性、成本和风险。</w:t>
      </w:r>
    </w:p>
    <w:p w14:paraId="76072BEA">
      <w:pPr>
        <w:jc w:val="left"/>
        <w:rPr>
          <w:rFonts w:hint="eastAsia" w:ascii="宋体" w:hAnsi="宋体" w:cs="宋体"/>
          <w:color w:val="FF0000"/>
        </w:rPr>
      </w:pPr>
      <w:r>
        <w:rPr>
          <w:rFonts w:hint="eastAsia" w:ascii="宋体" w:hAnsi="宋体" w:cs="宋体"/>
          <w:color w:val="FF0000"/>
        </w:rPr>
        <w:t>【知识点1】短期借款的信用条件</w:t>
      </w:r>
    </w:p>
    <w:p w14:paraId="3E030473">
      <w:pPr>
        <w:jc w:val="left"/>
        <w:rPr>
          <w:rFonts w:hint="eastAsia" w:ascii="宋体" w:hAnsi="宋体" w:cs="宋体"/>
          <w:color w:val="FF0000"/>
        </w:rPr>
      </w:pPr>
      <w:r>
        <w:rPr>
          <w:rFonts w:hint="eastAsia" w:ascii="宋体" w:hAnsi="宋体" w:cs="宋体"/>
          <w:color w:val="FF0000"/>
        </w:rPr>
        <w:t>1.信贷额度</w:t>
      </w:r>
    </w:p>
    <w:p w14:paraId="2229BFD7">
      <w:pPr>
        <w:jc w:val="left"/>
        <w:rPr>
          <w:rFonts w:hint="eastAsia" w:ascii="宋体" w:hAnsi="宋体" w:cs="宋体"/>
        </w:rPr>
      </w:pPr>
      <w:r>
        <w:rPr>
          <w:rFonts w:hint="eastAsia" w:ascii="宋体" w:hAnsi="宋体" w:cs="宋体"/>
        </w:rPr>
        <w:t>信贷额度即为贷款限额，使借款企业与银行协议中规定的最高限额，通常为1年，但银行并不承担必须支付全部信贷数额的义务。</w:t>
      </w:r>
    </w:p>
    <w:p w14:paraId="648A60E2">
      <w:pPr>
        <w:jc w:val="left"/>
        <w:rPr>
          <w:rFonts w:hint="eastAsia" w:ascii="宋体" w:hAnsi="宋体" w:cs="宋体"/>
          <w:color w:val="FF0000"/>
        </w:rPr>
      </w:pPr>
      <w:r>
        <w:rPr>
          <w:rFonts w:hint="eastAsia" w:ascii="宋体" w:hAnsi="宋体" w:cs="宋体"/>
          <w:color w:val="FF0000"/>
        </w:rPr>
        <w:t>2.周转信贷协议</w:t>
      </w:r>
    </w:p>
    <w:p w14:paraId="410D4880">
      <w:pPr>
        <w:jc w:val="left"/>
        <w:rPr>
          <w:rFonts w:hint="eastAsia" w:ascii="宋体" w:hAnsi="宋体" w:cs="宋体"/>
        </w:rPr>
      </w:pPr>
      <w:r>
        <w:rPr>
          <w:rFonts w:hint="eastAsia" w:ascii="宋体" w:hAnsi="宋体" w:cs="宋体"/>
        </w:rPr>
        <w:t>周转信贷协议是银行具有法律义务的承诺提供不超过某一最高限额的贷款协议，在协定有效期内，银行必须满足企业任何时候提出的借款要求。但同时，企业要对贷款限额的未使用部分付给银行一笔承诺费用。</w:t>
      </w:r>
    </w:p>
    <w:p w14:paraId="38721C91">
      <w:pPr>
        <w:jc w:val="left"/>
        <w:rPr>
          <w:rFonts w:hint="eastAsia" w:ascii="宋体" w:hAnsi="宋体" w:cs="宋体"/>
          <w:color w:val="FF0000"/>
        </w:rPr>
      </w:pPr>
      <w:r>
        <w:rPr>
          <w:rFonts w:hint="eastAsia" w:ascii="宋体" w:hAnsi="宋体" w:cs="宋体"/>
          <w:color w:val="FF0000"/>
        </w:rPr>
        <w:t>3.补偿性余额</w:t>
      </w:r>
    </w:p>
    <w:p w14:paraId="1E716DE3">
      <w:pPr>
        <w:jc w:val="left"/>
        <w:rPr>
          <w:rFonts w:hint="eastAsia" w:ascii="宋体" w:hAnsi="宋体" w:cs="宋体"/>
        </w:rPr>
      </w:pPr>
      <w:r>
        <w:rPr>
          <w:rFonts w:hint="eastAsia" w:ascii="宋体" w:hAnsi="宋体" w:cs="宋体"/>
        </w:rPr>
        <w:t>补偿性余额是银行要求借款企业在银行中保持按贷款限额或实际借用额一定比例（通常为10%-20%）计算的最低存款余额，此种借款提高了借款的实际利率，加重了企业负担。</w:t>
      </w:r>
    </w:p>
    <w:p w14:paraId="082F5CB4">
      <w:pPr>
        <w:jc w:val="left"/>
        <w:rPr>
          <w:rFonts w:hint="eastAsia" w:ascii="宋体" w:hAnsi="宋体" w:cs="宋体"/>
          <w:color w:val="FF0000"/>
        </w:rPr>
      </w:pPr>
      <w:r>
        <w:rPr>
          <w:rFonts w:hint="eastAsia" w:ascii="宋体" w:hAnsi="宋体" w:cs="宋体"/>
          <w:color w:val="FF0000"/>
        </w:rPr>
        <w:t>4.借款抵押</w:t>
      </w:r>
    </w:p>
    <w:p w14:paraId="7015F356">
      <w:pPr>
        <w:jc w:val="left"/>
        <w:rPr>
          <w:rFonts w:hint="eastAsia" w:ascii="宋体" w:hAnsi="宋体" w:cs="宋体"/>
        </w:rPr>
      </w:pPr>
      <w:r>
        <w:rPr>
          <w:rFonts w:hint="eastAsia" w:ascii="宋体" w:hAnsi="宋体" w:cs="宋体"/>
        </w:rPr>
        <w:t>为了降低风险，银行发放贷款时需要企业提供抵押品担保，银行根据抵押品面值的30%-90%发放贷款，具体比例取决于抵押品的变现能力和银行对风险的态度。　　</w:t>
      </w:r>
    </w:p>
    <w:p w14:paraId="4BE9BF39">
      <w:pPr>
        <w:jc w:val="left"/>
        <w:rPr>
          <w:rFonts w:hint="eastAsia" w:ascii="宋体" w:hAnsi="宋体" w:cs="宋体"/>
          <w:color w:val="FF0000"/>
        </w:rPr>
      </w:pPr>
      <w:r>
        <w:rPr>
          <w:rFonts w:hint="eastAsia" w:ascii="宋体" w:hAnsi="宋体" w:cs="宋体"/>
          <w:color w:val="FF0000"/>
        </w:rPr>
        <w:t>【知识点2】短期借款成本</w:t>
      </w:r>
    </w:p>
    <w:p w14:paraId="3D309F47">
      <w:pPr>
        <w:jc w:val="left"/>
        <w:rPr>
          <w:rFonts w:hint="eastAsia" w:ascii="宋体" w:hAnsi="宋体" w:cs="宋体"/>
          <w:color w:val="FF0000"/>
        </w:rPr>
      </w:pPr>
      <w:r>
        <w:rPr>
          <w:rFonts w:hint="eastAsia" w:ascii="宋体" w:hAnsi="宋体" w:cs="宋体"/>
          <w:color w:val="FF0000"/>
        </w:rPr>
        <w:t>1.收款法</w:t>
      </w:r>
    </w:p>
    <w:p w14:paraId="2D3718B0">
      <w:pPr>
        <w:jc w:val="left"/>
        <w:rPr>
          <w:rFonts w:hint="eastAsia" w:ascii="宋体" w:hAnsi="宋体" w:cs="宋体"/>
        </w:rPr>
      </w:pPr>
      <w:r>
        <w:rPr>
          <w:rFonts w:hint="eastAsia" w:ascii="宋体" w:hAnsi="宋体" w:cs="宋体"/>
        </w:rPr>
        <w:t>借款到期时向银行支付利息，短期贷款的实际利率就是名义利率。</w:t>
      </w:r>
    </w:p>
    <w:p w14:paraId="6E8794C3">
      <w:pPr>
        <w:jc w:val="left"/>
        <w:rPr>
          <w:rFonts w:hint="eastAsia" w:ascii="宋体" w:hAnsi="宋体" w:cs="宋体"/>
          <w:color w:val="FF0000"/>
        </w:rPr>
      </w:pPr>
      <w:r>
        <w:rPr>
          <w:rFonts w:hint="eastAsia" w:ascii="宋体" w:hAnsi="宋体" w:cs="宋体"/>
          <w:color w:val="FF0000"/>
        </w:rPr>
        <w:t>2.贴现法</w:t>
      </w:r>
    </w:p>
    <w:p w14:paraId="1638D595">
      <w:pPr>
        <w:jc w:val="left"/>
        <w:rPr>
          <w:rFonts w:hint="eastAsia" w:ascii="宋体" w:hAnsi="宋体" w:cs="宋体"/>
        </w:rPr>
      </w:pPr>
      <w:r>
        <w:rPr>
          <w:rFonts w:hint="eastAsia" w:ascii="宋体" w:hAnsi="宋体" w:cs="宋体"/>
        </w:rPr>
        <w:t>贴现法又称折价法，是指银行向企业发放贷款时，先从本金中扣除利息部分，到期时，借款企业偿还全部贷款本金的一种利息支付方法，因此贷款的实际利率要高于名义利率。</w:t>
      </w:r>
    </w:p>
    <w:p w14:paraId="361B24F7">
      <w:pPr>
        <w:jc w:val="left"/>
        <w:rPr>
          <w:rFonts w:hint="eastAsia" w:ascii="宋体" w:hAnsi="宋体" w:cs="宋体"/>
          <w:color w:val="FF0000"/>
        </w:rPr>
      </w:pPr>
      <w:r>
        <w:rPr>
          <w:rFonts w:hint="eastAsia" w:ascii="宋体" w:hAnsi="宋体" w:cs="宋体"/>
          <w:color w:val="FF0000"/>
        </w:rPr>
        <w:t>3.加息法</w:t>
      </w:r>
    </w:p>
    <w:p w14:paraId="5B7D1C1C">
      <w:pPr>
        <w:jc w:val="left"/>
        <w:rPr>
          <w:rFonts w:hint="eastAsia" w:ascii="宋体" w:hAnsi="宋体" w:cs="宋体"/>
        </w:rPr>
      </w:pPr>
      <w:r>
        <w:rPr>
          <w:rFonts w:hint="eastAsia" w:ascii="宋体" w:hAnsi="宋体" w:cs="宋体"/>
        </w:rPr>
        <w:t>加息法是银行发放分期等额偿还贷款时采用的利息收取方法。负担的实际利率高于名义利率大约1倍</w:t>
      </w:r>
    </w:p>
    <w:p w14:paraId="63DDA1FE">
      <w:pPr>
        <w:jc w:val="left"/>
        <w:rPr>
          <w:rFonts w:hint="eastAsia" w:ascii="宋体" w:hAnsi="宋体" w:cs="宋体"/>
          <w:color w:val="FF0000"/>
        </w:rPr>
      </w:pPr>
      <w:r>
        <w:rPr>
          <w:rFonts w:hint="eastAsia" w:ascii="宋体" w:hAnsi="宋体" w:cs="宋体"/>
          <w:color w:val="FF0000"/>
        </w:rPr>
        <w:t>【知识点3】短期融资券</w:t>
      </w:r>
    </w:p>
    <w:p w14:paraId="03771F02">
      <w:pPr>
        <w:jc w:val="left"/>
        <w:rPr>
          <w:rFonts w:hint="eastAsia" w:ascii="宋体" w:hAnsi="宋体" w:cs="宋体"/>
        </w:rPr>
      </w:pPr>
      <w:r>
        <w:rPr>
          <w:rFonts w:hint="eastAsia" w:ascii="宋体" w:hAnsi="宋体" w:cs="宋体"/>
        </w:rPr>
        <w:t xml:space="preserve">短期融资券是企业在银行间债券市场发行和交易并约定在一定期限内还本付息的有价证券。 </w:t>
      </w:r>
    </w:p>
    <w:p w14:paraId="40D51C32">
      <w:pPr>
        <w:jc w:val="left"/>
        <w:rPr>
          <w:rFonts w:hint="eastAsia" w:ascii="宋体" w:hAnsi="宋体" w:cs="宋体"/>
          <w:color w:val="FF0000"/>
        </w:rPr>
      </w:pPr>
      <w:r>
        <w:rPr>
          <w:rFonts w:hint="eastAsia" w:ascii="宋体" w:hAnsi="宋体" w:cs="宋体"/>
          <w:color w:val="FF0000"/>
        </w:rPr>
        <w:t>（一）发行短期融资券的相关规定</w:t>
      </w:r>
    </w:p>
    <w:p w14:paraId="30FA8EDC">
      <w:pPr>
        <w:jc w:val="left"/>
        <w:rPr>
          <w:rFonts w:hint="eastAsia" w:ascii="宋体" w:hAnsi="宋体" w:cs="宋体"/>
        </w:rPr>
      </w:pPr>
      <w:r>
        <w:rPr>
          <w:rFonts w:hint="eastAsia" w:ascii="宋体" w:hAnsi="宋体" w:cs="宋体"/>
        </w:rPr>
        <w:t>1.发行人为非金融企业。</w:t>
      </w:r>
    </w:p>
    <w:p w14:paraId="3869C542">
      <w:pPr>
        <w:jc w:val="left"/>
        <w:rPr>
          <w:rFonts w:hint="eastAsia" w:ascii="宋体" w:hAnsi="宋体" w:cs="宋体"/>
        </w:rPr>
      </w:pPr>
      <w:r>
        <w:rPr>
          <w:rFonts w:hint="eastAsia" w:ascii="宋体" w:hAnsi="宋体" w:cs="宋体"/>
        </w:rPr>
        <w:t>2.发行和交易的对象是银行间债券市场的机构投资者，不向社会公众发行和交易。</w:t>
      </w:r>
    </w:p>
    <w:p w14:paraId="6B4EFD1F">
      <w:pPr>
        <w:jc w:val="left"/>
        <w:rPr>
          <w:rFonts w:hint="eastAsia" w:ascii="宋体" w:hAnsi="宋体" w:cs="宋体"/>
        </w:rPr>
      </w:pPr>
      <w:r>
        <w:rPr>
          <w:rFonts w:hint="eastAsia" w:ascii="宋体" w:hAnsi="宋体" w:cs="宋体"/>
        </w:rPr>
        <w:t>3.由符合条件的金融机构承销，企业不得自行销售融资券，发行融资券募集的资金用于本企业的生产经营。</w:t>
      </w:r>
    </w:p>
    <w:p w14:paraId="452EC6B3">
      <w:pPr>
        <w:jc w:val="left"/>
        <w:rPr>
          <w:rFonts w:hint="eastAsia" w:ascii="宋体" w:hAnsi="宋体" w:cs="宋体"/>
          <w:color w:val="FF0000"/>
        </w:rPr>
      </w:pPr>
      <w:r>
        <w:rPr>
          <w:rFonts w:hint="eastAsia" w:ascii="宋体" w:hAnsi="宋体" w:cs="宋体"/>
          <w:color w:val="FF0000"/>
        </w:rPr>
        <w:t>（二）短期融资券的筹资特点</w:t>
      </w:r>
    </w:p>
    <w:p w14:paraId="43AB83A8">
      <w:pPr>
        <w:jc w:val="left"/>
        <w:rPr>
          <w:rFonts w:hint="eastAsia" w:ascii="宋体" w:hAnsi="宋体" w:cs="宋体"/>
        </w:rPr>
      </w:pPr>
      <w:r>
        <w:rPr>
          <w:rFonts w:hint="eastAsia" w:ascii="宋体" w:hAnsi="宋体" w:cs="宋体"/>
        </w:rPr>
        <w:t>1.相对于公司债券，筹资成本较低</w:t>
      </w:r>
    </w:p>
    <w:p w14:paraId="52FEDF55">
      <w:pPr>
        <w:jc w:val="left"/>
        <w:rPr>
          <w:rFonts w:hint="eastAsia" w:ascii="宋体" w:hAnsi="宋体" w:cs="宋体"/>
        </w:rPr>
      </w:pPr>
      <w:r>
        <w:rPr>
          <w:rFonts w:hint="eastAsia" w:ascii="宋体" w:hAnsi="宋体" w:cs="宋体"/>
        </w:rPr>
        <w:t>2.相对于银行借款，筹资数额比较大</w:t>
      </w:r>
    </w:p>
    <w:p w14:paraId="5BFEB7A5">
      <w:pPr>
        <w:jc w:val="left"/>
        <w:rPr>
          <w:rFonts w:hint="eastAsia" w:ascii="宋体" w:hAnsi="宋体" w:cs="宋体"/>
        </w:rPr>
      </w:pPr>
      <w:r>
        <w:rPr>
          <w:rFonts w:hint="eastAsia" w:ascii="宋体" w:hAnsi="宋体" w:cs="宋体"/>
        </w:rPr>
        <w:t>3.发行条件比较严格</w:t>
      </w:r>
    </w:p>
    <w:p w14:paraId="652932E5">
      <w:pPr>
        <w:jc w:val="left"/>
        <w:rPr>
          <w:rFonts w:hint="eastAsia" w:ascii="宋体" w:hAnsi="宋体" w:cs="宋体"/>
          <w:color w:val="FF0000"/>
        </w:rPr>
      </w:pPr>
      <w:r>
        <w:rPr>
          <w:rFonts w:hint="eastAsia" w:ascii="宋体" w:hAnsi="宋体" w:cs="宋体"/>
          <w:color w:val="FF0000"/>
        </w:rPr>
        <w:t>【知识点4】商业信用</w:t>
      </w:r>
    </w:p>
    <w:p w14:paraId="5B022387">
      <w:pPr>
        <w:jc w:val="left"/>
        <w:rPr>
          <w:rFonts w:hint="eastAsia" w:ascii="宋体" w:hAnsi="宋体" w:cs="宋体"/>
        </w:rPr>
      </w:pPr>
      <w:r>
        <w:rPr>
          <w:rFonts w:hint="eastAsia" w:ascii="宋体" w:hAnsi="宋体" w:cs="宋体"/>
        </w:rPr>
        <w:t>包括：应付账款、应付票据、应计未付款和预收货款</w:t>
      </w:r>
    </w:p>
    <w:p w14:paraId="521D77CC">
      <w:pPr>
        <w:jc w:val="left"/>
        <w:rPr>
          <w:rFonts w:hint="eastAsia" w:ascii="宋体" w:hAnsi="宋体" w:cs="宋体"/>
          <w:color w:val="FF0000"/>
        </w:rPr>
      </w:pPr>
      <w:r>
        <w:rPr>
          <w:rFonts w:hint="eastAsia" w:ascii="宋体" w:hAnsi="宋体" w:cs="宋体"/>
          <w:color w:val="FF0000"/>
        </w:rPr>
        <w:t>（一）应付账款</w:t>
      </w:r>
    </w:p>
    <w:p w14:paraId="4E5BDB09">
      <w:pPr>
        <w:jc w:val="left"/>
        <w:rPr>
          <w:rFonts w:hint="eastAsia" w:ascii="宋体" w:hAnsi="宋体" w:cs="宋体"/>
        </w:rPr>
      </w:pPr>
      <w:r>
        <w:rPr>
          <w:rFonts w:hint="eastAsia" w:ascii="宋体" w:hAnsi="宋体" w:cs="宋体"/>
        </w:rPr>
        <w:t>应付账款是供应商给企业提供的一种商业信用，规定对所有账单均见票后若干日付款。</w:t>
      </w:r>
    </w:p>
    <w:p w14:paraId="78A13FC7">
      <w:pPr>
        <w:jc w:val="left"/>
        <w:rPr>
          <w:rFonts w:hint="eastAsia" w:ascii="宋体" w:hAnsi="宋体" w:cs="宋体"/>
        </w:rPr>
      </w:pPr>
      <w:r>
        <w:rPr>
          <w:rFonts w:hint="eastAsia" w:ascii="宋体" w:hAnsi="宋体" w:cs="宋体"/>
        </w:rPr>
        <w:t>商业信用条件通常有以下两种形式</w:t>
      </w:r>
    </w:p>
    <w:p w14:paraId="15EEEC58">
      <w:pPr>
        <w:jc w:val="left"/>
        <w:rPr>
          <w:rFonts w:hint="eastAsia" w:ascii="宋体" w:hAnsi="宋体" w:cs="宋体"/>
        </w:rPr>
      </w:pPr>
      <w:r>
        <w:rPr>
          <w:rFonts w:hint="eastAsia" w:ascii="宋体" w:hAnsi="宋体" w:cs="宋体"/>
        </w:rPr>
        <w:t>（a）有信用期，但无现金折扣。如“N／30”表示30天内按发票金额全数支付。</w:t>
      </w:r>
    </w:p>
    <w:p w14:paraId="7A7A7395">
      <w:pPr>
        <w:jc w:val="left"/>
        <w:rPr>
          <w:rFonts w:hint="eastAsia" w:ascii="宋体" w:hAnsi="宋体" w:cs="宋体"/>
        </w:rPr>
      </w:pPr>
      <w:r>
        <w:rPr>
          <w:rFonts w:hint="eastAsia" w:ascii="宋体" w:hAnsi="宋体" w:cs="宋体"/>
        </w:rPr>
        <w:t>（b）有信用期和现金折扣，如“2／10，N／30”表示10天内付款享受现金折扣2%，若买方放弃折扣，30天内必须付清款项。</w:t>
      </w:r>
    </w:p>
    <w:p w14:paraId="37F155FE">
      <w:pPr>
        <w:jc w:val="left"/>
        <w:rPr>
          <w:rFonts w:hint="eastAsia" w:ascii="宋体" w:hAnsi="宋体" w:cs="宋体"/>
        </w:rPr>
      </w:pPr>
      <w:r>
        <w:drawing>
          <wp:inline distT="0" distB="0" distL="114300" distR="114300">
            <wp:extent cx="4540250" cy="466725"/>
            <wp:effectExtent l="0" t="0" r="12700" b="952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58">
                      <a:clrChange>
                        <a:clrFrom>
                          <a:srgbClr val="BBE0E3"/>
                        </a:clrFrom>
                        <a:clrTo>
                          <a:srgbClr val="BBE0E3">
                            <a:alpha val="0"/>
                          </a:srgbClr>
                        </a:clrTo>
                      </a:clrChange>
                    </a:blip>
                    <a:stretch>
                      <a:fillRect/>
                    </a:stretch>
                  </pic:blipFill>
                  <pic:spPr>
                    <a:xfrm>
                      <a:off x="0" y="0"/>
                      <a:ext cx="4540250" cy="466725"/>
                    </a:xfrm>
                    <a:prstGeom prst="rect">
                      <a:avLst/>
                    </a:prstGeom>
                    <a:noFill/>
                    <a:ln>
                      <a:noFill/>
                    </a:ln>
                  </pic:spPr>
                </pic:pic>
              </a:graphicData>
            </a:graphic>
          </wp:inline>
        </w:drawing>
      </w:r>
    </w:p>
    <w:p w14:paraId="0B96EC73">
      <w:pPr>
        <w:jc w:val="left"/>
        <w:rPr>
          <w:rFonts w:hint="eastAsia" w:ascii="宋体" w:hAnsi="宋体" w:cs="宋体"/>
          <w:color w:val="FF0000"/>
        </w:rPr>
      </w:pPr>
      <w:r>
        <w:rPr>
          <w:rFonts w:hint="eastAsia" w:ascii="宋体" w:hAnsi="宋体" w:cs="宋体"/>
          <w:color w:val="FF0000"/>
        </w:rPr>
        <w:t>放弃现金折扣的信用决策</w:t>
      </w:r>
    </w:p>
    <w:p w14:paraId="6CA2433C">
      <w:pPr>
        <w:jc w:val="left"/>
        <w:rPr>
          <w:rFonts w:hint="eastAsia" w:ascii="宋体" w:hAnsi="宋体" w:cs="宋体"/>
        </w:rPr>
      </w:pPr>
      <w:r>
        <w:rPr>
          <w:rFonts w:hint="eastAsia" w:ascii="宋体" w:hAnsi="宋体" w:cs="宋体"/>
        </w:rPr>
        <w:t>A.如果企业将应付账款额用于短期投资，所获得的投资报酬率高于放弃现金折扣的成本，则应当放弃现金折扣。</w:t>
      </w:r>
    </w:p>
    <w:p w14:paraId="38B15F71">
      <w:pPr>
        <w:jc w:val="left"/>
        <w:rPr>
          <w:rFonts w:hint="eastAsia" w:ascii="宋体" w:hAnsi="宋体" w:cs="宋体"/>
        </w:rPr>
      </w:pPr>
      <w:r>
        <w:rPr>
          <w:rFonts w:hint="eastAsia" w:ascii="宋体" w:hAnsi="宋体" w:cs="宋体"/>
        </w:rPr>
        <w:t>B.如果贷款的利息率低于放弃现金折扣的成本，则应该向银行借钱支付货款，享受现金折扣。</w:t>
      </w:r>
    </w:p>
    <w:p w14:paraId="41158FFB">
      <w:pPr>
        <w:jc w:val="left"/>
        <w:rPr>
          <w:rFonts w:hint="eastAsia" w:ascii="宋体" w:hAnsi="宋体" w:cs="宋体"/>
          <w:color w:val="FF0000"/>
        </w:rPr>
      </w:pPr>
      <w:r>
        <w:rPr>
          <w:rFonts w:hint="eastAsia" w:ascii="宋体" w:hAnsi="宋体" w:cs="宋体"/>
          <w:color w:val="FF0000"/>
        </w:rPr>
        <w:t>2.应付票据</w:t>
      </w:r>
    </w:p>
    <w:p w14:paraId="15F31D40">
      <w:pPr>
        <w:jc w:val="left"/>
        <w:rPr>
          <w:rFonts w:hint="eastAsia" w:ascii="宋体" w:hAnsi="宋体" w:cs="宋体"/>
          <w:color w:val="FF0000"/>
        </w:rPr>
      </w:pPr>
      <w:r>
        <w:rPr>
          <w:rFonts w:hint="eastAsia" w:ascii="宋体" w:hAnsi="宋体" w:cs="宋体"/>
          <w:color w:val="FF0000"/>
        </w:rPr>
        <w:t>3.预收货款</w:t>
      </w:r>
    </w:p>
    <w:p w14:paraId="09A3EACB">
      <w:pPr>
        <w:jc w:val="left"/>
        <w:rPr>
          <w:rFonts w:hint="eastAsia" w:ascii="宋体" w:hAnsi="宋体" w:cs="宋体"/>
          <w:color w:val="FF0000"/>
        </w:rPr>
      </w:pPr>
      <w:r>
        <w:rPr>
          <w:rFonts w:hint="eastAsia" w:ascii="宋体" w:hAnsi="宋体" w:cs="宋体"/>
          <w:color w:val="FF0000"/>
        </w:rPr>
        <w:t>4.应计未付款</w:t>
      </w:r>
    </w:p>
    <w:p w14:paraId="54A20B8E">
      <w:pPr>
        <w:jc w:val="left"/>
        <w:rPr>
          <w:rFonts w:hint="eastAsia" w:ascii="宋体" w:hAnsi="宋体" w:cs="宋体"/>
          <w:color w:val="FF0000"/>
        </w:rPr>
      </w:pPr>
      <w:r>
        <w:rPr>
          <w:rFonts w:hint="eastAsia" w:ascii="宋体" w:hAnsi="宋体" w:cs="宋体"/>
          <w:color w:val="FF0000"/>
        </w:rPr>
        <w:t>【知识点5】商业信用的优缺点</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9391"/>
      </w:tblGrid>
      <w:tr w14:paraId="5732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shd w:val="clear" w:color="auto" w:fill="auto"/>
            <w:noWrap w:val="0"/>
            <w:vAlign w:val="top"/>
          </w:tcPr>
          <w:p w14:paraId="18ED1A46">
            <w:pPr>
              <w:jc w:val="left"/>
              <w:rPr>
                <w:rFonts w:hint="eastAsia" w:ascii="宋体" w:hAnsi="宋体" w:cs="宋体"/>
              </w:rPr>
            </w:pPr>
            <w:r>
              <w:rPr>
                <w:rFonts w:hint="eastAsia" w:ascii="宋体" w:hAnsi="宋体" w:cs="宋体"/>
              </w:rPr>
              <w:t xml:space="preserve">优点 </w:t>
            </w:r>
          </w:p>
        </w:tc>
        <w:tc>
          <w:tcPr>
            <w:tcW w:w="4631" w:type="pct"/>
            <w:shd w:val="clear" w:color="auto" w:fill="auto"/>
            <w:noWrap w:val="0"/>
            <w:vAlign w:val="top"/>
          </w:tcPr>
          <w:p w14:paraId="075DCBA0">
            <w:pPr>
              <w:jc w:val="left"/>
              <w:rPr>
                <w:rFonts w:hint="eastAsia" w:ascii="宋体" w:hAnsi="宋体" w:cs="宋体"/>
              </w:rPr>
            </w:pPr>
            <w:r>
              <w:rPr>
                <w:rFonts w:hint="eastAsia" w:ascii="宋体" w:hAnsi="宋体" w:cs="宋体"/>
              </w:rPr>
              <w:t xml:space="preserve">商业信用容易获得 </w:t>
            </w:r>
          </w:p>
        </w:tc>
      </w:tr>
      <w:tr w14:paraId="4B9D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shd w:val="clear" w:color="auto" w:fill="auto"/>
            <w:noWrap w:val="0"/>
            <w:vAlign w:val="top"/>
          </w:tcPr>
          <w:p w14:paraId="67C6E0B1">
            <w:pPr>
              <w:jc w:val="left"/>
              <w:rPr>
                <w:rFonts w:hint="eastAsia" w:ascii="宋体" w:hAnsi="宋体" w:cs="宋体"/>
              </w:rPr>
            </w:pPr>
          </w:p>
        </w:tc>
        <w:tc>
          <w:tcPr>
            <w:tcW w:w="4631" w:type="pct"/>
            <w:shd w:val="clear" w:color="auto" w:fill="auto"/>
            <w:noWrap w:val="0"/>
            <w:vAlign w:val="top"/>
          </w:tcPr>
          <w:p w14:paraId="676FDE1A">
            <w:pPr>
              <w:jc w:val="left"/>
              <w:rPr>
                <w:rFonts w:hint="eastAsia" w:ascii="宋体" w:hAnsi="宋体" w:cs="宋体"/>
              </w:rPr>
            </w:pPr>
            <w:r>
              <w:rPr>
                <w:rFonts w:hint="eastAsia" w:ascii="宋体" w:hAnsi="宋体" w:cs="宋体"/>
              </w:rPr>
              <w:t>企业有较大的机动权（还款和延期方便）</w:t>
            </w:r>
          </w:p>
        </w:tc>
      </w:tr>
      <w:tr w14:paraId="7AA1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shd w:val="clear" w:color="auto" w:fill="auto"/>
            <w:noWrap w:val="0"/>
            <w:vAlign w:val="top"/>
          </w:tcPr>
          <w:p w14:paraId="4BD3E754">
            <w:pPr>
              <w:jc w:val="left"/>
              <w:rPr>
                <w:rFonts w:hint="eastAsia" w:ascii="宋体" w:hAnsi="宋体" w:cs="宋体"/>
              </w:rPr>
            </w:pPr>
          </w:p>
        </w:tc>
        <w:tc>
          <w:tcPr>
            <w:tcW w:w="4631" w:type="pct"/>
            <w:shd w:val="clear" w:color="auto" w:fill="auto"/>
            <w:noWrap w:val="0"/>
            <w:vAlign w:val="top"/>
          </w:tcPr>
          <w:p w14:paraId="7F13CB55">
            <w:pPr>
              <w:jc w:val="left"/>
              <w:rPr>
                <w:rFonts w:hint="eastAsia" w:ascii="宋体" w:hAnsi="宋体" w:cs="宋体"/>
              </w:rPr>
            </w:pPr>
            <w:r>
              <w:rPr>
                <w:rFonts w:hint="eastAsia" w:ascii="宋体" w:hAnsi="宋体" w:cs="宋体"/>
              </w:rPr>
              <w:t>企业一般不用提供担保</w:t>
            </w:r>
          </w:p>
        </w:tc>
      </w:tr>
      <w:tr w14:paraId="6B63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shd w:val="clear" w:color="auto" w:fill="auto"/>
            <w:noWrap w:val="0"/>
            <w:vAlign w:val="top"/>
          </w:tcPr>
          <w:p w14:paraId="17B5256E">
            <w:pPr>
              <w:jc w:val="left"/>
              <w:rPr>
                <w:rFonts w:hint="eastAsia" w:ascii="宋体" w:hAnsi="宋体" w:cs="宋体"/>
              </w:rPr>
            </w:pPr>
            <w:r>
              <w:rPr>
                <w:rFonts w:hint="eastAsia" w:ascii="宋体" w:hAnsi="宋体" w:cs="宋体"/>
              </w:rPr>
              <w:t xml:space="preserve">缺点 </w:t>
            </w:r>
          </w:p>
        </w:tc>
        <w:tc>
          <w:tcPr>
            <w:tcW w:w="4631" w:type="pct"/>
            <w:shd w:val="clear" w:color="auto" w:fill="auto"/>
            <w:noWrap w:val="0"/>
            <w:vAlign w:val="top"/>
          </w:tcPr>
          <w:p w14:paraId="4C59802A">
            <w:pPr>
              <w:jc w:val="left"/>
              <w:rPr>
                <w:rFonts w:hint="eastAsia" w:ascii="宋体" w:hAnsi="宋体" w:cs="宋体"/>
              </w:rPr>
            </w:pPr>
            <w:r>
              <w:rPr>
                <w:rFonts w:hint="eastAsia" w:ascii="宋体" w:hAnsi="宋体" w:cs="宋体"/>
              </w:rPr>
              <w:t xml:space="preserve">商业信用筹资成本高 </w:t>
            </w:r>
          </w:p>
        </w:tc>
      </w:tr>
      <w:tr w14:paraId="2005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shd w:val="clear" w:color="auto" w:fill="auto"/>
            <w:noWrap w:val="0"/>
            <w:vAlign w:val="top"/>
          </w:tcPr>
          <w:p w14:paraId="43060760">
            <w:pPr>
              <w:jc w:val="left"/>
              <w:rPr>
                <w:rFonts w:hint="eastAsia" w:ascii="宋体" w:hAnsi="宋体" w:cs="宋体"/>
              </w:rPr>
            </w:pPr>
          </w:p>
        </w:tc>
        <w:tc>
          <w:tcPr>
            <w:tcW w:w="4631" w:type="pct"/>
            <w:shd w:val="clear" w:color="auto" w:fill="auto"/>
            <w:noWrap w:val="0"/>
            <w:vAlign w:val="top"/>
          </w:tcPr>
          <w:p w14:paraId="4195356B">
            <w:pPr>
              <w:jc w:val="left"/>
              <w:rPr>
                <w:rFonts w:hint="eastAsia" w:ascii="宋体" w:hAnsi="宋体" w:cs="宋体"/>
              </w:rPr>
            </w:pPr>
            <w:r>
              <w:rPr>
                <w:rFonts w:hint="eastAsia" w:ascii="宋体" w:hAnsi="宋体" w:cs="宋体"/>
              </w:rPr>
              <w:t xml:space="preserve">容易恶化企业的信用水平（期限短，还款压力大） </w:t>
            </w:r>
          </w:p>
        </w:tc>
      </w:tr>
      <w:tr w14:paraId="2D4E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shd w:val="clear" w:color="auto" w:fill="auto"/>
            <w:noWrap w:val="0"/>
            <w:vAlign w:val="top"/>
          </w:tcPr>
          <w:p w14:paraId="70DF48A0">
            <w:pPr>
              <w:jc w:val="left"/>
              <w:rPr>
                <w:rFonts w:hint="eastAsia" w:ascii="宋体" w:hAnsi="宋体" w:cs="宋体"/>
              </w:rPr>
            </w:pPr>
          </w:p>
        </w:tc>
        <w:tc>
          <w:tcPr>
            <w:tcW w:w="4631" w:type="pct"/>
            <w:shd w:val="clear" w:color="auto" w:fill="auto"/>
            <w:noWrap w:val="0"/>
            <w:vAlign w:val="top"/>
          </w:tcPr>
          <w:p w14:paraId="76D7B448">
            <w:pPr>
              <w:jc w:val="left"/>
              <w:rPr>
                <w:rFonts w:hint="eastAsia" w:ascii="宋体" w:hAnsi="宋体" w:cs="宋体"/>
              </w:rPr>
            </w:pPr>
            <w:r>
              <w:rPr>
                <w:rFonts w:hint="eastAsia" w:ascii="宋体" w:hAnsi="宋体" w:cs="宋体"/>
              </w:rPr>
              <w:t xml:space="preserve">受外部环境影响较大（受商品和资金市场的影响） </w:t>
            </w:r>
          </w:p>
        </w:tc>
      </w:tr>
    </w:tbl>
    <w:p w14:paraId="2280D3A1">
      <w:pPr>
        <w:jc w:val="left"/>
        <w:rPr>
          <w:rFonts w:hint="eastAsia" w:ascii="宋体" w:hAnsi="宋体" w:cs="宋体"/>
          <w:color w:val="FF0000"/>
        </w:rPr>
      </w:pPr>
      <w:r>
        <w:rPr>
          <w:rFonts w:hint="eastAsia" w:ascii="宋体" w:hAnsi="宋体" w:cs="宋体"/>
          <w:color w:val="FF0000"/>
        </w:rPr>
        <w:t>【知识点6】流动负债的利弊</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8659"/>
      </w:tblGrid>
      <w:tr w14:paraId="1808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shd w:val="clear" w:color="auto" w:fill="auto"/>
            <w:noWrap w:val="0"/>
            <w:vAlign w:val="top"/>
          </w:tcPr>
          <w:p w14:paraId="0FB417C6">
            <w:pPr>
              <w:jc w:val="left"/>
              <w:rPr>
                <w:rFonts w:hint="eastAsia" w:ascii="宋体" w:hAnsi="宋体" w:cs="宋体"/>
              </w:rPr>
            </w:pPr>
            <w:r>
              <w:rPr>
                <w:rFonts w:hint="eastAsia" w:ascii="宋体" w:hAnsi="宋体" w:cs="宋体"/>
              </w:rPr>
              <w:t xml:space="preserve">经营优势 </w:t>
            </w:r>
          </w:p>
        </w:tc>
        <w:tc>
          <w:tcPr>
            <w:tcW w:w="4270" w:type="pct"/>
            <w:shd w:val="clear" w:color="auto" w:fill="auto"/>
            <w:noWrap w:val="0"/>
            <w:vAlign w:val="top"/>
          </w:tcPr>
          <w:p w14:paraId="1868E77E">
            <w:pPr>
              <w:numPr>
                <w:ilvl w:val="0"/>
                <w:numId w:val="2"/>
              </w:numPr>
              <w:jc w:val="left"/>
              <w:rPr>
                <w:rFonts w:hint="eastAsia" w:ascii="宋体" w:hAnsi="宋体" w:cs="宋体"/>
              </w:rPr>
            </w:pPr>
            <w:r>
              <w:rPr>
                <w:rFonts w:hint="eastAsia" w:ascii="宋体" w:hAnsi="宋体" w:cs="宋体"/>
              </w:rPr>
              <w:t>容易获得、具有灵活性，能够有效满足企业季节性信贷需求。</w:t>
            </w:r>
          </w:p>
          <w:p w14:paraId="5520D3BB">
            <w:pPr>
              <w:numPr>
                <w:ilvl w:val="0"/>
                <w:numId w:val="3"/>
              </w:numPr>
              <w:jc w:val="left"/>
              <w:rPr>
                <w:rFonts w:hint="eastAsia" w:ascii="宋体" w:hAnsi="宋体" w:cs="宋体"/>
              </w:rPr>
            </w:pPr>
            <w:r>
              <w:rPr>
                <w:rFonts w:hint="eastAsia" w:ascii="宋体" w:hAnsi="宋体" w:cs="宋体"/>
              </w:rPr>
              <w:t>短期借款一般比长期借款具有更少的约束性条件</w:t>
            </w:r>
          </w:p>
        </w:tc>
      </w:tr>
      <w:tr w14:paraId="34C2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shd w:val="clear" w:color="auto" w:fill="auto"/>
            <w:noWrap w:val="0"/>
            <w:vAlign w:val="top"/>
          </w:tcPr>
          <w:p w14:paraId="21B1E68F">
            <w:pPr>
              <w:jc w:val="left"/>
              <w:rPr>
                <w:rFonts w:hint="eastAsia" w:ascii="宋体" w:hAnsi="宋体" w:cs="宋体"/>
              </w:rPr>
            </w:pPr>
            <w:r>
              <w:rPr>
                <w:rFonts w:hint="eastAsia" w:ascii="宋体" w:hAnsi="宋体" w:cs="宋体"/>
              </w:rPr>
              <w:t xml:space="preserve">经营劣势 </w:t>
            </w:r>
          </w:p>
        </w:tc>
        <w:tc>
          <w:tcPr>
            <w:tcW w:w="4270" w:type="pct"/>
            <w:shd w:val="clear" w:color="auto" w:fill="auto"/>
            <w:noWrap w:val="0"/>
            <w:vAlign w:val="top"/>
          </w:tcPr>
          <w:p w14:paraId="7A631B97">
            <w:pPr>
              <w:jc w:val="left"/>
              <w:rPr>
                <w:rFonts w:hint="eastAsia" w:ascii="宋体" w:hAnsi="宋体" w:cs="宋体"/>
              </w:rPr>
            </w:pPr>
            <w:r>
              <w:rPr>
                <w:rFonts w:hint="eastAsia" w:ascii="宋体" w:hAnsi="宋体" w:cs="宋体"/>
              </w:rPr>
              <w:t>需要持续地重新谈判或滚动地安排负债</w:t>
            </w:r>
          </w:p>
        </w:tc>
      </w:tr>
    </w:tbl>
    <w:p w14:paraId="709A517E">
      <w:pPr>
        <w:jc w:val="left"/>
        <w:rPr>
          <w:rFonts w:hint="eastAsia" w:ascii="宋体" w:hAnsi="宋体" w:cs="宋体"/>
        </w:rPr>
      </w:pPr>
    </w:p>
    <w:p w14:paraId="42AF976B">
      <w:pPr>
        <w:overflowPunct w:val="0"/>
        <w:jc w:val="center"/>
        <w:rPr>
          <w:rFonts w:hint="eastAsia" w:ascii="宋体" w:hAnsi="宋体" w:cs="宋体"/>
          <w:b/>
        </w:rPr>
      </w:pPr>
      <w:r>
        <w:rPr>
          <w:rFonts w:hint="eastAsia" w:ascii="宋体" w:hAnsi="宋体" w:cs="宋体"/>
          <w:b/>
        </w:rPr>
        <w:t>第八章  成本管理</w:t>
      </w:r>
    </w:p>
    <w:p w14:paraId="6E110B56">
      <w:pPr>
        <w:jc w:val="left"/>
        <w:rPr>
          <w:rFonts w:hint="eastAsia" w:ascii="宋体" w:hAnsi="宋体" w:cs="宋体"/>
        </w:rPr>
      </w:pPr>
      <w:r>
        <w:rPr>
          <w:rFonts w:hint="eastAsia" w:ascii="宋体" w:hAnsi="宋体" w:cs="宋体"/>
          <w:color w:val="FF0000"/>
        </w:rPr>
        <w:t>【考情分析】</w:t>
      </w:r>
      <w:r>
        <w:rPr>
          <w:rFonts w:hint="eastAsia" w:ascii="宋体" w:hAnsi="宋体" w:cs="宋体"/>
        </w:rPr>
        <w:t>预测2024年分数在12分左右，主观题和客观题都会涉及。</w:t>
      </w:r>
    </w:p>
    <w:p w14:paraId="382C5EF2">
      <w:pPr>
        <w:jc w:val="center"/>
        <w:rPr>
          <w:rFonts w:hint="eastAsia" w:ascii="宋体" w:hAnsi="宋体" w:cs="宋体"/>
          <w:b/>
          <w:bCs/>
        </w:rPr>
      </w:pPr>
      <w:r>
        <w:rPr>
          <w:rFonts w:hint="eastAsia" w:ascii="宋体" w:hAnsi="宋体" w:cs="宋体"/>
          <w:b/>
          <w:bCs/>
        </w:rPr>
        <w:t>第二节 本量利分析及应用</w:t>
      </w:r>
    </w:p>
    <w:p w14:paraId="6FE169BF">
      <w:pPr>
        <w:jc w:val="left"/>
        <w:rPr>
          <w:rFonts w:hint="eastAsia" w:ascii="宋体" w:hAnsi="宋体" w:cs="宋体"/>
          <w:color w:val="FF0000"/>
        </w:rPr>
      </w:pPr>
      <w:r>
        <w:rPr>
          <w:rFonts w:hint="eastAsia" w:ascii="宋体" w:hAnsi="宋体" w:cs="宋体"/>
          <w:color w:val="FF0000"/>
        </w:rPr>
        <w:t>【知识点1】本量利分析概述</w:t>
      </w:r>
    </w:p>
    <w:p w14:paraId="2950CE15">
      <w:pPr>
        <w:jc w:val="left"/>
        <w:rPr>
          <w:rFonts w:hint="eastAsia" w:ascii="宋体" w:hAnsi="宋体" w:cs="宋体"/>
        </w:rPr>
      </w:pPr>
      <w:r>
        <w:rPr>
          <w:rFonts w:hint="eastAsia" w:ascii="宋体" w:hAnsi="宋体" w:cs="宋体"/>
        </w:rPr>
        <w:t>“本”是指成本，包括固定成本和变动成本；</w:t>
      </w:r>
    </w:p>
    <w:p w14:paraId="54CAB70E">
      <w:pPr>
        <w:jc w:val="left"/>
        <w:rPr>
          <w:rFonts w:hint="eastAsia" w:ascii="宋体" w:hAnsi="宋体" w:cs="宋体"/>
        </w:rPr>
      </w:pPr>
      <w:r>
        <w:rPr>
          <w:rFonts w:hint="eastAsia" w:ascii="宋体" w:hAnsi="宋体" w:cs="宋体"/>
        </w:rPr>
        <w:t>“量”是指业务量，一般指销售量；</w:t>
      </w:r>
    </w:p>
    <w:p w14:paraId="2C447DEB">
      <w:pPr>
        <w:jc w:val="left"/>
        <w:rPr>
          <w:rFonts w:hint="eastAsia" w:ascii="宋体" w:hAnsi="宋体" w:cs="宋体"/>
        </w:rPr>
      </w:pPr>
      <w:r>
        <w:rPr>
          <w:rFonts w:hint="eastAsia" w:ascii="宋体" w:hAnsi="宋体" w:cs="宋体"/>
        </w:rPr>
        <w:t>“利”一般指息税前利润。</w:t>
      </w:r>
    </w:p>
    <w:p w14:paraId="25A75B08">
      <w:pPr>
        <w:jc w:val="left"/>
        <w:rPr>
          <w:rFonts w:hint="eastAsia" w:ascii="宋体" w:hAnsi="宋体" w:cs="宋体"/>
          <w:color w:val="FF0000"/>
        </w:rPr>
      </w:pPr>
      <w:r>
        <w:rPr>
          <w:rFonts w:hint="eastAsia" w:ascii="宋体" w:hAnsi="宋体" w:cs="宋体"/>
          <w:color w:val="FF0000"/>
        </w:rPr>
        <w:t>利润＝销售量×（单价－单位变动成本）－固定成本</w:t>
      </w:r>
    </w:p>
    <w:p w14:paraId="5B18C0CB">
      <w:pPr>
        <w:jc w:val="left"/>
        <w:rPr>
          <w:rFonts w:hint="eastAsia" w:ascii="宋体" w:hAnsi="宋体" w:cs="宋体"/>
          <w:color w:val="FF0000"/>
        </w:rPr>
      </w:pPr>
      <w:r>
        <w:rPr>
          <w:rFonts w:hint="eastAsia" w:ascii="宋体" w:hAnsi="宋体" w:cs="宋体"/>
          <w:color w:val="FF0000"/>
        </w:rPr>
        <w:t>【知识点2】边际贡献相关公式</w:t>
      </w:r>
    </w:p>
    <w:p w14:paraId="61F71036">
      <w:pPr>
        <w:jc w:val="left"/>
        <w:rPr>
          <w:rFonts w:hint="eastAsia" w:ascii="宋体" w:hAnsi="宋体" w:cs="宋体"/>
        </w:rPr>
      </w:pPr>
      <w:r>
        <w:rPr>
          <w:rFonts w:hint="eastAsia" w:ascii="宋体" w:hAnsi="宋体" w:cs="宋体"/>
        </w:rPr>
        <w:t>边际贡献总额=销售收入-变动成本</w:t>
      </w:r>
    </w:p>
    <w:p w14:paraId="262D5CB9">
      <w:pPr>
        <w:jc w:val="left"/>
        <w:rPr>
          <w:rFonts w:hint="eastAsia" w:ascii="宋体" w:hAnsi="宋体" w:cs="宋体"/>
        </w:rPr>
      </w:pPr>
      <w:r>
        <w:rPr>
          <w:rFonts w:hint="eastAsia" w:ascii="宋体" w:hAnsi="宋体" w:cs="宋体"/>
        </w:rPr>
        <w:t>单位边际贡献=单价-单位变动成本</w:t>
      </w:r>
    </w:p>
    <w:p w14:paraId="59A6D98F">
      <w:pPr>
        <w:jc w:val="left"/>
        <w:rPr>
          <w:rFonts w:hint="eastAsia" w:ascii="宋体" w:hAnsi="宋体" w:cs="宋体"/>
        </w:rPr>
      </w:pPr>
      <w:r>
        <w:rPr>
          <w:rFonts w:hint="eastAsia" w:ascii="宋体" w:hAnsi="宋体" w:cs="宋体"/>
        </w:rPr>
        <w:t>边际贡献率=边际贡献总额/销售收入=单位边际贡献/单价</w:t>
      </w:r>
    </w:p>
    <w:p w14:paraId="10C88116">
      <w:pPr>
        <w:jc w:val="left"/>
        <w:rPr>
          <w:rFonts w:hint="eastAsia" w:ascii="宋体" w:hAnsi="宋体" w:cs="宋体"/>
        </w:rPr>
      </w:pPr>
      <w:r>
        <w:rPr>
          <w:rFonts w:hint="eastAsia" w:ascii="宋体" w:hAnsi="宋体" w:cs="宋体"/>
        </w:rPr>
        <w:t>变动成本率=变动成本总额/销售收入=单位变动成本/单价</w:t>
      </w:r>
    </w:p>
    <w:p w14:paraId="59FB6C7E">
      <w:pPr>
        <w:jc w:val="left"/>
        <w:rPr>
          <w:rFonts w:hint="eastAsia" w:ascii="宋体" w:hAnsi="宋体" w:cs="宋体"/>
        </w:rPr>
      </w:pPr>
      <w:r>
        <w:rPr>
          <w:rFonts w:hint="eastAsia" w:ascii="宋体" w:hAnsi="宋体" w:cs="宋体"/>
        </w:rPr>
        <w:t>边际贡献率+变动成本率=1</w:t>
      </w:r>
    </w:p>
    <w:p w14:paraId="4DE2020E">
      <w:pPr>
        <w:jc w:val="left"/>
        <w:rPr>
          <w:rFonts w:hint="eastAsia" w:ascii="宋体" w:hAnsi="宋体" w:cs="宋体"/>
          <w:color w:val="FF0000"/>
        </w:rPr>
      </w:pPr>
      <w:r>
        <w:rPr>
          <w:rFonts w:hint="eastAsia" w:ascii="宋体" w:hAnsi="宋体" w:cs="宋体"/>
          <w:color w:val="FF0000"/>
        </w:rPr>
        <w:t>【知识点3】单一产品盈亏平衡分析和边际分析</w:t>
      </w:r>
    </w:p>
    <w:p w14:paraId="4FF30CDB">
      <w:pPr>
        <w:jc w:val="left"/>
        <w:rPr>
          <w:rFonts w:hint="eastAsia" w:ascii="宋体" w:hAnsi="宋体" w:cs="宋体"/>
        </w:rPr>
      </w:pPr>
      <w:r>
        <w:rPr>
          <w:rFonts w:hint="eastAsia" w:ascii="宋体" w:hAnsi="宋体" w:cs="宋体"/>
        </w:rPr>
        <w:t>盈亏平衡点（两种表现形式）</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8"/>
        <w:gridCol w:w="5069"/>
      </w:tblGrid>
      <w:tr w14:paraId="5948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noWrap w:val="0"/>
            <w:vAlign w:val="top"/>
          </w:tcPr>
          <w:p w14:paraId="675F709C">
            <w:pPr>
              <w:rPr>
                <w:rFonts w:hint="eastAsia" w:ascii="宋体" w:hAnsi="宋体" w:cs="宋体"/>
              </w:rPr>
            </w:pPr>
            <w:r>
              <w:rPr>
                <w:rFonts w:hint="eastAsia" w:ascii="宋体" w:hAnsi="宋体" w:cs="宋体"/>
              </w:rPr>
              <w:t>盈亏平衡销售量</w:t>
            </w:r>
          </w:p>
        </w:tc>
        <w:tc>
          <w:tcPr>
            <w:tcW w:w="2500" w:type="pct"/>
            <w:shd w:val="clear" w:color="auto" w:fill="auto"/>
            <w:noWrap w:val="0"/>
            <w:vAlign w:val="top"/>
          </w:tcPr>
          <w:p w14:paraId="606637A7">
            <w:pPr>
              <w:rPr>
                <w:rFonts w:hint="eastAsia" w:ascii="宋体" w:hAnsi="宋体" w:cs="宋体"/>
              </w:rPr>
            </w:pPr>
            <w:r>
              <w:rPr>
                <w:rFonts w:hint="eastAsia" w:ascii="宋体" w:hAnsi="宋体" w:cs="宋体"/>
              </w:rPr>
              <w:t>实物量表现，也称保本销售量</w:t>
            </w:r>
          </w:p>
        </w:tc>
      </w:tr>
      <w:tr w14:paraId="5195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noWrap w:val="0"/>
            <w:vAlign w:val="top"/>
          </w:tcPr>
          <w:p w14:paraId="03979160">
            <w:pPr>
              <w:rPr>
                <w:rFonts w:hint="eastAsia" w:ascii="宋体" w:hAnsi="宋体" w:cs="宋体"/>
              </w:rPr>
            </w:pPr>
            <w:r>
              <w:rPr>
                <w:rFonts w:hint="eastAsia" w:ascii="宋体" w:hAnsi="宋体" w:cs="宋体"/>
              </w:rPr>
              <w:t>盈亏平衡销售额</w:t>
            </w:r>
          </w:p>
        </w:tc>
        <w:tc>
          <w:tcPr>
            <w:tcW w:w="2500" w:type="pct"/>
            <w:shd w:val="clear" w:color="auto" w:fill="auto"/>
            <w:noWrap w:val="0"/>
            <w:vAlign w:val="top"/>
          </w:tcPr>
          <w:p w14:paraId="790329EE">
            <w:pPr>
              <w:rPr>
                <w:rFonts w:hint="eastAsia" w:ascii="宋体" w:hAnsi="宋体" w:cs="宋体"/>
              </w:rPr>
            </w:pPr>
            <w:r>
              <w:rPr>
                <w:rFonts w:hint="eastAsia" w:ascii="宋体" w:hAnsi="宋体" w:cs="宋体"/>
              </w:rPr>
              <w:t>货币单位表示，也称保本销售额</w:t>
            </w:r>
          </w:p>
        </w:tc>
      </w:tr>
    </w:tbl>
    <w:p w14:paraId="7F533E2B">
      <w:pPr>
        <w:jc w:val="left"/>
        <w:rPr>
          <w:rFonts w:hint="eastAsia" w:ascii="宋体" w:hAnsi="宋体" w:cs="宋体"/>
        </w:rPr>
      </w:pPr>
      <w:r>
        <w:rPr>
          <w:rFonts w:hint="eastAsia" w:ascii="宋体" w:hAnsi="宋体" w:cs="宋体"/>
          <w:color w:val="FF0000"/>
        </w:rPr>
        <w:t>当利润=0时</w:t>
      </w:r>
      <w:r>
        <w:rPr>
          <w:rFonts w:hint="eastAsia" w:ascii="宋体" w:hAnsi="宋体" w:cs="宋体"/>
        </w:rPr>
        <w:t>，求出的销售量就是盈亏平衡点的业务量，即</w:t>
      </w:r>
    </w:p>
    <w:p w14:paraId="18475BE5">
      <w:pPr>
        <w:jc w:val="left"/>
        <w:rPr>
          <w:rFonts w:hint="eastAsia" w:ascii="宋体" w:hAnsi="宋体" w:cs="宋体"/>
        </w:rPr>
      </w:pPr>
      <w:r>
        <w:rPr>
          <w:rFonts w:hint="eastAsia" w:ascii="宋体" w:hAnsi="宋体" w:cs="宋体"/>
        </w:rPr>
        <w:t>0＝ 销售量×（单价－单位变动成本）－固定成本</w:t>
      </w:r>
    </w:p>
    <w:p w14:paraId="74CC307B">
      <w:pPr>
        <w:jc w:val="left"/>
        <w:rPr>
          <w:rFonts w:hint="eastAsia" w:ascii="宋体" w:hAnsi="宋体" w:cs="宋体"/>
        </w:rPr>
      </w:pPr>
      <w:r>
        <w:rPr>
          <w:rFonts w:hint="eastAsia" w:ascii="宋体" w:hAnsi="宋体" w:cs="宋体"/>
        </w:rPr>
        <w:t>盈亏平衡销售量＝固定成本/（单价-单位变动成本）=固定成本/单位边际贡献</w:t>
      </w:r>
    </w:p>
    <w:p w14:paraId="367337AC">
      <w:pPr>
        <w:jc w:val="left"/>
        <w:rPr>
          <w:rFonts w:hint="eastAsia" w:ascii="宋体" w:hAnsi="宋体" w:cs="宋体"/>
        </w:rPr>
      </w:pPr>
      <w:r>
        <w:rPr>
          <w:rFonts w:hint="eastAsia" w:ascii="宋体" w:hAnsi="宋体" w:cs="宋体"/>
        </w:rPr>
        <w:t>盈亏平衡销售额＝盈亏平衡销售量×单价=固定成本/边际贡献率=固定成本/（1-变动成本率）</w:t>
      </w:r>
    </w:p>
    <w:p w14:paraId="45F69473">
      <w:pPr>
        <w:jc w:val="left"/>
        <w:rPr>
          <w:rFonts w:hint="eastAsia" w:ascii="宋体" w:hAnsi="宋体" w:cs="宋体"/>
        </w:rPr>
      </w:pPr>
      <w:r>
        <w:rPr>
          <w:rFonts w:hint="eastAsia" w:ascii="宋体" w:hAnsi="宋体" w:cs="宋体"/>
        </w:rPr>
        <w:t>【提示】通过盈亏平衡点计算的公式可以看出，降低盈亏平衡点的途径有三个：降低固定成本总额；降低单位变动成本；提高销售单价。</w:t>
      </w:r>
    </w:p>
    <w:p w14:paraId="4E95D1A8">
      <w:pPr>
        <w:jc w:val="left"/>
        <w:rPr>
          <w:rFonts w:hint="eastAsia" w:ascii="宋体" w:hAnsi="宋体" w:cs="宋体"/>
        </w:rPr>
      </w:pPr>
      <w:r>
        <w:rPr>
          <w:rFonts w:hint="eastAsia" w:ascii="宋体" w:hAnsi="宋体" w:cs="宋体"/>
        </w:rPr>
        <w:drawing>
          <wp:inline distT="0" distB="0" distL="114300" distR="114300">
            <wp:extent cx="4679950" cy="525145"/>
            <wp:effectExtent l="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59">
                      <a:lum bright="-38000" contrast="-70001"/>
                    </a:blip>
                    <a:stretch>
                      <a:fillRect/>
                    </a:stretch>
                  </pic:blipFill>
                  <pic:spPr>
                    <a:xfrm>
                      <a:off x="0" y="0"/>
                      <a:ext cx="4679950" cy="525145"/>
                    </a:xfrm>
                    <a:prstGeom prst="rect">
                      <a:avLst/>
                    </a:prstGeom>
                    <a:noFill/>
                    <a:ln>
                      <a:noFill/>
                    </a:ln>
                  </pic:spPr>
                </pic:pic>
              </a:graphicData>
            </a:graphic>
          </wp:inline>
        </w:drawing>
      </w:r>
    </w:p>
    <w:p w14:paraId="7B997AC5">
      <w:pPr>
        <w:jc w:val="left"/>
        <w:rPr>
          <w:rFonts w:hint="eastAsia" w:ascii="宋体" w:hAnsi="宋体" w:cs="宋体"/>
        </w:rPr>
      </w:pPr>
      <w:r>
        <w:rPr>
          <w:rFonts w:hint="eastAsia" w:ascii="宋体" w:hAnsi="宋体" w:cs="宋体"/>
        </w:rPr>
        <w:t>安全边际（量）＝实际销售量或预期销售量－盈亏平衡点的业务量</w:t>
      </w:r>
    </w:p>
    <w:p w14:paraId="446099FF">
      <w:pPr>
        <w:jc w:val="left"/>
        <w:rPr>
          <w:rFonts w:hint="eastAsia" w:ascii="宋体" w:hAnsi="宋体" w:cs="宋体"/>
        </w:rPr>
      </w:pPr>
      <w:r>
        <w:rPr>
          <w:rFonts w:hint="eastAsia" w:ascii="宋体" w:hAnsi="宋体" w:cs="宋体"/>
        </w:rPr>
        <w:t>安全边际额＝实际销售额或预期销售额－盈亏平衡点的销售额=安全边际量*单价</w:t>
      </w:r>
    </w:p>
    <w:p w14:paraId="16CB14DB">
      <w:pPr>
        <w:jc w:val="left"/>
        <w:rPr>
          <w:rFonts w:hint="eastAsia" w:ascii="宋体" w:hAnsi="宋体" w:cs="宋体"/>
        </w:rPr>
      </w:pPr>
      <w:r>
        <w:rPr>
          <w:rFonts w:hint="eastAsia" w:ascii="宋体" w:hAnsi="宋体" w:cs="宋体"/>
        </w:rPr>
        <w:t>安全边际率＝安全边际量/实际或预计销售量 ＝安全边际额/实际或预计销售额</w:t>
      </w:r>
    </w:p>
    <w:p w14:paraId="6859E3DD">
      <w:pPr>
        <w:jc w:val="left"/>
        <w:rPr>
          <w:rFonts w:hint="eastAsia" w:ascii="宋体" w:hAnsi="宋体" w:cs="宋体"/>
        </w:rPr>
      </w:pPr>
      <w:r>
        <w:rPr>
          <w:rFonts w:hint="eastAsia" w:ascii="宋体" w:hAnsi="宋体" w:cs="宋体"/>
          <w:color w:val="FF0000"/>
        </w:rPr>
        <w:t>【总结】</w:t>
      </w:r>
      <w:r>
        <w:rPr>
          <w:rFonts w:hint="eastAsia" w:ascii="宋体" w:hAnsi="宋体" w:cs="宋体"/>
        </w:rPr>
        <w:t>安全边际或安全边际率越大，则该企业的经营风险越小。</w:t>
      </w:r>
    </w:p>
    <w:p w14:paraId="3B063DB0">
      <w:pPr>
        <w:jc w:val="left"/>
        <w:rPr>
          <w:rFonts w:hint="eastAsia" w:ascii="宋体" w:hAnsi="宋体" w:cs="宋体"/>
        </w:rPr>
      </w:pPr>
      <w:r>
        <w:rPr>
          <w:rFonts w:hint="eastAsia" w:ascii="宋体" w:hAnsi="宋体" w:cs="宋体"/>
        </w:rPr>
        <w:t>西方国家企业经营安全程度评价标准</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689"/>
        <w:gridCol w:w="1689"/>
        <w:gridCol w:w="1689"/>
        <w:gridCol w:w="1689"/>
        <w:gridCol w:w="1690"/>
      </w:tblGrid>
      <w:tr w14:paraId="2A41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noWrap w:val="0"/>
            <w:vAlign w:val="top"/>
          </w:tcPr>
          <w:p w14:paraId="584EA4FB">
            <w:pPr>
              <w:jc w:val="left"/>
              <w:rPr>
                <w:rFonts w:hint="eastAsia" w:ascii="宋体" w:hAnsi="宋体" w:cs="宋体"/>
              </w:rPr>
            </w:pPr>
            <w:r>
              <w:rPr>
                <w:rFonts w:hint="eastAsia" w:ascii="宋体" w:hAnsi="宋体" w:cs="宋体"/>
              </w:rPr>
              <w:t>安全边际率</w:t>
            </w:r>
          </w:p>
        </w:tc>
        <w:tc>
          <w:tcPr>
            <w:tcW w:w="833" w:type="pct"/>
            <w:shd w:val="clear" w:color="auto" w:fill="auto"/>
            <w:noWrap w:val="0"/>
            <w:vAlign w:val="top"/>
          </w:tcPr>
          <w:p w14:paraId="0DFA556C">
            <w:pPr>
              <w:jc w:val="left"/>
              <w:rPr>
                <w:rFonts w:hint="eastAsia" w:ascii="宋体" w:hAnsi="宋体" w:cs="宋体"/>
              </w:rPr>
            </w:pPr>
            <w:r>
              <w:rPr>
                <w:rFonts w:hint="eastAsia" w:ascii="宋体" w:hAnsi="宋体" w:cs="宋体"/>
              </w:rPr>
              <w:t>40%以上</w:t>
            </w:r>
          </w:p>
        </w:tc>
        <w:tc>
          <w:tcPr>
            <w:tcW w:w="833" w:type="pct"/>
            <w:shd w:val="clear" w:color="auto" w:fill="auto"/>
            <w:noWrap w:val="0"/>
            <w:vAlign w:val="top"/>
          </w:tcPr>
          <w:p w14:paraId="5459277E">
            <w:pPr>
              <w:jc w:val="left"/>
              <w:rPr>
                <w:rFonts w:hint="eastAsia" w:ascii="宋体" w:hAnsi="宋体" w:cs="宋体"/>
              </w:rPr>
            </w:pPr>
            <w:r>
              <w:rPr>
                <w:rFonts w:hint="eastAsia" w:ascii="宋体" w:hAnsi="宋体" w:cs="宋体"/>
              </w:rPr>
              <w:t xml:space="preserve">30%～40% </w:t>
            </w:r>
          </w:p>
        </w:tc>
        <w:tc>
          <w:tcPr>
            <w:tcW w:w="833" w:type="pct"/>
            <w:shd w:val="clear" w:color="auto" w:fill="auto"/>
            <w:noWrap w:val="0"/>
            <w:vAlign w:val="top"/>
          </w:tcPr>
          <w:p w14:paraId="78F7C413">
            <w:pPr>
              <w:jc w:val="left"/>
              <w:rPr>
                <w:rFonts w:hint="eastAsia" w:ascii="宋体" w:hAnsi="宋体" w:cs="宋体"/>
              </w:rPr>
            </w:pPr>
            <w:r>
              <w:rPr>
                <w:rFonts w:hint="eastAsia" w:ascii="宋体" w:hAnsi="宋体" w:cs="宋体"/>
              </w:rPr>
              <w:t xml:space="preserve">20%～30% </w:t>
            </w:r>
          </w:p>
        </w:tc>
        <w:tc>
          <w:tcPr>
            <w:tcW w:w="833" w:type="pct"/>
            <w:shd w:val="clear" w:color="auto" w:fill="auto"/>
            <w:noWrap w:val="0"/>
            <w:vAlign w:val="top"/>
          </w:tcPr>
          <w:p w14:paraId="5926533C">
            <w:pPr>
              <w:jc w:val="left"/>
              <w:rPr>
                <w:rFonts w:hint="eastAsia" w:ascii="宋体" w:hAnsi="宋体" w:cs="宋体"/>
              </w:rPr>
            </w:pPr>
            <w:r>
              <w:rPr>
                <w:rFonts w:hint="eastAsia" w:ascii="宋体" w:hAnsi="宋体" w:cs="宋体"/>
              </w:rPr>
              <w:t xml:space="preserve">10%～20% </w:t>
            </w:r>
          </w:p>
        </w:tc>
        <w:tc>
          <w:tcPr>
            <w:tcW w:w="833" w:type="pct"/>
            <w:shd w:val="clear" w:color="auto" w:fill="auto"/>
            <w:noWrap w:val="0"/>
            <w:vAlign w:val="top"/>
          </w:tcPr>
          <w:p w14:paraId="2EBA7EF2">
            <w:pPr>
              <w:jc w:val="left"/>
              <w:rPr>
                <w:rFonts w:hint="eastAsia" w:ascii="宋体" w:hAnsi="宋体" w:cs="宋体"/>
              </w:rPr>
            </w:pPr>
            <w:r>
              <w:rPr>
                <w:rFonts w:hint="eastAsia" w:ascii="宋体" w:hAnsi="宋体" w:cs="宋体"/>
              </w:rPr>
              <w:t xml:space="preserve">10%以下 </w:t>
            </w:r>
          </w:p>
        </w:tc>
      </w:tr>
      <w:tr w14:paraId="78E5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noWrap w:val="0"/>
            <w:vAlign w:val="top"/>
          </w:tcPr>
          <w:p w14:paraId="2D4FB0D1">
            <w:pPr>
              <w:jc w:val="left"/>
              <w:rPr>
                <w:rFonts w:hint="eastAsia" w:ascii="宋体" w:hAnsi="宋体" w:cs="宋体"/>
              </w:rPr>
            </w:pPr>
            <w:r>
              <w:rPr>
                <w:rFonts w:hint="eastAsia" w:ascii="宋体" w:hAnsi="宋体" w:cs="宋体"/>
              </w:rPr>
              <w:t>经营安全程度</w:t>
            </w:r>
          </w:p>
        </w:tc>
        <w:tc>
          <w:tcPr>
            <w:tcW w:w="833" w:type="pct"/>
            <w:shd w:val="clear" w:color="auto" w:fill="auto"/>
            <w:noWrap w:val="0"/>
            <w:vAlign w:val="top"/>
          </w:tcPr>
          <w:p w14:paraId="440E5B90">
            <w:pPr>
              <w:jc w:val="left"/>
              <w:rPr>
                <w:rFonts w:hint="eastAsia" w:ascii="宋体" w:hAnsi="宋体" w:cs="宋体"/>
              </w:rPr>
            </w:pPr>
            <w:r>
              <w:rPr>
                <w:rFonts w:hint="eastAsia" w:ascii="宋体" w:hAnsi="宋体" w:cs="宋体"/>
              </w:rPr>
              <w:t>很安全</w:t>
            </w:r>
          </w:p>
        </w:tc>
        <w:tc>
          <w:tcPr>
            <w:tcW w:w="833" w:type="pct"/>
            <w:shd w:val="clear" w:color="auto" w:fill="auto"/>
            <w:noWrap w:val="0"/>
            <w:vAlign w:val="top"/>
          </w:tcPr>
          <w:p w14:paraId="40102B22">
            <w:pPr>
              <w:jc w:val="left"/>
              <w:rPr>
                <w:rFonts w:hint="eastAsia" w:ascii="宋体" w:hAnsi="宋体" w:cs="宋体"/>
              </w:rPr>
            </w:pPr>
            <w:r>
              <w:rPr>
                <w:rFonts w:hint="eastAsia" w:ascii="宋体" w:hAnsi="宋体" w:cs="宋体"/>
              </w:rPr>
              <w:t>安全</w:t>
            </w:r>
          </w:p>
        </w:tc>
        <w:tc>
          <w:tcPr>
            <w:tcW w:w="833" w:type="pct"/>
            <w:shd w:val="clear" w:color="auto" w:fill="auto"/>
            <w:noWrap w:val="0"/>
            <w:vAlign w:val="top"/>
          </w:tcPr>
          <w:p w14:paraId="11A5F2FF">
            <w:pPr>
              <w:jc w:val="left"/>
              <w:rPr>
                <w:rFonts w:hint="eastAsia" w:ascii="宋体" w:hAnsi="宋体" w:cs="宋体"/>
              </w:rPr>
            </w:pPr>
            <w:r>
              <w:rPr>
                <w:rFonts w:hint="eastAsia" w:ascii="宋体" w:hAnsi="宋体" w:cs="宋体"/>
              </w:rPr>
              <w:t>较安全</w:t>
            </w:r>
          </w:p>
        </w:tc>
        <w:tc>
          <w:tcPr>
            <w:tcW w:w="833" w:type="pct"/>
            <w:shd w:val="clear" w:color="auto" w:fill="auto"/>
            <w:noWrap w:val="0"/>
            <w:vAlign w:val="top"/>
          </w:tcPr>
          <w:p w14:paraId="3DACB8F7">
            <w:pPr>
              <w:jc w:val="left"/>
              <w:rPr>
                <w:rFonts w:hint="eastAsia" w:ascii="宋体" w:hAnsi="宋体" w:cs="宋体"/>
              </w:rPr>
            </w:pPr>
            <w:r>
              <w:rPr>
                <w:rFonts w:hint="eastAsia" w:ascii="宋体" w:hAnsi="宋体" w:cs="宋体"/>
              </w:rPr>
              <w:t>值得注意</w:t>
            </w:r>
          </w:p>
        </w:tc>
        <w:tc>
          <w:tcPr>
            <w:tcW w:w="833" w:type="pct"/>
            <w:shd w:val="clear" w:color="auto" w:fill="auto"/>
            <w:noWrap w:val="0"/>
            <w:vAlign w:val="top"/>
          </w:tcPr>
          <w:p w14:paraId="26437651">
            <w:pPr>
              <w:jc w:val="left"/>
              <w:rPr>
                <w:rFonts w:hint="eastAsia" w:ascii="宋体" w:hAnsi="宋体" w:cs="宋体"/>
              </w:rPr>
            </w:pPr>
            <w:r>
              <w:rPr>
                <w:rFonts w:hint="eastAsia" w:ascii="宋体" w:hAnsi="宋体" w:cs="宋体"/>
              </w:rPr>
              <w:t>危险</w:t>
            </w:r>
          </w:p>
        </w:tc>
      </w:tr>
    </w:tbl>
    <w:p w14:paraId="62569713">
      <w:pPr>
        <w:jc w:val="left"/>
        <w:rPr>
          <w:rFonts w:hint="eastAsia" w:ascii="宋体" w:hAnsi="宋体" w:cs="宋体"/>
          <w:color w:val="FF0000"/>
        </w:rPr>
      </w:pPr>
      <w:r>
        <w:rPr>
          <w:rFonts w:hint="eastAsia" w:ascii="宋体" w:hAnsi="宋体" w:cs="宋体"/>
          <w:color w:val="FF0000"/>
        </w:rPr>
        <w:t>盈亏平衡作业率与安全边际率的关系</w:t>
      </w:r>
    </w:p>
    <w:p w14:paraId="563CB5A2">
      <w:pPr>
        <w:jc w:val="left"/>
        <w:rPr>
          <w:rFonts w:hint="eastAsia" w:ascii="宋体" w:hAnsi="宋体" w:cs="宋体"/>
        </w:rPr>
      </w:pPr>
      <w:r>
        <w:rPr>
          <w:rFonts w:hint="eastAsia" w:ascii="宋体" w:hAnsi="宋体" w:cs="宋体"/>
        </w:rPr>
        <w:t>盈亏平衡销售量+安全边际量＝正常销售量</w:t>
      </w:r>
    </w:p>
    <w:p w14:paraId="56CA0D87">
      <w:pPr>
        <w:jc w:val="left"/>
        <w:rPr>
          <w:rFonts w:hint="eastAsia" w:ascii="宋体" w:hAnsi="宋体" w:cs="宋体"/>
        </w:rPr>
      </w:pPr>
      <w:r>
        <w:rPr>
          <w:rFonts w:hint="eastAsia" w:ascii="宋体" w:hAnsi="宋体" w:cs="宋体"/>
        </w:rPr>
        <w:t>盈亏平衡作业率+安全边际率＝1</w:t>
      </w:r>
    </w:p>
    <w:p w14:paraId="33E4C322">
      <w:pPr>
        <w:jc w:val="left"/>
        <w:rPr>
          <w:rFonts w:hint="eastAsia" w:ascii="宋体" w:hAnsi="宋体" w:cs="宋体"/>
        </w:rPr>
      </w:pPr>
      <w:r>
        <w:rPr>
          <w:rFonts w:hint="eastAsia" w:ascii="宋体" w:hAnsi="宋体" w:cs="宋体"/>
        </w:rPr>
        <w:t>利润=边际贡献-固定成本</w:t>
      </w:r>
    </w:p>
    <w:p w14:paraId="029444B9">
      <w:pPr>
        <w:jc w:val="left"/>
        <w:rPr>
          <w:rFonts w:hint="eastAsia" w:ascii="宋体" w:hAnsi="宋体" w:cs="宋体"/>
        </w:rPr>
      </w:pPr>
      <w:r>
        <w:rPr>
          <w:rFonts w:hint="eastAsia" w:ascii="宋体" w:hAnsi="宋体" w:cs="宋体"/>
        </w:rPr>
        <w:t xml:space="preserve">        =销售收入*边际贡献率-盈亏平衡点的销售额*边际贡献率</w:t>
      </w:r>
    </w:p>
    <w:p w14:paraId="145B73EC">
      <w:pPr>
        <w:jc w:val="left"/>
        <w:rPr>
          <w:rFonts w:hint="eastAsia" w:ascii="宋体" w:hAnsi="宋体" w:cs="宋体"/>
        </w:rPr>
      </w:pPr>
      <w:r>
        <w:rPr>
          <w:rFonts w:hint="eastAsia" w:ascii="宋体" w:hAnsi="宋体" w:cs="宋体"/>
        </w:rPr>
        <w:t xml:space="preserve">        =安全边际额*边际贡献率</w:t>
      </w:r>
    </w:p>
    <w:p w14:paraId="07FBDD4D">
      <w:pPr>
        <w:jc w:val="left"/>
        <w:rPr>
          <w:rFonts w:hint="eastAsia" w:ascii="宋体" w:hAnsi="宋体" w:cs="宋体"/>
        </w:rPr>
      </w:pPr>
      <w:r>
        <w:rPr>
          <w:rFonts w:hint="eastAsia" w:ascii="宋体" w:hAnsi="宋体" w:cs="宋体"/>
        </w:rPr>
        <w:t>销售利润率=安全边际率*边际贡献率</w:t>
      </w:r>
    </w:p>
    <w:p w14:paraId="44734EB3">
      <w:pPr>
        <w:jc w:val="left"/>
        <w:rPr>
          <w:rFonts w:hint="eastAsia" w:ascii="宋体" w:hAnsi="宋体" w:cs="宋体"/>
        </w:rPr>
      </w:pPr>
      <w:r>
        <w:rPr>
          <w:rFonts w:hint="eastAsia" w:ascii="宋体" w:hAnsi="宋体" w:cs="宋体"/>
          <w:color w:val="FF0000"/>
        </w:rPr>
        <w:t>【提示】</w:t>
      </w:r>
      <w:r>
        <w:rPr>
          <w:rFonts w:hint="eastAsia" w:ascii="宋体" w:hAnsi="宋体" w:cs="宋体"/>
        </w:rPr>
        <w:t>提高销售利润率的途径：一是扩大现有销售水平，提高安全边际率；二是降低变动成本水平，提高边际贡献率。</w:t>
      </w:r>
    </w:p>
    <w:p w14:paraId="2695D2E8">
      <w:pPr>
        <w:jc w:val="left"/>
        <w:rPr>
          <w:rFonts w:hint="eastAsia" w:ascii="宋体" w:hAnsi="宋体" w:cs="宋体"/>
          <w:color w:val="FF0000"/>
        </w:rPr>
      </w:pPr>
      <w:r>
        <w:rPr>
          <w:rFonts w:hint="eastAsia" w:ascii="宋体" w:hAnsi="宋体" w:cs="宋体"/>
          <w:color w:val="FF0000"/>
        </w:rPr>
        <w:t>【知识点4】产品组合盈亏平衡点分析</w:t>
      </w:r>
    </w:p>
    <w:p w14:paraId="52A86840">
      <w:pPr>
        <w:jc w:val="left"/>
        <w:rPr>
          <w:rFonts w:hint="eastAsia" w:ascii="宋体" w:hAnsi="宋体" w:cs="宋体"/>
        </w:rPr>
      </w:pPr>
      <w:r>
        <w:rPr>
          <w:rFonts w:hint="eastAsia" w:ascii="宋体" w:hAnsi="宋体" w:cs="宋体"/>
        </w:rPr>
        <w:t>进行多种产品盈亏平衡分析的方法包括加权平均法、联合单位法、分算法、主要产品法等。</w:t>
      </w:r>
    </w:p>
    <w:p w14:paraId="732927F5">
      <w:pPr>
        <w:jc w:val="left"/>
        <w:rPr>
          <w:rFonts w:hint="eastAsia" w:ascii="宋体" w:hAnsi="宋体" w:cs="宋体"/>
          <w:color w:val="FF0000"/>
        </w:rPr>
      </w:pPr>
      <w:r>
        <w:rPr>
          <w:rFonts w:hint="eastAsia" w:ascii="宋体" w:hAnsi="宋体" w:cs="宋体"/>
          <w:color w:val="FF0000"/>
        </w:rPr>
        <w:t>1.加权平均法</w:t>
      </w:r>
    </w:p>
    <w:p w14:paraId="5C679104">
      <w:pPr>
        <w:jc w:val="left"/>
        <w:rPr>
          <w:rFonts w:hint="eastAsia" w:ascii="宋体" w:hAnsi="宋体" w:cs="宋体"/>
        </w:rPr>
      </w:pPr>
      <w:r>
        <w:rPr>
          <w:rFonts w:hint="eastAsia" w:ascii="宋体" w:hAnsi="宋体" w:cs="宋体"/>
        </w:rPr>
        <w:t>计算步骤：</w:t>
      </w:r>
    </w:p>
    <w:p w14:paraId="070BAE8A">
      <w:pPr>
        <w:jc w:val="left"/>
        <w:rPr>
          <w:rFonts w:hint="eastAsia" w:ascii="宋体" w:hAnsi="宋体" w:cs="宋体"/>
        </w:rPr>
      </w:pPr>
      <w:r>
        <w:rPr>
          <w:rFonts w:hint="eastAsia" w:ascii="宋体" w:hAnsi="宋体" w:cs="宋体"/>
        </w:rPr>
        <w:t>（1）计算加权平均际贡献率；</w:t>
      </w:r>
    </w:p>
    <w:p w14:paraId="5ECB0AB5">
      <w:pPr>
        <w:jc w:val="left"/>
        <w:rPr>
          <w:rFonts w:hint="eastAsia" w:ascii="宋体" w:hAnsi="宋体" w:cs="宋体"/>
        </w:rPr>
      </w:pPr>
      <w:r>
        <w:rPr>
          <w:rFonts w:hint="eastAsia" w:ascii="宋体" w:hAnsi="宋体" w:cs="宋体"/>
        </w:rPr>
        <w:t>（2）综合盈亏平衡点销售额</w:t>
      </w:r>
    </w:p>
    <w:p w14:paraId="0849FB13">
      <w:pPr>
        <w:jc w:val="left"/>
        <w:rPr>
          <w:rFonts w:hint="eastAsia" w:ascii="宋体" w:hAnsi="宋体" w:cs="宋体"/>
        </w:rPr>
      </w:pPr>
      <w:r>
        <w:rPr>
          <w:rFonts w:hint="eastAsia" w:ascii="宋体" w:hAnsi="宋体" w:cs="宋体"/>
        </w:rPr>
        <w:t>（3）分别计算各产品盈亏平衡点销售额和销售量。</w:t>
      </w:r>
    </w:p>
    <w:p w14:paraId="5ED8BA06">
      <w:pPr>
        <w:jc w:val="left"/>
        <w:rPr>
          <w:rFonts w:hint="eastAsia" w:ascii="宋体" w:hAnsi="宋体" w:cs="宋体"/>
          <w:color w:val="FF0000"/>
        </w:rPr>
      </w:pPr>
      <w:r>
        <w:rPr>
          <w:rFonts w:hint="eastAsia" w:ascii="宋体" w:hAnsi="宋体" w:cs="宋体"/>
          <w:color w:val="FF0000"/>
        </w:rPr>
        <w:t>2.联合单位法</w:t>
      </w:r>
    </w:p>
    <w:p w14:paraId="572F1D26">
      <w:pPr>
        <w:jc w:val="left"/>
        <w:rPr>
          <w:rFonts w:hint="eastAsia" w:ascii="宋体" w:hAnsi="宋体" w:cs="宋体"/>
        </w:rPr>
      </w:pPr>
      <w:r>
        <w:rPr>
          <w:rFonts w:hint="eastAsia" w:ascii="宋体" w:hAnsi="宋体" w:cs="宋体"/>
        </w:rPr>
        <w:t>计算步骤：</w:t>
      </w:r>
    </w:p>
    <w:p w14:paraId="20B4FBD7">
      <w:pPr>
        <w:jc w:val="left"/>
        <w:rPr>
          <w:rFonts w:hint="eastAsia" w:ascii="宋体" w:hAnsi="宋体" w:cs="宋体"/>
        </w:rPr>
      </w:pPr>
      <w:r>
        <w:rPr>
          <w:rFonts w:hint="eastAsia" w:ascii="宋体" w:hAnsi="宋体" w:cs="宋体"/>
        </w:rPr>
        <w:t>（1）组建联合单位，确定相关的联合单位单价和单位变动成本；</w:t>
      </w:r>
    </w:p>
    <w:p w14:paraId="720F9474">
      <w:pPr>
        <w:jc w:val="left"/>
        <w:rPr>
          <w:rFonts w:hint="eastAsia" w:ascii="宋体" w:hAnsi="宋体" w:cs="宋体"/>
        </w:rPr>
      </w:pPr>
      <w:r>
        <w:rPr>
          <w:rFonts w:hint="eastAsia" w:ascii="宋体" w:hAnsi="宋体" w:cs="宋体"/>
        </w:rPr>
        <w:t>（2）计算盈亏平衡点联合单位数量</w:t>
      </w:r>
    </w:p>
    <w:p w14:paraId="04C87FE0">
      <w:pPr>
        <w:jc w:val="left"/>
        <w:rPr>
          <w:rFonts w:hint="eastAsia" w:ascii="宋体" w:hAnsi="宋体" w:cs="宋体"/>
        </w:rPr>
      </w:pPr>
      <w:r>
        <w:rPr>
          <w:rFonts w:hint="eastAsia" w:ascii="宋体" w:hAnsi="宋体" w:cs="宋体"/>
        </w:rPr>
        <w:t>（3）分解联合单位，求出个产品盈亏平衡点的销售量和销售额。</w:t>
      </w:r>
    </w:p>
    <w:p w14:paraId="33A511FE">
      <w:pPr>
        <w:jc w:val="left"/>
        <w:rPr>
          <w:rFonts w:hint="eastAsia" w:ascii="宋体" w:hAnsi="宋体" w:cs="宋体"/>
          <w:color w:val="FF0000"/>
        </w:rPr>
      </w:pPr>
      <w:r>
        <w:rPr>
          <w:rFonts w:hint="eastAsia" w:ascii="宋体" w:hAnsi="宋体" w:cs="宋体"/>
          <w:color w:val="FF0000"/>
        </w:rPr>
        <w:t>3.分算法</w:t>
      </w:r>
    </w:p>
    <w:p w14:paraId="7C740B84">
      <w:pPr>
        <w:jc w:val="left"/>
        <w:rPr>
          <w:rFonts w:hint="eastAsia" w:ascii="宋体" w:hAnsi="宋体" w:cs="宋体"/>
        </w:rPr>
      </w:pPr>
      <w:r>
        <w:rPr>
          <w:rFonts w:hint="eastAsia" w:ascii="宋体" w:hAnsi="宋体" w:cs="宋体"/>
        </w:rPr>
        <w:t>计算步骤：</w:t>
      </w:r>
    </w:p>
    <w:p w14:paraId="1ADF56C1">
      <w:pPr>
        <w:jc w:val="left"/>
        <w:rPr>
          <w:rFonts w:hint="eastAsia" w:ascii="宋体" w:hAnsi="宋体" w:cs="宋体"/>
        </w:rPr>
      </w:pPr>
      <w:r>
        <w:rPr>
          <w:rFonts w:hint="eastAsia" w:ascii="宋体" w:hAnsi="宋体" w:cs="宋体"/>
        </w:rPr>
        <w:t>（1）按照边际贡献比重分配固定成本；</w:t>
      </w:r>
    </w:p>
    <w:p w14:paraId="57F388E3">
      <w:pPr>
        <w:jc w:val="left"/>
        <w:rPr>
          <w:rFonts w:hint="eastAsia" w:ascii="宋体" w:hAnsi="宋体" w:cs="宋体"/>
        </w:rPr>
      </w:pPr>
      <w:r>
        <w:rPr>
          <w:rFonts w:hint="eastAsia" w:ascii="宋体" w:hAnsi="宋体" w:cs="宋体"/>
        </w:rPr>
        <w:t>（2）计算各产品盈亏平衡点的销售量和销售额</w:t>
      </w:r>
    </w:p>
    <w:p w14:paraId="07F49BE4">
      <w:pPr>
        <w:jc w:val="left"/>
        <w:rPr>
          <w:rFonts w:hint="eastAsia" w:ascii="宋体" w:hAnsi="宋体" w:cs="宋体"/>
          <w:color w:val="FF0000"/>
        </w:rPr>
      </w:pPr>
      <w:r>
        <w:rPr>
          <w:rFonts w:hint="eastAsia" w:ascii="宋体" w:hAnsi="宋体" w:cs="宋体"/>
          <w:color w:val="FF0000"/>
        </w:rPr>
        <w:t>4.主要产品法</w:t>
      </w:r>
    </w:p>
    <w:p w14:paraId="300C984E">
      <w:pPr>
        <w:jc w:val="left"/>
        <w:rPr>
          <w:rFonts w:hint="eastAsia" w:ascii="宋体" w:hAnsi="宋体" w:cs="宋体"/>
        </w:rPr>
      </w:pPr>
      <w:r>
        <w:rPr>
          <w:rFonts w:hint="eastAsia" w:ascii="宋体" w:hAnsi="宋体" w:cs="宋体"/>
        </w:rPr>
        <w:t>确定主要产品应以边际贡献为标志，并只能选择一种主要产品，视同于单一品种。</w:t>
      </w:r>
    </w:p>
    <w:p w14:paraId="76C4A4AB">
      <w:pPr>
        <w:jc w:val="left"/>
        <w:rPr>
          <w:rFonts w:hint="eastAsia" w:ascii="宋体" w:hAnsi="宋体" w:cs="宋体"/>
          <w:color w:val="FF0000"/>
        </w:rPr>
      </w:pPr>
      <w:r>
        <w:rPr>
          <w:rFonts w:hint="eastAsia" w:ascii="宋体" w:hAnsi="宋体" w:cs="宋体"/>
          <w:color w:val="FF0000"/>
        </w:rPr>
        <w:t>【知识点5】目标利润分析</w:t>
      </w:r>
    </w:p>
    <w:p w14:paraId="7F5EA2EF">
      <w:pPr>
        <w:jc w:val="left"/>
        <w:rPr>
          <w:rFonts w:hint="eastAsia" w:ascii="宋体" w:hAnsi="宋体" w:cs="宋体"/>
          <w:color w:val="FF0000"/>
        </w:rPr>
      </w:pPr>
      <w:r>
        <w:rPr>
          <w:rFonts w:hint="eastAsia" w:ascii="宋体" w:hAnsi="宋体" w:cs="宋体"/>
          <w:color w:val="FF0000"/>
        </w:rPr>
        <w:t>（一）目标利润分析基本原理</w:t>
      </w:r>
    </w:p>
    <w:p w14:paraId="4F61BC07">
      <w:pPr>
        <w:jc w:val="left"/>
        <w:rPr>
          <w:rFonts w:hint="eastAsia" w:ascii="宋体" w:hAnsi="宋体" w:cs="宋体"/>
        </w:rPr>
      </w:pPr>
      <w:r>
        <w:rPr>
          <w:rFonts w:hint="eastAsia" w:ascii="宋体" w:hAnsi="宋体" w:cs="宋体"/>
        </w:rPr>
        <w:t>目标利润＝销售量×（单价－单位变动成本）－固定成本</w:t>
      </w:r>
    </w:p>
    <w:p w14:paraId="01B22D7F">
      <w:pPr>
        <w:jc w:val="left"/>
        <w:rPr>
          <w:rFonts w:hint="eastAsia" w:ascii="宋体" w:hAnsi="宋体" w:cs="宋体"/>
        </w:rPr>
      </w:pPr>
      <w:r>
        <w:rPr>
          <w:rFonts w:hint="eastAsia" w:ascii="宋体" w:hAnsi="宋体" w:cs="宋体"/>
        </w:rPr>
        <w:drawing>
          <wp:inline distT="0" distB="0" distL="114300" distR="114300">
            <wp:extent cx="3103880" cy="1263650"/>
            <wp:effectExtent l="0" t="0" r="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60">
                      <a:clrChange>
                        <a:clrFrom>
                          <a:srgbClr val="4874CB"/>
                        </a:clrFrom>
                        <a:clrTo>
                          <a:srgbClr val="4874CB">
                            <a:alpha val="0"/>
                          </a:srgbClr>
                        </a:clrTo>
                      </a:clrChange>
                      <a:lum bright="-35999"/>
                    </a:blip>
                    <a:stretch>
                      <a:fillRect/>
                    </a:stretch>
                  </pic:blipFill>
                  <pic:spPr>
                    <a:xfrm>
                      <a:off x="0" y="0"/>
                      <a:ext cx="3103880" cy="1263650"/>
                    </a:xfrm>
                    <a:prstGeom prst="rect">
                      <a:avLst/>
                    </a:prstGeom>
                    <a:noFill/>
                    <a:ln>
                      <a:noFill/>
                    </a:ln>
                  </pic:spPr>
                </pic:pic>
              </a:graphicData>
            </a:graphic>
          </wp:inline>
        </w:drawing>
      </w:r>
    </w:p>
    <w:p w14:paraId="726AFFF4">
      <w:pPr>
        <w:jc w:val="left"/>
        <w:rPr>
          <w:rFonts w:hint="eastAsia" w:ascii="宋体" w:hAnsi="宋体" w:cs="宋体"/>
          <w:color w:val="FF0000"/>
        </w:rPr>
      </w:pPr>
      <w:r>
        <w:rPr>
          <w:rFonts w:hint="eastAsia" w:ascii="宋体" w:hAnsi="宋体" w:cs="宋体"/>
          <w:color w:val="FF0000"/>
        </w:rPr>
        <w:t>（二）实现目标利润的措施</w:t>
      </w:r>
    </w:p>
    <w:p w14:paraId="615D1B69">
      <w:pPr>
        <w:jc w:val="left"/>
        <w:rPr>
          <w:rFonts w:hint="eastAsia" w:ascii="宋体" w:hAnsi="宋体" w:cs="宋体"/>
        </w:rPr>
      </w:pPr>
      <w:r>
        <w:rPr>
          <w:rFonts w:hint="eastAsia" w:ascii="宋体" w:hAnsi="宋体" w:cs="宋体"/>
        </w:rPr>
        <w:t>目标利润＝（单价－单位变动成本）×销售量－固定成本</w:t>
      </w:r>
    </w:p>
    <w:p w14:paraId="3786F6B4">
      <w:pPr>
        <w:jc w:val="left"/>
        <w:rPr>
          <w:rFonts w:hint="eastAsia" w:ascii="宋体" w:hAnsi="宋体" w:cs="宋体"/>
        </w:rPr>
      </w:pPr>
      <w:r>
        <w:rPr>
          <w:rFonts w:hint="eastAsia" w:ascii="宋体" w:hAnsi="宋体" w:cs="宋体"/>
        </w:rPr>
        <w:t>通常情况下企业要实现目标利润，在其他因素不变时，销售数量或销售价格应当提高，而固定成本或单位变动成本则应下降。</w:t>
      </w:r>
    </w:p>
    <w:p w14:paraId="40F7A2B5">
      <w:pPr>
        <w:jc w:val="left"/>
        <w:rPr>
          <w:rFonts w:hint="eastAsia" w:ascii="宋体" w:hAnsi="宋体" w:cs="宋体"/>
          <w:color w:val="FF0000"/>
        </w:rPr>
      </w:pPr>
      <w:r>
        <w:rPr>
          <w:rFonts w:hint="eastAsia" w:ascii="宋体" w:hAnsi="宋体" w:cs="宋体"/>
          <w:color w:val="FF0000"/>
        </w:rPr>
        <w:t>【知识点6】敏感性分析</w:t>
      </w:r>
    </w:p>
    <w:p w14:paraId="698BDC84">
      <w:pPr>
        <w:jc w:val="left"/>
        <w:rPr>
          <w:rFonts w:hint="eastAsia" w:ascii="宋体" w:hAnsi="宋体" w:cs="宋体"/>
        </w:rPr>
      </w:pPr>
      <w:r>
        <w:rPr>
          <w:rFonts w:hint="eastAsia" w:ascii="宋体" w:hAnsi="宋体" w:cs="宋体"/>
        </w:rPr>
        <w:t>假设其中一个变量发生变化，其余变量保持不变，此时的利润变化与该因素变化的比为敏感系数，公式如下：</w:t>
      </w:r>
    </w:p>
    <w:p w14:paraId="6B9B2996">
      <w:pPr>
        <w:jc w:val="left"/>
        <w:rPr>
          <w:rFonts w:hint="eastAsia" w:ascii="宋体" w:hAnsi="宋体" w:cs="宋体"/>
        </w:rPr>
      </w:pPr>
      <w:r>
        <w:rPr>
          <w:rFonts w:hint="eastAsia" w:ascii="宋体" w:hAnsi="宋体" w:cs="宋体"/>
        </w:rPr>
        <w:drawing>
          <wp:inline distT="0" distB="0" distL="114300" distR="114300">
            <wp:extent cx="2851150" cy="671195"/>
            <wp:effectExtent l="0" t="0" r="0" b="0"/>
            <wp:docPr id="27" name="图片 6" descr="1584924627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1584924627551-0"/>
                    <pic:cNvPicPr>
                      <a:picLocks noChangeAspect="1"/>
                    </pic:cNvPicPr>
                  </pic:nvPicPr>
                  <pic:blipFill>
                    <a:blip r:embed="rId61">
                      <a:lum bright="-38000" contrast="-70001"/>
                    </a:blip>
                    <a:stretch>
                      <a:fillRect/>
                    </a:stretch>
                  </pic:blipFill>
                  <pic:spPr>
                    <a:xfrm>
                      <a:off x="0" y="0"/>
                      <a:ext cx="2851150" cy="671195"/>
                    </a:xfrm>
                    <a:prstGeom prst="rect">
                      <a:avLst/>
                    </a:prstGeom>
                    <a:noFill/>
                    <a:ln>
                      <a:noFill/>
                    </a:ln>
                  </pic:spPr>
                </pic:pic>
              </a:graphicData>
            </a:graphic>
          </wp:inline>
        </w:drawing>
      </w:r>
    </w:p>
    <w:p w14:paraId="237F1D6A">
      <w:pPr>
        <w:jc w:val="left"/>
        <w:rPr>
          <w:rFonts w:hint="eastAsia" w:ascii="宋体" w:hAnsi="宋体" w:cs="宋体"/>
        </w:rPr>
      </w:pPr>
      <w:r>
        <w:rPr>
          <w:rFonts w:hint="eastAsia" w:ascii="宋体" w:hAnsi="宋体" w:cs="宋体"/>
          <w:color w:val="FF0000"/>
        </w:rPr>
        <w:t>【提示1】</w:t>
      </w:r>
      <w:r>
        <w:rPr>
          <w:rFonts w:hint="eastAsia" w:ascii="宋体" w:hAnsi="宋体" w:cs="宋体"/>
        </w:rPr>
        <w:t>敏感系数为负，表明该因素的变动与利润的变动为反向关系；若敏感系数为正，该因素的变动与利润的变动为正向关系。</w:t>
      </w:r>
    </w:p>
    <w:p w14:paraId="028C86BA">
      <w:pPr>
        <w:jc w:val="left"/>
        <w:rPr>
          <w:rFonts w:hint="eastAsia" w:ascii="宋体" w:hAnsi="宋体" w:cs="宋体"/>
        </w:rPr>
      </w:pPr>
      <w:r>
        <w:rPr>
          <w:rFonts w:hint="eastAsia" w:ascii="宋体" w:hAnsi="宋体" w:cs="宋体"/>
          <w:color w:val="FF0000"/>
        </w:rPr>
        <w:t>【提示2】</w:t>
      </w:r>
      <w:r>
        <w:rPr>
          <w:rFonts w:hint="eastAsia" w:ascii="宋体" w:hAnsi="宋体" w:cs="宋体"/>
        </w:rPr>
        <w:t>判断敏感性因素的依据是敏感系数的绝对值，绝对值越大，分析指标对该因素越敏感。</w:t>
      </w:r>
    </w:p>
    <w:p w14:paraId="626ABD4C">
      <w:pPr>
        <w:jc w:val="left"/>
        <w:rPr>
          <w:rFonts w:hint="eastAsia" w:ascii="宋体" w:hAnsi="宋体" w:cs="宋体"/>
        </w:rPr>
      </w:pPr>
    </w:p>
    <w:p w14:paraId="5495B416">
      <w:pPr>
        <w:jc w:val="center"/>
        <w:rPr>
          <w:rFonts w:hint="eastAsia" w:ascii="宋体" w:hAnsi="宋体" w:cs="宋体"/>
          <w:b/>
          <w:bCs/>
        </w:rPr>
      </w:pPr>
      <w:r>
        <w:rPr>
          <w:rFonts w:hint="eastAsia" w:ascii="宋体" w:hAnsi="宋体" w:cs="宋体"/>
          <w:b/>
          <w:bCs/>
        </w:rPr>
        <w:t>第三节 标准成本控制与分析</w:t>
      </w:r>
    </w:p>
    <w:p w14:paraId="2BD589FD">
      <w:pPr>
        <w:jc w:val="left"/>
        <w:rPr>
          <w:rFonts w:hint="eastAsia" w:ascii="宋体" w:hAnsi="宋体" w:cs="宋体"/>
        </w:rPr>
      </w:pPr>
      <w:r>
        <w:rPr>
          <w:rFonts w:hint="eastAsia" w:ascii="宋体" w:hAnsi="宋体" w:cs="宋体"/>
          <w:color w:val="FF0000"/>
        </w:rPr>
        <w:t>【知识点1】理想和正常标准成本</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8266"/>
      </w:tblGrid>
      <w:tr w14:paraId="06CD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shd w:val="clear" w:color="auto" w:fill="auto"/>
            <w:noWrap w:val="0"/>
            <w:vAlign w:val="top"/>
          </w:tcPr>
          <w:p w14:paraId="363DD3B9">
            <w:pPr>
              <w:rPr>
                <w:rFonts w:hint="eastAsia" w:ascii="宋体" w:hAnsi="宋体" w:cs="宋体"/>
              </w:rPr>
            </w:pPr>
            <w:r>
              <w:rPr>
                <w:rFonts w:hint="eastAsia" w:ascii="宋体" w:hAnsi="宋体" w:cs="宋体"/>
              </w:rPr>
              <w:t>理想标准成本</w:t>
            </w:r>
          </w:p>
        </w:tc>
        <w:tc>
          <w:tcPr>
            <w:tcW w:w="4077" w:type="pct"/>
            <w:shd w:val="clear" w:color="auto" w:fill="auto"/>
            <w:noWrap w:val="0"/>
            <w:vAlign w:val="top"/>
          </w:tcPr>
          <w:p w14:paraId="638A5B66">
            <w:pPr>
              <w:rPr>
                <w:rFonts w:hint="eastAsia" w:ascii="宋体" w:hAnsi="宋体" w:cs="宋体"/>
              </w:rPr>
            </w:pPr>
            <w:r>
              <w:rPr>
                <w:rFonts w:hint="eastAsia" w:ascii="宋体" w:hAnsi="宋体" w:cs="宋体"/>
              </w:rPr>
              <w:t>在现有条件下所能达到的最优成本水平，即在生产过程无浪费、机器无故障、人员无闲置、产品无废品的假设条件下制定的成本标准。</w:t>
            </w:r>
          </w:p>
        </w:tc>
      </w:tr>
      <w:tr w14:paraId="4545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shd w:val="clear" w:color="auto" w:fill="auto"/>
            <w:noWrap w:val="0"/>
            <w:vAlign w:val="top"/>
          </w:tcPr>
          <w:p w14:paraId="417E02CD">
            <w:pPr>
              <w:rPr>
                <w:rFonts w:hint="eastAsia" w:ascii="宋体" w:hAnsi="宋体" w:cs="宋体"/>
              </w:rPr>
            </w:pPr>
            <w:r>
              <w:rPr>
                <w:rFonts w:hint="eastAsia" w:ascii="宋体" w:hAnsi="宋体" w:cs="宋体"/>
              </w:rPr>
              <w:t>正常标准成本</w:t>
            </w:r>
          </w:p>
        </w:tc>
        <w:tc>
          <w:tcPr>
            <w:tcW w:w="4077" w:type="pct"/>
            <w:shd w:val="clear" w:color="auto" w:fill="auto"/>
            <w:noWrap w:val="0"/>
            <w:vAlign w:val="top"/>
          </w:tcPr>
          <w:p w14:paraId="62124413">
            <w:pPr>
              <w:rPr>
                <w:rFonts w:hint="eastAsia" w:ascii="宋体" w:hAnsi="宋体" w:cs="宋体"/>
              </w:rPr>
            </w:pPr>
            <w:r>
              <w:rPr>
                <w:rFonts w:hint="eastAsia" w:ascii="宋体" w:hAnsi="宋体" w:cs="宋体"/>
              </w:rPr>
              <w:t>在正常情况下，企业经过努力可以达到的成本标准，这一标准考虑了生产过程中不可避免的损失、故障和偏差等。</w:t>
            </w:r>
          </w:p>
        </w:tc>
      </w:tr>
    </w:tbl>
    <w:p w14:paraId="315D6BE0">
      <w:pPr>
        <w:jc w:val="left"/>
        <w:rPr>
          <w:rFonts w:hint="eastAsia" w:ascii="宋体" w:hAnsi="宋体" w:cs="宋体"/>
        </w:rPr>
      </w:pPr>
      <w:r>
        <w:rPr>
          <w:rFonts w:hint="eastAsia" w:ascii="宋体" w:hAnsi="宋体" w:cs="宋体"/>
          <w:color w:val="FF0000"/>
        </w:rPr>
        <w:t>【提示1】</w:t>
      </w:r>
      <w:r>
        <w:rPr>
          <w:rFonts w:hint="eastAsia" w:ascii="宋体" w:hAnsi="宋体" w:cs="宋体"/>
        </w:rPr>
        <w:t>通常来说，理想标准成本小于正常标准成本；正常标准成本具有客观性、现实性和激励性等特点，在实践中得到广泛应用。</w:t>
      </w:r>
    </w:p>
    <w:p w14:paraId="4A4F0F05">
      <w:pPr>
        <w:jc w:val="left"/>
        <w:rPr>
          <w:rFonts w:hint="eastAsia" w:ascii="宋体" w:hAnsi="宋体" w:cs="宋体"/>
        </w:rPr>
      </w:pPr>
      <w:r>
        <w:rPr>
          <w:rFonts w:hint="eastAsia" w:ascii="宋体" w:hAnsi="宋体" w:cs="宋体"/>
          <w:color w:val="FF0000"/>
        </w:rPr>
        <w:t>【提示2】</w:t>
      </w:r>
      <w:r>
        <w:rPr>
          <w:rFonts w:hint="eastAsia" w:ascii="宋体" w:hAnsi="宋体" w:cs="宋体"/>
        </w:rPr>
        <w:t>企业应用标准成本法的主要目的，是通过标准成本与实际成本的比较，揭示与分析标准成本与实际成本之间的差异，对不利差异予以纠正，以提高工作效率，不断改善产品成本。</w:t>
      </w:r>
    </w:p>
    <w:p w14:paraId="27796CE8">
      <w:pPr>
        <w:jc w:val="left"/>
        <w:rPr>
          <w:rFonts w:hint="eastAsia" w:ascii="宋体" w:hAnsi="宋体" w:cs="宋体"/>
        </w:rPr>
      </w:pPr>
    </w:p>
    <w:p w14:paraId="19D496CE">
      <w:pPr>
        <w:jc w:val="left"/>
        <w:rPr>
          <w:rFonts w:hint="eastAsia" w:ascii="宋体" w:hAnsi="宋体" w:cs="宋体"/>
          <w:color w:val="FF0000"/>
        </w:rPr>
      </w:pPr>
      <w:r>
        <w:rPr>
          <w:rFonts w:hint="eastAsia" w:ascii="宋体" w:hAnsi="宋体" w:cs="宋体"/>
          <w:color w:val="FF0000"/>
        </w:rPr>
        <w:t>【知识点2】标准成本制定</w:t>
      </w:r>
    </w:p>
    <w:tbl>
      <w:tblPr>
        <w:tblStyle w:val="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1141"/>
        <w:gridCol w:w="5616"/>
      </w:tblGrid>
      <w:tr w14:paraId="7F9E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shd w:val="clear" w:color="auto" w:fill="auto"/>
            <w:noWrap w:val="0"/>
            <w:vAlign w:val="top"/>
          </w:tcPr>
          <w:p w14:paraId="0D4CAC7E">
            <w:pPr>
              <w:jc w:val="left"/>
              <w:rPr>
                <w:rFonts w:hint="eastAsia" w:ascii="宋体" w:hAnsi="宋体" w:cs="宋体"/>
              </w:rPr>
            </w:pPr>
            <w:r>
              <w:rPr>
                <w:rFonts w:hint="eastAsia" w:ascii="宋体" w:hAnsi="宋体" w:cs="宋体"/>
              </w:rPr>
              <w:t>每一成本项目的标准成本</w:t>
            </w:r>
          </w:p>
        </w:tc>
        <w:tc>
          <w:tcPr>
            <w:tcW w:w="563" w:type="pct"/>
            <w:shd w:val="clear" w:color="auto" w:fill="auto"/>
            <w:noWrap w:val="0"/>
            <w:vAlign w:val="top"/>
          </w:tcPr>
          <w:p w14:paraId="30B6A708">
            <w:pPr>
              <w:rPr>
                <w:rFonts w:hint="eastAsia" w:ascii="宋体" w:hAnsi="宋体" w:cs="宋体"/>
              </w:rPr>
            </w:pPr>
            <w:r>
              <w:rPr>
                <w:rFonts w:hint="eastAsia" w:ascii="宋体" w:hAnsi="宋体" w:cs="宋体"/>
              </w:rPr>
              <w:t>用量标准</w:t>
            </w:r>
          </w:p>
        </w:tc>
        <w:tc>
          <w:tcPr>
            <w:tcW w:w="2770" w:type="pct"/>
            <w:shd w:val="clear" w:color="auto" w:fill="auto"/>
            <w:noWrap w:val="0"/>
            <w:vAlign w:val="top"/>
          </w:tcPr>
          <w:p w14:paraId="572AD854">
            <w:pPr>
              <w:rPr>
                <w:rFonts w:hint="eastAsia" w:ascii="宋体" w:hAnsi="宋体" w:cs="宋体"/>
              </w:rPr>
            </w:pPr>
            <w:r>
              <w:rPr>
                <w:rFonts w:hint="eastAsia" w:ascii="宋体" w:hAnsi="宋体" w:cs="宋体"/>
              </w:rPr>
              <w:t>单位产品耗用量、单位产品人工小时等</w:t>
            </w:r>
          </w:p>
        </w:tc>
      </w:tr>
      <w:tr w14:paraId="59CC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auto"/>
            <w:noWrap w:val="0"/>
            <w:vAlign w:val="top"/>
          </w:tcPr>
          <w:p w14:paraId="5BB8B33D">
            <w:pPr>
              <w:jc w:val="left"/>
              <w:rPr>
                <w:rFonts w:hint="eastAsia" w:ascii="宋体" w:hAnsi="宋体" w:cs="宋体"/>
              </w:rPr>
            </w:pPr>
          </w:p>
        </w:tc>
        <w:tc>
          <w:tcPr>
            <w:tcW w:w="563" w:type="pct"/>
            <w:shd w:val="clear" w:color="auto" w:fill="auto"/>
            <w:noWrap w:val="0"/>
            <w:vAlign w:val="top"/>
          </w:tcPr>
          <w:p w14:paraId="56C8EF03">
            <w:pPr>
              <w:rPr>
                <w:rFonts w:hint="eastAsia" w:ascii="宋体" w:hAnsi="宋体" w:cs="宋体"/>
              </w:rPr>
            </w:pPr>
            <w:r>
              <w:rPr>
                <w:rFonts w:hint="eastAsia" w:ascii="宋体" w:hAnsi="宋体" w:cs="宋体"/>
              </w:rPr>
              <w:t>价格标准</w:t>
            </w:r>
          </w:p>
        </w:tc>
        <w:tc>
          <w:tcPr>
            <w:tcW w:w="2770" w:type="pct"/>
            <w:shd w:val="clear" w:color="auto" w:fill="auto"/>
            <w:noWrap w:val="0"/>
            <w:vAlign w:val="top"/>
          </w:tcPr>
          <w:p w14:paraId="78CAE581">
            <w:pPr>
              <w:rPr>
                <w:rFonts w:hint="eastAsia" w:ascii="宋体" w:hAnsi="宋体" w:cs="宋体"/>
              </w:rPr>
            </w:pPr>
            <w:r>
              <w:rPr>
                <w:rFonts w:hint="eastAsia" w:ascii="宋体" w:hAnsi="宋体" w:cs="宋体"/>
              </w:rPr>
              <w:t>原材料单价、小时工资率、小时制造费用分配率</w:t>
            </w:r>
          </w:p>
        </w:tc>
      </w:tr>
    </w:tbl>
    <w:p w14:paraId="245846AE">
      <w:pPr>
        <w:jc w:val="left"/>
        <w:rPr>
          <w:rFonts w:hint="eastAsia" w:ascii="宋体" w:hAnsi="宋体" w:cs="宋体"/>
        </w:rPr>
      </w:pPr>
      <w:r>
        <w:rPr>
          <w:rFonts w:hint="eastAsia" w:ascii="宋体" w:hAnsi="宋体" w:cs="宋体"/>
          <w:color w:val="FF0000"/>
        </w:rPr>
        <w:t>【提示1】</w:t>
      </w:r>
      <w:r>
        <w:rPr>
          <w:rFonts w:hint="eastAsia" w:ascii="宋体" w:hAnsi="宋体" w:cs="宋体"/>
        </w:rPr>
        <w:t>产品标准成本=直接材料标准成本+直接人工标准成本+制造费用标准成本</w:t>
      </w:r>
    </w:p>
    <w:p w14:paraId="76814166">
      <w:pPr>
        <w:jc w:val="left"/>
        <w:rPr>
          <w:rFonts w:hint="eastAsia" w:ascii="宋体" w:hAnsi="宋体" w:cs="宋体"/>
        </w:rPr>
      </w:pPr>
      <w:r>
        <w:rPr>
          <w:rFonts w:hint="eastAsia" w:ascii="宋体" w:hAnsi="宋体" w:cs="宋体"/>
          <w:color w:val="FF0000"/>
        </w:rPr>
        <w:t>【提示2】</w:t>
      </w:r>
      <w:r>
        <w:rPr>
          <w:rFonts w:hint="eastAsia" w:ascii="宋体" w:hAnsi="宋体" w:cs="宋体"/>
        </w:rPr>
        <w:t>制造费用成本标准应区分变动制造费用项目和固定制造费用项目分别进行。前者随着产量的变动而变动；后者相对稳定，不随产量波动。则制定制造费用标准时，也应分别制定变动制造费用和固定制造费用的标准成本。</w:t>
      </w:r>
    </w:p>
    <w:p w14:paraId="4004EF5F">
      <w:pPr>
        <w:jc w:val="left"/>
        <w:rPr>
          <w:rFonts w:hint="eastAsia" w:ascii="宋体" w:hAnsi="宋体" w:cs="宋体"/>
          <w:color w:val="FF0000"/>
        </w:rPr>
      </w:pPr>
      <w:r>
        <w:rPr>
          <w:rFonts w:hint="eastAsia" w:ascii="宋体" w:hAnsi="宋体" w:cs="宋体"/>
          <w:color w:val="FF0000"/>
        </w:rPr>
        <w:t>【知识点3】总成本成本差异的计算及分析</w:t>
      </w:r>
    </w:p>
    <w:p w14:paraId="645D56F7">
      <w:pPr>
        <w:jc w:val="left"/>
        <w:rPr>
          <w:rFonts w:hint="eastAsia" w:ascii="宋体" w:hAnsi="宋体" w:cs="宋体"/>
        </w:rPr>
      </w:pPr>
      <w:r>
        <w:rPr>
          <w:rFonts w:hint="eastAsia" w:ascii="宋体" w:hAnsi="宋体" w:cs="宋体"/>
        </w:rPr>
        <w:t>成本差异，是指实际成本与相应标准成本之间的差额。</w:t>
      </w:r>
    </w:p>
    <w:p w14:paraId="70AB9C32">
      <w:pPr>
        <w:jc w:val="left"/>
        <w:rPr>
          <w:rFonts w:hint="eastAsia" w:ascii="宋体" w:hAnsi="宋体" w:cs="宋体"/>
        </w:rPr>
      </w:pPr>
      <w:r>
        <w:rPr>
          <w:rFonts w:hint="eastAsia" w:ascii="宋体" w:hAnsi="宋体" w:cs="宋体"/>
        </w:rPr>
        <w:t>当实际成本＜标准成本时，形成节约差异</w:t>
      </w:r>
    </w:p>
    <w:p w14:paraId="13BBE5EC">
      <w:pPr>
        <w:jc w:val="left"/>
        <w:rPr>
          <w:rFonts w:hint="eastAsia" w:ascii="宋体" w:hAnsi="宋体" w:cs="宋体"/>
        </w:rPr>
      </w:pPr>
      <w:r>
        <w:rPr>
          <w:rFonts w:hint="eastAsia" w:ascii="宋体" w:hAnsi="宋体" w:cs="宋体"/>
        </w:rPr>
        <w:t>当实际成本&gt;标准成本时，形成超支差异</w:t>
      </w:r>
    </w:p>
    <w:p w14:paraId="3E7DF21B">
      <w:pPr>
        <w:jc w:val="left"/>
        <w:rPr>
          <w:rFonts w:hint="eastAsia" w:ascii="宋体" w:hAnsi="宋体" w:cs="宋体"/>
        </w:rPr>
      </w:pPr>
      <w:r>
        <w:rPr>
          <w:rFonts w:hint="eastAsia" w:ascii="宋体" w:hAnsi="宋体" w:cs="宋体"/>
        </w:rPr>
        <w:t>总差异</w:t>
      </w:r>
    </w:p>
    <w:p w14:paraId="570CCC6F">
      <w:pPr>
        <w:jc w:val="left"/>
        <w:rPr>
          <w:rFonts w:hint="eastAsia" w:ascii="宋体" w:hAnsi="宋体" w:cs="宋体"/>
        </w:rPr>
      </w:pPr>
      <w:r>
        <w:rPr>
          <w:rFonts w:hint="eastAsia" w:ascii="宋体" w:hAnsi="宋体" w:cs="宋体"/>
        </w:rPr>
        <w:t>=实际产量下实际成本-实际产量下标准成本</w:t>
      </w:r>
    </w:p>
    <w:p w14:paraId="6EC6B3D3">
      <w:pPr>
        <w:jc w:val="left"/>
        <w:rPr>
          <w:rFonts w:hint="eastAsia" w:ascii="宋体" w:hAnsi="宋体" w:cs="宋体"/>
        </w:rPr>
      </w:pPr>
      <w:r>
        <w:rPr>
          <w:rFonts w:hint="eastAsia" w:ascii="宋体" w:hAnsi="宋体" w:cs="宋体"/>
        </w:rPr>
        <w:t>=用量差异+价格差异</w:t>
      </w:r>
    </w:p>
    <w:p w14:paraId="1DEB5C8E">
      <w:pPr>
        <w:jc w:val="left"/>
        <w:rPr>
          <w:rFonts w:hint="eastAsia" w:ascii="宋体" w:hAnsi="宋体" w:cs="宋体"/>
          <w:color w:val="FF0000"/>
        </w:rPr>
      </w:pPr>
      <w:r>
        <w:rPr>
          <w:rFonts w:hint="eastAsia" w:ascii="宋体" w:hAnsi="宋体" w:cs="宋体"/>
          <w:color w:val="FF0000"/>
        </w:rPr>
        <w:t>【知识点4】各项成本差异计算</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7335"/>
      </w:tblGrid>
      <w:tr w14:paraId="1FD6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shd w:val="clear" w:color="auto" w:fill="auto"/>
            <w:noWrap w:val="0"/>
            <w:vAlign w:val="top"/>
          </w:tcPr>
          <w:p w14:paraId="0A81FA2B">
            <w:pPr>
              <w:rPr>
                <w:rFonts w:hint="eastAsia" w:ascii="宋体" w:hAnsi="宋体" w:cs="宋体"/>
              </w:rPr>
            </w:pPr>
            <w:r>
              <w:rPr>
                <w:rFonts w:hint="eastAsia" w:ascii="宋体" w:hAnsi="宋体" w:cs="宋体"/>
              </w:rPr>
              <w:t>直接材料价格差异</w:t>
            </w:r>
          </w:p>
        </w:tc>
        <w:tc>
          <w:tcPr>
            <w:tcW w:w="3618" w:type="pct"/>
            <w:shd w:val="clear" w:color="auto" w:fill="auto"/>
            <w:noWrap w:val="0"/>
            <w:vAlign w:val="top"/>
          </w:tcPr>
          <w:p w14:paraId="2650B765">
            <w:pPr>
              <w:rPr>
                <w:rFonts w:hint="eastAsia" w:ascii="宋体" w:hAnsi="宋体" w:cs="宋体"/>
              </w:rPr>
            </w:pPr>
            <w:r>
              <w:rPr>
                <w:rFonts w:hint="eastAsia" w:ascii="宋体" w:hAnsi="宋体" w:cs="宋体"/>
              </w:rPr>
              <w:t>实际用量*（实际单价-标准单价）</w:t>
            </w:r>
          </w:p>
        </w:tc>
      </w:tr>
      <w:tr w14:paraId="577A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shd w:val="clear" w:color="auto" w:fill="auto"/>
            <w:noWrap w:val="0"/>
            <w:vAlign w:val="top"/>
          </w:tcPr>
          <w:p w14:paraId="1E7A3844">
            <w:pPr>
              <w:rPr>
                <w:rFonts w:hint="eastAsia" w:ascii="宋体" w:hAnsi="宋体" w:cs="宋体"/>
              </w:rPr>
            </w:pPr>
            <w:r>
              <w:rPr>
                <w:rFonts w:hint="eastAsia" w:ascii="宋体" w:hAnsi="宋体" w:cs="宋体"/>
              </w:rPr>
              <w:t>直接材料数量差异</w:t>
            </w:r>
          </w:p>
        </w:tc>
        <w:tc>
          <w:tcPr>
            <w:tcW w:w="3618" w:type="pct"/>
            <w:shd w:val="clear" w:color="auto" w:fill="auto"/>
            <w:noWrap w:val="0"/>
            <w:vAlign w:val="top"/>
          </w:tcPr>
          <w:p w14:paraId="40031DE9">
            <w:pPr>
              <w:rPr>
                <w:rFonts w:hint="eastAsia" w:ascii="宋体" w:hAnsi="宋体" w:cs="宋体"/>
              </w:rPr>
            </w:pPr>
            <w:r>
              <w:rPr>
                <w:rFonts w:hint="eastAsia" w:ascii="宋体" w:hAnsi="宋体" w:cs="宋体"/>
              </w:rPr>
              <w:t>（实际用量-标准用量）*标准单价</w:t>
            </w:r>
          </w:p>
        </w:tc>
      </w:tr>
      <w:tr w14:paraId="7BC7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shd w:val="clear" w:color="auto" w:fill="auto"/>
            <w:noWrap w:val="0"/>
            <w:vAlign w:val="top"/>
          </w:tcPr>
          <w:p w14:paraId="50F34E0C">
            <w:pPr>
              <w:rPr>
                <w:rFonts w:hint="eastAsia" w:ascii="宋体" w:hAnsi="宋体" w:cs="宋体"/>
              </w:rPr>
            </w:pPr>
            <w:r>
              <w:rPr>
                <w:rFonts w:hint="eastAsia" w:ascii="宋体" w:hAnsi="宋体" w:cs="宋体"/>
              </w:rPr>
              <w:t>直接人工效率差异（量）</w:t>
            </w:r>
          </w:p>
        </w:tc>
        <w:tc>
          <w:tcPr>
            <w:tcW w:w="3618" w:type="pct"/>
            <w:shd w:val="clear" w:color="auto" w:fill="auto"/>
            <w:noWrap w:val="0"/>
            <w:vAlign w:val="top"/>
          </w:tcPr>
          <w:p w14:paraId="202C282F">
            <w:pPr>
              <w:rPr>
                <w:rFonts w:hint="eastAsia" w:ascii="宋体" w:hAnsi="宋体" w:cs="宋体"/>
              </w:rPr>
            </w:pPr>
            <w:r>
              <w:rPr>
                <w:rFonts w:hint="eastAsia" w:ascii="宋体" w:hAnsi="宋体" w:cs="宋体"/>
              </w:rPr>
              <w:t>（实际工时－实际产量下标准工时）×标准工资率</w:t>
            </w:r>
          </w:p>
        </w:tc>
      </w:tr>
      <w:tr w14:paraId="6B4F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shd w:val="clear" w:color="auto" w:fill="auto"/>
            <w:noWrap w:val="0"/>
            <w:vAlign w:val="top"/>
          </w:tcPr>
          <w:p w14:paraId="7EF83B8D">
            <w:pPr>
              <w:rPr>
                <w:rFonts w:hint="eastAsia" w:ascii="宋体" w:hAnsi="宋体" w:cs="宋体"/>
              </w:rPr>
            </w:pPr>
            <w:r>
              <w:rPr>
                <w:rFonts w:hint="eastAsia" w:ascii="宋体" w:hAnsi="宋体" w:cs="宋体"/>
              </w:rPr>
              <w:t>工资率差异（价）</w:t>
            </w:r>
          </w:p>
        </w:tc>
        <w:tc>
          <w:tcPr>
            <w:tcW w:w="3618" w:type="pct"/>
            <w:shd w:val="clear" w:color="auto" w:fill="auto"/>
            <w:noWrap w:val="0"/>
            <w:vAlign w:val="top"/>
          </w:tcPr>
          <w:p w14:paraId="4275538A">
            <w:pPr>
              <w:rPr>
                <w:rFonts w:hint="eastAsia" w:ascii="宋体" w:hAnsi="宋体" w:cs="宋体"/>
              </w:rPr>
            </w:pPr>
            <w:r>
              <w:rPr>
                <w:rFonts w:hint="eastAsia" w:ascii="宋体" w:hAnsi="宋体" w:cs="宋体"/>
              </w:rPr>
              <w:t>实际工时×（实际工资率－标准工资率）</w:t>
            </w:r>
          </w:p>
        </w:tc>
      </w:tr>
      <w:tr w14:paraId="140A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shd w:val="clear" w:color="auto" w:fill="auto"/>
            <w:noWrap w:val="0"/>
            <w:vAlign w:val="top"/>
          </w:tcPr>
          <w:p w14:paraId="21401671">
            <w:pPr>
              <w:rPr>
                <w:rFonts w:hint="eastAsia" w:ascii="宋体" w:hAnsi="宋体" w:cs="宋体"/>
              </w:rPr>
            </w:pPr>
            <w:r>
              <w:rPr>
                <w:rFonts w:hint="eastAsia" w:ascii="宋体" w:hAnsi="宋体" w:cs="宋体"/>
              </w:rPr>
              <w:t>变动制造费用效率差异</w:t>
            </w:r>
          </w:p>
        </w:tc>
        <w:tc>
          <w:tcPr>
            <w:tcW w:w="3618" w:type="pct"/>
            <w:shd w:val="clear" w:color="auto" w:fill="auto"/>
            <w:noWrap w:val="0"/>
            <w:vAlign w:val="top"/>
          </w:tcPr>
          <w:p w14:paraId="48934B80">
            <w:pPr>
              <w:rPr>
                <w:rFonts w:hint="eastAsia" w:ascii="宋体" w:hAnsi="宋体" w:cs="宋体"/>
              </w:rPr>
            </w:pPr>
            <w:r>
              <w:rPr>
                <w:rFonts w:hint="eastAsia" w:ascii="宋体" w:hAnsi="宋体" w:cs="宋体"/>
              </w:rPr>
              <w:t>（实际工时－标准工时）×变动制造费用标准分配率</w:t>
            </w:r>
          </w:p>
        </w:tc>
      </w:tr>
      <w:tr w14:paraId="0E60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shd w:val="clear" w:color="auto" w:fill="auto"/>
            <w:noWrap w:val="0"/>
            <w:vAlign w:val="top"/>
          </w:tcPr>
          <w:p w14:paraId="09F54889">
            <w:pPr>
              <w:rPr>
                <w:rFonts w:hint="eastAsia" w:ascii="宋体" w:hAnsi="宋体" w:cs="宋体"/>
              </w:rPr>
            </w:pPr>
            <w:r>
              <w:rPr>
                <w:rFonts w:hint="eastAsia" w:ascii="宋体" w:hAnsi="宋体" w:cs="宋体"/>
              </w:rPr>
              <w:t>变动制造费用耗费差异</w:t>
            </w:r>
          </w:p>
        </w:tc>
        <w:tc>
          <w:tcPr>
            <w:tcW w:w="3618" w:type="pct"/>
            <w:shd w:val="clear" w:color="auto" w:fill="auto"/>
            <w:noWrap w:val="0"/>
            <w:vAlign w:val="top"/>
          </w:tcPr>
          <w:p w14:paraId="76BF94C4">
            <w:pPr>
              <w:rPr>
                <w:rFonts w:hint="eastAsia" w:ascii="宋体" w:hAnsi="宋体" w:cs="宋体"/>
              </w:rPr>
            </w:pPr>
            <w:r>
              <w:rPr>
                <w:rFonts w:hint="eastAsia" w:ascii="宋体" w:hAnsi="宋体" w:cs="宋体"/>
              </w:rPr>
              <w:t>实际工时×（变动制造费用实际分配率－变动制造费用标准分配率）</w:t>
            </w:r>
          </w:p>
        </w:tc>
      </w:tr>
    </w:tbl>
    <w:p w14:paraId="42D2A887">
      <w:pPr>
        <w:jc w:val="left"/>
        <w:rPr>
          <w:rFonts w:hint="eastAsia" w:ascii="宋体" w:hAnsi="宋体" w:cs="宋体"/>
          <w:color w:val="FF0000"/>
        </w:rPr>
      </w:pPr>
      <w:r>
        <w:rPr>
          <w:rFonts w:hint="eastAsia" w:ascii="宋体" w:hAnsi="宋体" w:cs="宋体"/>
          <w:color w:val="FF0000"/>
        </w:rPr>
        <w:t>【知识点5】固定制造费用成本差异分析</w:t>
      </w:r>
    </w:p>
    <w:p w14:paraId="5CD1CBD9">
      <w:pPr>
        <w:jc w:val="left"/>
        <w:rPr>
          <w:rFonts w:hint="eastAsia" w:ascii="宋体" w:hAnsi="宋体" w:cs="宋体"/>
        </w:rPr>
      </w:pPr>
      <w:r>
        <w:rPr>
          <w:rFonts w:hint="eastAsia" w:ascii="宋体" w:hAnsi="宋体" w:cs="宋体"/>
        </w:rPr>
        <w:t>固定制造费用项目成本差异</w:t>
      </w:r>
    </w:p>
    <w:p w14:paraId="6AC2524F">
      <w:pPr>
        <w:jc w:val="left"/>
        <w:rPr>
          <w:rFonts w:hint="eastAsia" w:ascii="宋体" w:hAnsi="宋体" w:cs="宋体"/>
        </w:rPr>
      </w:pPr>
      <w:r>
        <w:rPr>
          <w:rFonts w:hint="eastAsia" w:ascii="宋体" w:hAnsi="宋体" w:cs="宋体"/>
        </w:rPr>
        <w:t>=固定制造费用项目实际成本-固定制造费用项目标准成本</w:t>
      </w:r>
    </w:p>
    <w:p w14:paraId="08CCBB31">
      <w:pPr>
        <w:jc w:val="left"/>
        <w:rPr>
          <w:rFonts w:hint="eastAsia" w:ascii="宋体" w:hAnsi="宋体" w:cs="宋体"/>
        </w:rPr>
      </w:pPr>
      <w:r>
        <w:rPr>
          <w:rFonts w:hint="eastAsia" w:ascii="宋体" w:hAnsi="宋体" w:cs="宋体"/>
        </w:rPr>
        <w:t>标准分配率=固定制造费用标准成本总额（预算总额）/预算总工时</w:t>
      </w:r>
    </w:p>
    <w:p w14:paraId="191AEEA6">
      <w:pPr>
        <w:jc w:val="left"/>
        <w:rPr>
          <w:rFonts w:hint="eastAsia" w:ascii="宋体" w:hAnsi="宋体" w:cs="宋体"/>
        </w:rPr>
      </w:pPr>
      <w:r>
        <w:rPr>
          <w:rFonts w:hint="eastAsia" w:ascii="宋体" w:hAnsi="宋体" w:cs="宋体"/>
          <w:color w:val="FF0000"/>
        </w:rPr>
        <w:t>【提示】</w:t>
      </w:r>
      <w:r>
        <w:rPr>
          <w:rFonts w:hint="eastAsia" w:ascii="宋体" w:hAnsi="宋体" w:cs="宋体"/>
        </w:rPr>
        <w:t>由于固定制造费用相对固定，实际产量与预算产量的差异会对单位产品所应承担的固定制造费用产生影响，所以固定制造费用成本差异的分析有其特殊性，分为两差异分析法和三差异分析法。</w:t>
      </w:r>
    </w:p>
    <w:p w14:paraId="5260FDCB">
      <w:pPr>
        <w:overflowPunct w:val="0"/>
        <w:jc w:val="left"/>
        <w:rPr>
          <w:rFonts w:hint="eastAsia" w:ascii="宋体" w:hAnsi="宋体" w:cs="宋体"/>
        </w:rPr>
      </w:pPr>
      <w:r>
        <w:drawing>
          <wp:inline distT="0" distB="0" distL="114300" distR="114300">
            <wp:extent cx="4873625" cy="1887855"/>
            <wp:effectExtent l="0" t="0" r="3175" b="1714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62">
                      <a:clrChange>
                        <a:clrFrom>
                          <a:srgbClr val="0C5348"/>
                        </a:clrFrom>
                        <a:clrTo>
                          <a:srgbClr val="0C5348">
                            <a:alpha val="0"/>
                          </a:srgbClr>
                        </a:clrTo>
                      </a:clrChange>
                    </a:blip>
                    <a:stretch>
                      <a:fillRect/>
                    </a:stretch>
                  </pic:blipFill>
                  <pic:spPr>
                    <a:xfrm>
                      <a:off x="0" y="0"/>
                      <a:ext cx="4873625" cy="1887855"/>
                    </a:xfrm>
                    <a:prstGeom prst="rect">
                      <a:avLst/>
                    </a:prstGeom>
                    <a:noFill/>
                    <a:ln>
                      <a:noFill/>
                    </a:ln>
                  </pic:spPr>
                </pic:pic>
              </a:graphicData>
            </a:graphic>
          </wp:inline>
        </w:drawing>
      </w:r>
    </w:p>
    <w:p w14:paraId="4692824F">
      <w:pPr>
        <w:overflowPunct w:val="0"/>
        <w:jc w:val="center"/>
        <w:rPr>
          <w:rFonts w:ascii="宋体" w:hAnsi="宋体" w:cs="宋体"/>
          <w:b/>
          <w:bCs/>
        </w:rPr>
      </w:pPr>
      <w:r>
        <w:rPr>
          <w:rFonts w:hint="eastAsia" w:ascii="宋体" w:hAnsi="宋体" w:cs="宋体"/>
          <w:b/>
          <w:bCs/>
        </w:rPr>
        <w:t>第八章  成本管理</w:t>
      </w:r>
    </w:p>
    <w:p w14:paraId="75A11493">
      <w:pPr>
        <w:jc w:val="left"/>
        <w:rPr>
          <w:rFonts w:ascii="宋体" w:hAnsi="宋体" w:cs="宋体"/>
          <w:color w:val="FF0000"/>
        </w:rPr>
      </w:pPr>
      <w:r>
        <w:rPr>
          <w:rFonts w:hint="eastAsia" w:ascii="宋体" w:hAnsi="宋体" w:cs="宋体"/>
          <w:color w:val="FF0000"/>
        </w:rPr>
        <w:t>第四节 作业成本与责任成本</w:t>
      </w:r>
    </w:p>
    <w:p w14:paraId="0B1C70F1">
      <w:pPr>
        <w:jc w:val="left"/>
        <w:rPr>
          <w:rFonts w:ascii="宋体" w:hAnsi="宋体" w:cs="宋体"/>
          <w:color w:val="FF0000"/>
        </w:rPr>
      </w:pPr>
      <w:r>
        <w:rPr>
          <w:rFonts w:hint="eastAsia" w:ascii="宋体" w:hAnsi="宋体" w:cs="宋体"/>
          <w:color w:val="FF0000"/>
        </w:rPr>
        <w:t>【知识点1】作业成本法概念</w:t>
      </w:r>
    </w:p>
    <w:p w14:paraId="3D205FF7">
      <w:pPr>
        <w:jc w:val="left"/>
        <w:rPr>
          <w:rFonts w:ascii="宋体" w:hAnsi="宋体" w:cs="宋体"/>
        </w:rPr>
      </w:pPr>
      <w:r>
        <w:rPr>
          <w:rFonts w:ascii="宋体" w:hAnsi="宋体" w:cs="宋体"/>
        </w:rPr>
        <w:drawing>
          <wp:inline distT="0" distB="0" distL="0" distR="0">
            <wp:extent cx="4872990" cy="511175"/>
            <wp:effectExtent l="0" t="0" r="3810" b="3175"/>
            <wp:docPr id="1009660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60558" name="图片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59745" cy="520421"/>
                    </a:xfrm>
                    <a:prstGeom prst="rect">
                      <a:avLst/>
                    </a:prstGeom>
                  </pic:spPr>
                </pic:pic>
              </a:graphicData>
            </a:graphic>
          </wp:inline>
        </w:drawing>
      </w:r>
    </w:p>
    <w:p w14:paraId="2FBBA47F">
      <w:pPr>
        <w:jc w:val="left"/>
        <w:rPr>
          <w:rFonts w:ascii="宋体" w:hAnsi="宋体" w:cs="宋体"/>
          <w:color w:val="FF0000"/>
        </w:rPr>
      </w:pPr>
      <w:r>
        <w:rPr>
          <w:rFonts w:hint="eastAsia" w:ascii="宋体" w:hAnsi="宋体" w:cs="宋体"/>
          <w:color w:val="FF0000"/>
        </w:rPr>
        <w:t>【知识点2】作业中心设计分类</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5076"/>
        <w:gridCol w:w="3180"/>
      </w:tblGrid>
      <w:tr w14:paraId="59FF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0C0FD4FC">
            <w:pPr>
              <w:jc w:val="left"/>
              <w:rPr>
                <w:rFonts w:ascii="宋体" w:hAnsi="宋体" w:cs="宋体"/>
              </w:rPr>
            </w:pPr>
            <w:r>
              <w:rPr>
                <w:rFonts w:hint="eastAsia" w:ascii="宋体" w:hAnsi="宋体" w:cs="宋体"/>
              </w:rPr>
              <w:t>作业中心类型</w:t>
            </w:r>
          </w:p>
        </w:tc>
        <w:tc>
          <w:tcPr>
            <w:tcW w:w="2504" w:type="pct"/>
          </w:tcPr>
          <w:p w14:paraId="496B4F5D">
            <w:pPr>
              <w:rPr>
                <w:rFonts w:ascii="宋体" w:hAnsi="宋体" w:cs="宋体"/>
              </w:rPr>
            </w:pPr>
            <w:r>
              <w:rPr>
                <w:rFonts w:hint="eastAsia" w:ascii="宋体" w:hAnsi="宋体" w:cs="宋体"/>
              </w:rPr>
              <w:t>特点</w:t>
            </w:r>
          </w:p>
        </w:tc>
        <w:tc>
          <w:tcPr>
            <w:tcW w:w="1569" w:type="pct"/>
          </w:tcPr>
          <w:p w14:paraId="52108FB8">
            <w:pPr>
              <w:rPr>
                <w:rFonts w:ascii="宋体" w:hAnsi="宋体" w:cs="宋体"/>
              </w:rPr>
            </w:pPr>
            <w:r>
              <w:rPr>
                <w:rFonts w:hint="eastAsia" w:ascii="宋体" w:hAnsi="宋体" w:cs="宋体"/>
              </w:rPr>
              <w:t>例子</w:t>
            </w:r>
          </w:p>
        </w:tc>
      </w:tr>
      <w:tr w14:paraId="34E4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76356C19">
            <w:pPr>
              <w:jc w:val="left"/>
              <w:rPr>
                <w:rFonts w:ascii="宋体" w:hAnsi="宋体" w:cs="宋体"/>
              </w:rPr>
            </w:pPr>
            <w:r>
              <w:rPr>
                <w:rFonts w:hint="eastAsia" w:ascii="宋体" w:hAnsi="宋体" w:cs="宋体"/>
              </w:rPr>
              <w:t>产量级作业</w:t>
            </w:r>
          </w:p>
        </w:tc>
        <w:tc>
          <w:tcPr>
            <w:tcW w:w="2504" w:type="pct"/>
          </w:tcPr>
          <w:p w14:paraId="4D04081D">
            <w:pPr>
              <w:rPr>
                <w:rFonts w:ascii="宋体" w:hAnsi="宋体" w:cs="宋体"/>
              </w:rPr>
            </w:pPr>
            <w:r>
              <w:rPr>
                <w:rFonts w:hint="eastAsia" w:ascii="宋体" w:hAnsi="宋体" w:cs="宋体"/>
              </w:rPr>
              <w:t>明确地为个别产品（或服务）实施的、使单个产品（或服务）受益的作业，其数量与产品（或服务）的数量成正比例变动</w:t>
            </w:r>
          </w:p>
        </w:tc>
        <w:tc>
          <w:tcPr>
            <w:tcW w:w="1569" w:type="pct"/>
          </w:tcPr>
          <w:p w14:paraId="1AC403AE">
            <w:pPr>
              <w:rPr>
                <w:rFonts w:ascii="宋体" w:hAnsi="宋体" w:cs="宋体"/>
              </w:rPr>
            </w:pPr>
            <w:r>
              <w:rPr>
                <w:rFonts w:hint="eastAsia" w:ascii="宋体" w:hAnsi="宋体" w:cs="宋体"/>
              </w:rPr>
              <w:t>产品加工、对每件产品进行检验等</w:t>
            </w:r>
          </w:p>
        </w:tc>
      </w:tr>
      <w:tr w14:paraId="3DF1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C3AD164">
            <w:pPr>
              <w:jc w:val="left"/>
              <w:rPr>
                <w:rFonts w:ascii="宋体" w:hAnsi="宋体" w:cs="宋体"/>
              </w:rPr>
            </w:pPr>
            <w:r>
              <w:rPr>
                <w:rFonts w:hint="eastAsia" w:ascii="宋体" w:hAnsi="宋体" w:cs="宋体"/>
              </w:rPr>
              <w:t>批别级作业</w:t>
            </w:r>
          </w:p>
        </w:tc>
        <w:tc>
          <w:tcPr>
            <w:tcW w:w="2504" w:type="pct"/>
          </w:tcPr>
          <w:p w14:paraId="30755DE4">
            <w:pPr>
              <w:rPr>
                <w:rFonts w:ascii="宋体" w:hAnsi="宋体" w:cs="宋体"/>
              </w:rPr>
            </w:pPr>
            <w:r>
              <w:rPr>
                <w:rFonts w:hint="eastAsia" w:ascii="宋体" w:hAnsi="宋体" w:cs="宋体"/>
              </w:rPr>
              <w:t>为一组（或一批）产品（或服务）实施的、使该组（该批）产品（或服务）受益的作业，其数量与产品（或服务）的批量数成正比变动</w:t>
            </w:r>
          </w:p>
        </w:tc>
        <w:tc>
          <w:tcPr>
            <w:tcW w:w="1569" w:type="pct"/>
          </w:tcPr>
          <w:p w14:paraId="714ABE21">
            <w:pPr>
              <w:rPr>
                <w:rFonts w:ascii="宋体" w:hAnsi="宋体" w:cs="宋体"/>
              </w:rPr>
            </w:pPr>
            <w:r>
              <w:rPr>
                <w:rFonts w:hint="eastAsia" w:ascii="宋体" w:hAnsi="宋体" w:cs="宋体"/>
              </w:rPr>
              <w:t>设备调试、生产准备等</w:t>
            </w:r>
          </w:p>
        </w:tc>
      </w:tr>
      <w:tr w14:paraId="3363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02888876">
            <w:pPr>
              <w:jc w:val="left"/>
              <w:rPr>
                <w:rFonts w:ascii="宋体" w:hAnsi="宋体" w:cs="宋体"/>
              </w:rPr>
            </w:pPr>
            <w:r>
              <w:rPr>
                <w:rFonts w:hint="eastAsia" w:ascii="宋体" w:hAnsi="宋体" w:cs="宋体"/>
              </w:rPr>
              <w:t>品种级作业</w:t>
            </w:r>
          </w:p>
        </w:tc>
        <w:tc>
          <w:tcPr>
            <w:tcW w:w="2504" w:type="pct"/>
          </w:tcPr>
          <w:p w14:paraId="70C0A346">
            <w:pPr>
              <w:rPr>
                <w:rFonts w:ascii="宋体" w:hAnsi="宋体" w:cs="宋体"/>
              </w:rPr>
            </w:pPr>
            <w:r>
              <w:rPr>
                <w:rFonts w:hint="eastAsia" w:ascii="宋体" w:hAnsi="宋体" w:cs="宋体"/>
              </w:rPr>
              <w:t>为生产和销售某种产品（或服务）实施的、使该种产品（或服务）的每个单位都受益的作业，其数量与品种的多少成正比例变动</w:t>
            </w:r>
          </w:p>
        </w:tc>
        <w:tc>
          <w:tcPr>
            <w:tcW w:w="1569" w:type="pct"/>
          </w:tcPr>
          <w:p w14:paraId="0057C95C">
            <w:pPr>
              <w:rPr>
                <w:rFonts w:ascii="宋体" w:hAnsi="宋体" w:cs="宋体"/>
              </w:rPr>
            </w:pPr>
            <w:r>
              <w:rPr>
                <w:rFonts w:hint="eastAsia" w:ascii="宋体" w:hAnsi="宋体" w:cs="宋体"/>
              </w:rPr>
              <w:t>新产品设计、现有产品质量与功能改进、生产流程监控、工艺变换需要的流程设计、产品广告等</w:t>
            </w:r>
          </w:p>
        </w:tc>
      </w:tr>
      <w:tr w14:paraId="6E25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5DAC9D1D">
            <w:pPr>
              <w:jc w:val="left"/>
              <w:rPr>
                <w:rFonts w:ascii="宋体" w:hAnsi="宋体" w:cs="宋体"/>
              </w:rPr>
            </w:pPr>
            <w:r>
              <w:rPr>
                <w:rFonts w:hint="eastAsia" w:ascii="宋体" w:hAnsi="宋体" w:cs="宋体"/>
              </w:rPr>
              <w:t>顾客级作业</w:t>
            </w:r>
          </w:p>
        </w:tc>
        <w:tc>
          <w:tcPr>
            <w:tcW w:w="2504" w:type="pct"/>
          </w:tcPr>
          <w:p w14:paraId="0F7862D3">
            <w:pPr>
              <w:rPr>
                <w:rFonts w:ascii="宋体" w:hAnsi="宋体" w:cs="宋体"/>
              </w:rPr>
            </w:pPr>
            <w:r>
              <w:rPr>
                <w:rFonts w:hint="eastAsia" w:ascii="宋体" w:hAnsi="宋体" w:cs="宋体"/>
              </w:rPr>
              <w:t>为服务特定客户所实施的作业，其本身与产品（或服务）数量独立</w:t>
            </w:r>
          </w:p>
        </w:tc>
        <w:tc>
          <w:tcPr>
            <w:tcW w:w="1569" w:type="pct"/>
          </w:tcPr>
          <w:p w14:paraId="033823FE">
            <w:pPr>
              <w:rPr>
                <w:rFonts w:ascii="宋体" w:hAnsi="宋体" w:cs="宋体"/>
              </w:rPr>
            </w:pPr>
            <w:r>
              <w:rPr>
                <w:rFonts w:hint="eastAsia" w:ascii="宋体" w:hAnsi="宋体" w:cs="宋体"/>
              </w:rPr>
              <w:t>向个别客户提供的技术支持活动、咨询活动、独特包装等</w:t>
            </w:r>
          </w:p>
        </w:tc>
      </w:tr>
      <w:tr w14:paraId="440C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0F865458">
            <w:pPr>
              <w:jc w:val="left"/>
              <w:rPr>
                <w:rFonts w:ascii="宋体" w:hAnsi="宋体" w:cs="宋体"/>
              </w:rPr>
            </w:pPr>
            <w:r>
              <w:rPr>
                <w:rFonts w:hint="eastAsia" w:ascii="宋体" w:hAnsi="宋体" w:cs="宋体"/>
              </w:rPr>
              <w:t>设施级作业</w:t>
            </w:r>
          </w:p>
        </w:tc>
        <w:tc>
          <w:tcPr>
            <w:tcW w:w="2504" w:type="pct"/>
          </w:tcPr>
          <w:p w14:paraId="7ED9B342">
            <w:pPr>
              <w:rPr>
                <w:rFonts w:ascii="宋体" w:hAnsi="宋体" w:cs="宋体"/>
              </w:rPr>
            </w:pPr>
            <w:r>
              <w:rPr>
                <w:rFonts w:hint="eastAsia" w:ascii="宋体" w:hAnsi="宋体" w:cs="宋体"/>
              </w:rPr>
              <w:t>为提供生产产品（或服务）的基本能力而实施的作业，使所有产品（或服务）都受益，但与产量或销量无关</w:t>
            </w:r>
          </w:p>
        </w:tc>
        <w:tc>
          <w:tcPr>
            <w:tcW w:w="1569" w:type="pct"/>
          </w:tcPr>
          <w:p w14:paraId="2FE307DF">
            <w:pPr>
              <w:rPr>
                <w:rFonts w:ascii="宋体" w:hAnsi="宋体" w:cs="宋体"/>
              </w:rPr>
            </w:pPr>
            <w:r>
              <w:rPr>
                <w:rFonts w:hint="eastAsia" w:ascii="宋体" w:hAnsi="宋体" w:cs="宋体"/>
              </w:rPr>
              <w:t>管理作业、针对企业整体的广告活动等</w:t>
            </w:r>
          </w:p>
        </w:tc>
      </w:tr>
    </w:tbl>
    <w:p w14:paraId="2708050E">
      <w:pPr>
        <w:jc w:val="left"/>
        <w:rPr>
          <w:rFonts w:ascii="宋体" w:hAnsi="宋体" w:cs="宋体"/>
          <w:color w:val="FF0000"/>
        </w:rPr>
      </w:pPr>
      <w:r>
        <w:rPr>
          <w:rFonts w:hint="eastAsia" w:ascii="宋体" w:hAnsi="宋体" w:cs="宋体"/>
          <w:color w:val="FF0000"/>
        </w:rPr>
        <w:t>【知识点3】作业动因选择与计量</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400"/>
      </w:tblGrid>
      <w:tr w14:paraId="64D5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6" w:type="pct"/>
          </w:tcPr>
          <w:p w14:paraId="2031A134">
            <w:pPr>
              <w:jc w:val="left"/>
              <w:rPr>
                <w:rFonts w:ascii="宋体" w:hAnsi="宋体" w:cs="宋体"/>
              </w:rPr>
            </w:pPr>
            <w:r>
              <w:rPr>
                <w:rFonts w:hint="eastAsia" w:ascii="宋体" w:hAnsi="宋体" w:cs="宋体"/>
              </w:rPr>
              <w:t xml:space="preserve">交易动因 </w:t>
            </w:r>
          </w:p>
        </w:tc>
        <w:tc>
          <w:tcPr>
            <w:tcW w:w="4144" w:type="pct"/>
          </w:tcPr>
          <w:p w14:paraId="2F2607F2">
            <w:pPr>
              <w:jc w:val="left"/>
              <w:rPr>
                <w:rFonts w:ascii="宋体" w:hAnsi="宋体" w:cs="宋体"/>
              </w:rPr>
            </w:pPr>
            <w:r>
              <w:rPr>
                <w:rFonts w:hint="eastAsia" w:ascii="宋体" w:hAnsi="宋体" w:cs="宋体"/>
              </w:rPr>
              <w:t>用执行频率或次数计量的动因成本，包括接受或发出订单数、处理数据等。每次执行所需要的资源数量相同或接近</w:t>
            </w:r>
          </w:p>
        </w:tc>
      </w:tr>
      <w:tr w14:paraId="7491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F77D67F">
            <w:pPr>
              <w:jc w:val="left"/>
              <w:rPr>
                <w:rFonts w:ascii="宋体" w:hAnsi="宋体" w:cs="宋体"/>
              </w:rPr>
            </w:pPr>
            <w:r>
              <w:rPr>
                <w:rFonts w:hint="eastAsia" w:ascii="宋体" w:hAnsi="宋体" w:cs="宋体"/>
              </w:rPr>
              <w:t xml:space="preserve">持续时间动因 </w:t>
            </w:r>
          </w:p>
        </w:tc>
        <w:tc>
          <w:tcPr>
            <w:tcW w:w="4144" w:type="pct"/>
          </w:tcPr>
          <w:p w14:paraId="6422F9AD">
            <w:pPr>
              <w:jc w:val="left"/>
              <w:rPr>
                <w:rFonts w:ascii="宋体" w:hAnsi="宋体" w:cs="宋体"/>
              </w:rPr>
            </w:pPr>
            <w:r>
              <w:rPr>
                <w:rFonts w:hint="eastAsia" w:ascii="宋体" w:hAnsi="宋体" w:cs="宋体"/>
              </w:rPr>
              <w:t>用执行时间计量的成本动因，包括产品安装时间、检查小时等。每次执行所需要的时间存在显著的不同</w:t>
            </w:r>
          </w:p>
        </w:tc>
      </w:tr>
      <w:tr w14:paraId="32B9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747A6C80">
            <w:pPr>
              <w:jc w:val="left"/>
              <w:rPr>
                <w:rFonts w:ascii="宋体" w:hAnsi="宋体" w:cs="宋体"/>
              </w:rPr>
            </w:pPr>
            <w:r>
              <w:rPr>
                <w:rFonts w:hint="eastAsia" w:ascii="宋体" w:hAnsi="宋体" w:cs="宋体"/>
              </w:rPr>
              <w:t xml:space="preserve">强度动因 </w:t>
            </w:r>
          </w:p>
        </w:tc>
        <w:tc>
          <w:tcPr>
            <w:tcW w:w="4144" w:type="pct"/>
          </w:tcPr>
          <w:p w14:paraId="28C571A9">
            <w:pPr>
              <w:jc w:val="left"/>
              <w:rPr>
                <w:rFonts w:ascii="宋体" w:hAnsi="宋体" w:cs="宋体"/>
              </w:rPr>
            </w:pPr>
            <w:r>
              <w:rPr>
                <w:rFonts w:hint="eastAsia" w:ascii="宋体" w:hAnsi="宋体" w:cs="宋体"/>
              </w:rPr>
              <w:t>不易按照频率、次数或执行时间进行分配而需要直接衡量每次执行所需资源的动因，包括特别复杂产品的安装、质量检验等。作业的执行比较特殊或复杂</w:t>
            </w:r>
          </w:p>
        </w:tc>
      </w:tr>
    </w:tbl>
    <w:p w14:paraId="1544B854">
      <w:pPr>
        <w:jc w:val="left"/>
        <w:rPr>
          <w:rFonts w:ascii="宋体" w:hAnsi="宋体" w:cs="宋体"/>
          <w:color w:val="FF0000"/>
        </w:rPr>
      </w:pPr>
      <w:r>
        <w:rPr>
          <w:rFonts w:hint="eastAsia" w:ascii="宋体" w:hAnsi="宋体" w:cs="宋体"/>
          <w:color w:val="FF0000"/>
        </w:rPr>
        <w:t>【知识点4】作业分析</w:t>
      </w:r>
    </w:p>
    <w:p w14:paraId="2269951E">
      <w:pPr>
        <w:jc w:val="left"/>
        <w:rPr>
          <w:rFonts w:ascii="宋体" w:hAnsi="宋体" w:cs="宋体"/>
        </w:rPr>
      </w:pPr>
      <w:r>
        <w:rPr>
          <w:rFonts w:hint="eastAsia" w:ascii="宋体" w:hAnsi="宋体" w:cs="宋体"/>
        </w:rPr>
        <w:t>按照对顾客价值的贡献，作业分为增值作业和非增值作业。</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690"/>
      </w:tblGrid>
      <w:tr w14:paraId="7C7B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16E4B354">
            <w:pPr>
              <w:jc w:val="left"/>
              <w:rPr>
                <w:rFonts w:ascii="宋体" w:hAnsi="宋体" w:cs="宋体"/>
              </w:rPr>
            </w:pPr>
            <w:r>
              <w:rPr>
                <w:rFonts w:hint="eastAsia" w:ascii="宋体" w:hAnsi="宋体" w:cs="宋体"/>
              </w:rPr>
              <w:t>增值作业</w:t>
            </w:r>
          </w:p>
        </w:tc>
        <w:tc>
          <w:tcPr>
            <w:tcW w:w="4287" w:type="pct"/>
          </w:tcPr>
          <w:p w14:paraId="338EA0AF">
            <w:pPr>
              <w:jc w:val="left"/>
              <w:rPr>
                <w:rFonts w:ascii="宋体" w:hAnsi="宋体" w:cs="宋体"/>
              </w:rPr>
            </w:pPr>
            <w:r>
              <w:rPr>
                <w:rFonts w:hint="eastAsia" w:ascii="宋体" w:hAnsi="宋体" w:cs="宋体"/>
              </w:rPr>
              <w:t>顾客认为可以增加其购买的产品或服务的有用性，有必要保留在企业中的作业，需同时满足三个条件：</w:t>
            </w:r>
            <w:r>
              <w:rPr>
                <w:rFonts w:hint="eastAsia" w:ascii="宋体" w:hAnsi="宋体" w:cs="宋体"/>
              </w:rPr>
              <w:br w:type="textWrapping"/>
            </w:r>
            <w:r>
              <w:rPr>
                <w:rFonts w:hint="eastAsia" w:ascii="宋体" w:hAnsi="宋体" w:cs="宋体"/>
              </w:rPr>
              <w:t>（1）该作业导致了状态的改变；</w:t>
            </w:r>
            <w:r>
              <w:rPr>
                <w:rFonts w:hint="eastAsia" w:ascii="宋体" w:hAnsi="宋体" w:cs="宋体"/>
              </w:rPr>
              <w:br w:type="textWrapping"/>
            </w:r>
            <w:r>
              <w:rPr>
                <w:rFonts w:hint="eastAsia" w:ascii="宋体" w:hAnsi="宋体" w:cs="宋体"/>
              </w:rPr>
              <w:t>（2）该状态的变化不能由其他作业来完成；</w:t>
            </w:r>
            <w:r>
              <w:rPr>
                <w:rFonts w:hint="eastAsia" w:ascii="宋体" w:hAnsi="宋体" w:cs="宋体"/>
              </w:rPr>
              <w:br w:type="textWrapping"/>
            </w:r>
            <w:r>
              <w:rPr>
                <w:rFonts w:hint="eastAsia" w:ascii="宋体" w:hAnsi="宋体" w:cs="宋体"/>
              </w:rPr>
              <w:t>（3）该作业使其他作业得以进行</w:t>
            </w:r>
          </w:p>
        </w:tc>
      </w:tr>
      <w:tr w14:paraId="2454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09A33AE1">
            <w:pPr>
              <w:jc w:val="left"/>
              <w:rPr>
                <w:rFonts w:ascii="宋体" w:hAnsi="宋体" w:cs="宋体"/>
              </w:rPr>
            </w:pPr>
            <w:r>
              <w:rPr>
                <w:rFonts w:hint="eastAsia" w:ascii="宋体" w:hAnsi="宋体" w:cs="宋体"/>
              </w:rPr>
              <w:t>非增值作业</w:t>
            </w:r>
          </w:p>
        </w:tc>
        <w:tc>
          <w:tcPr>
            <w:tcW w:w="4287" w:type="pct"/>
          </w:tcPr>
          <w:p w14:paraId="36A7EEBF">
            <w:pPr>
              <w:jc w:val="left"/>
              <w:rPr>
                <w:rFonts w:ascii="宋体" w:hAnsi="宋体" w:cs="宋体"/>
              </w:rPr>
            </w:pPr>
            <w:r>
              <w:rPr>
                <w:rFonts w:hint="eastAsia" w:ascii="宋体" w:hAnsi="宋体" w:cs="宋体"/>
              </w:rPr>
              <w:t>即便消除也不会影响产品对顾客服务的潜能，不必要的或可消除的作业</w:t>
            </w:r>
          </w:p>
        </w:tc>
      </w:tr>
    </w:tbl>
    <w:p w14:paraId="40D9B6BC">
      <w:pPr>
        <w:jc w:val="left"/>
        <w:rPr>
          <w:rFonts w:ascii="宋体" w:hAnsi="宋体" w:cs="宋体"/>
        </w:rPr>
      </w:pPr>
      <w:r>
        <w:rPr>
          <w:rFonts w:ascii="宋体" w:hAnsi="宋体" w:cs="宋体"/>
        </w:rPr>
        <w:drawing>
          <wp:inline distT="0" distB="0" distL="0" distR="0">
            <wp:extent cx="3014980" cy="1299845"/>
            <wp:effectExtent l="0" t="0" r="13970" b="14605"/>
            <wp:docPr id="12312558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55816" name="图片 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031705" cy="1307248"/>
                    </a:xfrm>
                    <a:prstGeom prst="rect">
                      <a:avLst/>
                    </a:prstGeom>
                  </pic:spPr>
                </pic:pic>
              </a:graphicData>
            </a:graphic>
          </wp:inline>
        </w:drawing>
      </w:r>
    </w:p>
    <w:p w14:paraId="37EF8787">
      <w:pPr>
        <w:jc w:val="left"/>
        <w:rPr>
          <w:rFonts w:ascii="宋体" w:hAnsi="宋体" w:cs="宋体"/>
          <w:color w:val="FF0000"/>
        </w:rPr>
      </w:pPr>
      <w:r>
        <w:rPr>
          <w:rFonts w:hint="eastAsia" w:ascii="宋体" w:hAnsi="宋体" w:cs="宋体"/>
          <w:color w:val="FF0000"/>
        </w:rPr>
        <w:t>【知识点5】作业成本管理节约途径</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690"/>
      </w:tblGrid>
      <w:tr w14:paraId="52AC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46CB10B4">
            <w:pPr>
              <w:jc w:val="left"/>
              <w:rPr>
                <w:rFonts w:ascii="宋体" w:hAnsi="宋体" w:cs="宋体"/>
              </w:rPr>
            </w:pPr>
            <w:r>
              <w:rPr>
                <w:rFonts w:hint="eastAsia" w:ascii="宋体" w:hAnsi="宋体" w:cs="宋体"/>
              </w:rPr>
              <w:t>作业消除</w:t>
            </w:r>
          </w:p>
        </w:tc>
        <w:tc>
          <w:tcPr>
            <w:tcW w:w="4287" w:type="pct"/>
          </w:tcPr>
          <w:p w14:paraId="33C56B11">
            <w:pPr>
              <w:jc w:val="left"/>
              <w:rPr>
                <w:rFonts w:ascii="宋体" w:hAnsi="宋体" w:cs="宋体"/>
              </w:rPr>
            </w:pPr>
            <w:r>
              <w:rPr>
                <w:rFonts w:hint="eastAsia" w:ascii="宋体" w:hAnsi="宋体" w:cs="宋体"/>
              </w:rPr>
              <w:t>消除非增值作业或不必要的作业，降低非增值成本</w:t>
            </w:r>
          </w:p>
        </w:tc>
      </w:tr>
      <w:tr w14:paraId="0D06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6E53CA53">
            <w:pPr>
              <w:jc w:val="left"/>
              <w:rPr>
                <w:rFonts w:ascii="宋体" w:hAnsi="宋体" w:cs="宋体"/>
              </w:rPr>
            </w:pPr>
            <w:r>
              <w:rPr>
                <w:rFonts w:hint="eastAsia" w:ascii="宋体" w:hAnsi="宋体" w:cs="宋体"/>
              </w:rPr>
              <w:t>作业选择</w:t>
            </w:r>
          </w:p>
        </w:tc>
        <w:tc>
          <w:tcPr>
            <w:tcW w:w="4287" w:type="pct"/>
          </w:tcPr>
          <w:p w14:paraId="7670824B">
            <w:pPr>
              <w:jc w:val="left"/>
              <w:rPr>
                <w:rFonts w:ascii="宋体" w:hAnsi="宋体" w:cs="宋体"/>
              </w:rPr>
            </w:pPr>
            <w:r>
              <w:rPr>
                <w:rFonts w:hint="eastAsia" w:ascii="宋体" w:hAnsi="宋体" w:cs="宋体"/>
              </w:rPr>
              <w:t>对所有能够达到同样目的的不同作业，选取其中最佳的方案</w:t>
            </w:r>
          </w:p>
        </w:tc>
      </w:tr>
      <w:tr w14:paraId="5119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498E0DD8">
            <w:pPr>
              <w:jc w:val="left"/>
              <w:rPr>
                <w:rFonts w:ascii="宋体" w:hAnsi="宋体" w:cs="宋体"/>
              </w:rPr>
            </w:pPr>
            <w:r>
              <w:rPr>
                <w:rFonts w:hint="eastAsia" w:ascii="宋体" w:hAnsi="宋体" w:cs="宋体"/>
              </w:rPr>
              <w:t>作业减少</w:t>
            </w:r>
          </w:p>
        </w:tc>
        <w:tc>
          <w:tcPr>
            <w:tcW w:w="4287" w:type="pct"/>
          </w:tcPr>
          <w:p w14:paraId="0890EC8F">
            <w:pPr>
              <w:jc w:val="left"/>
              <w:rPr>
                <w:rFonts w:ascii="宋体" w:hAnsi="宋体" w:cs="宋体"/>
              </w:rPr>
            </w:pPr>
            <w:r>
              <w:rPr>
                <w:rFonts w:hint="eastAsia" w:ascii="宋体" w:hAnsi="宋体" w:cs="宋体"/>
              </w:rPr>
              <w:t>以不断改进的方式降低作业消耗的资源或时间</w:t>
            </w:r>
          </w:p>
        </w:tc>
      </w:tr>
      <w:tr w14:paraId="54BD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4308133C">
            <w:pPr>
              <w:jc w:val="left"/>
              <w:rPr>
                <w:rFonts w:ascii="宋体" w:hAnsi="宋体" w:cs="宋体"/>
              </w:rPr>
            </w:pPr>
            <w:r>
              <w:rPr>
                <w:rFonts w:hint="eastAsia" w:ascii="宋体" w:hAnsi="宋体" w:cs="宋体"/>
              </w:rPr>
              <w:t>作业共享</w:t>
            </w:r>
          </w:p>
        </w:tc>
        <w:tc>
          <w:tcPr>
            <w:tcW w:w="4287" w:type="pct"/>
          </w:tcPr>
          <w:p w14:paraId="78D77050">
            <w:pPr>
              <w:jc w:val="left"/>
              <w:rPr>
                <w:rFonts w:ascii="宋体" w:hAnsi="宋体" w:cs="宋体"/>
              </w:rPr>
            </w:pPr>
            <w:r>
              <w:rPr>
                <w:rFonts w:hint="eastAsia" w:ascii="宋体" w:hAnsi="宋体" w:cs="宋体"/>
              </w:rPr>
              <w:t>利用规模经济来提高增值作业的效率</w:t>
            </w:r>
          </w:p>
        </w:tc>
      </w:tr>
    </w:tbl>
    <w:p w14:paraId="3F3ADB7C">
      <w:pPr>
        <w:jc w:val="left"/>
        <w:rPr>
          <w:rFonts w:ascii="宋体" w:hAnsi="宋体" w:cs="宋体"/>
          <w:color w:val="FF0000"/>
        </w:rPr>
      </w:pPr>
      <w:r>
        <w:rPr>
          <w:rFonts w:hint="eastAsia" w:ascii="宋体" w:hAnsi="宋体" w:cs="宋体"/>
          <w:color w:val="FF0000"/>
        </w:rPr>
        <w:t>【知识点6】责任成本</w:t>
      </w:r>
    </w:p>
    <w:p w14:paraId="3F14A702">
      <w:pPr>
        <w:jc w:val="left"/>
        <w:rPr>
          <w:rFonts w:ascii="宋体" w:hAnsi="宋体" w:cs="宋体"/>
        </w:rPr>
      </w:pPr>
      <w:r>
        <w:rPr>
          <w:rFonts w:hint="eastAsia" w:ascii="宋体" w:hAnsi="宋体" w:cs="宋体"/>
        </w:rPr>
        <w:t>责任中心，是指企业内部独立提供产品（或服务）、资金等的责任主体。按照企业内部责任中心的权责范围以及业务活动的不同特点，责任中心划分为成本中心、利润中心和投资中心三类</w:t>
      </w:r>
    </w:p>
    <w:p w14:paraId="4DA0AAA9">
      <w:pPr>
        <w:jc w:val="left"/>
        <w:rPr>
          <w:rFonts w:hint="eastAsia" w:ascii="宋体" w:hAnsi="宋体" w:cs="宋体"/>
          <w:color w:val="FF0000"/>
        </w:rPr>
      </w:pPr>
      <w:r>
        <w:rPr>
          <w:rFonts w:hint="eastAsia" w:ascii="宋体" w:hAnsi="宋体" w:cs="宋体"/>
          <w:color w:val="FF0000"/>
        </w:rPr>
        <w:t>（一）成本中心</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9124"/>
      </w:tblGrid>
      <w:tr w14:paraId="1A26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9" w:type="pct"/>
            <w:vMerge w:val="restart"/>
          </w:tcPr>
          <w:p w14:paraId="14CDC0A6">
            <w:pPr>
              <w:jc w:val="center"/>
              <w:rPr>
                <w:rFonts w:ascii="宋体" w:hAnsi="宋体" w:cs="宋体"/>
              </w:rPr>
            </w:pPr>
            <w:r>
              <w:rPr>
                <w:rFonts w:hint="eastAsia" w:ascii="宋体" w:hAnsi="宋体" w:cs="宋体"/>
              </w:rPr>
              <w:t xml:space="preserve"> 特点</w:t>
            </w:r>
          </w:p>
        </w:tc>
        <w:tc>
          <w:tcPr>
            <w:tcW w:w="4501" w:type="pct"/>
          </w:tcPr>
          <w:p w14:paraId="093111C4">
            <w:pPr>
              <w:rPr>
                <w:rFonts w:ascii="宋体" w:hAnsi="宋体" w:cs="宋体"/>
              </w:rPr>
            </w:pPr>
            <w:r>
              <w:rPr>
                <w:rFonts w:hint="eastAsia" w:ascii="宋体" w:hAnsi="宋体" w:cs="宋体"/>
              </w:rPr>
              <w:t>（1）成本中心不考核收入，只考核成本</w:t>
            </w:r>
          </w:p>
        </w:tc>
      </w:tr>
      <w:tr w14:paraId="37E5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tcPr>
          <w:p w14:paraId="4D2BB1A4">
            <w:pPr>
              <w:jc w:val="left"/>
              <w:rPr>
                <w:rFonts w:ascii="宋体" w:hAnsi="宋体" w:cs="宋体"/>
              </w:rPr>
            </w:pPr>
          </w:p>
        </w:tc>
        <w:tc>
          <w:tcPr>
            <w:tcW w:w="4501" w:type="pct"/>
          </w:tcPr>
          <w:p w14:paraId="1084C23B">
            <w:pPr>
              <w:rPr>
                <w:rFonts w:ascii="宋体" w:hAnsi="宋体" w:cs="宋体"/>
              </w:rPr>
            </w:pPr>
            <w:r>
              <w:rPr>
                <w:rFonts w:hint="eastAsia" w:ascii="宋体" w:hAnsi="宋体" w:cs="宋体"/>
              </w:rPr>
              <w:t>（2）只对可控成本负责，不负责不可控成本。</w:t>
            </w:r>
          </w:p>
          <w:p w14:paraId="36C8ACF6">
            <w:pPr>
              <w:rPr>
                <w:rFonts w:ascii="宋体" w:hAnsi="宋体" w:cs="宋体"/>
              </w:rPr>
            </w:pPr>
            <w:r>
              <w:rPr>
                <w:rFonts w:hint="eastAsia" w:ascii="宋体" w:hAnsi="宋体" w:cs="宋体"/>
              </w:rPr>
              <w:t>可控成本需满足三个条件：可以预见、可以计量、可以调节和控制；</w:t>
            </w:r>
          </w:p>
          <w:p w14:paraId="634EB1CB">
            <w:pPr>
              <w:rPr>
                <w:rFonts w:ascii="宋体" w:hAnsi="宋体" w:cs="宋体"/>
              </w:rPr>
            </w:pPr>
            <w:r>
              <w:rPr>
                <w:rFonts w:hint="eastAsia" w:ascii="宋体" w:hAnsi="宋体" w:cs="宋体"/>
              </w:rPr>
              <w:t>凡不符合上述三个条件的成本都是不可控成本。</w:t>
            </w:r>
          </w:p>
        </w:tc>
      </w:tr>
      <w:tr w14:paraId="53E0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tcPr>
          <w:p w14:paraId="57F970BA">
            <w:pPr>
              <w:jc w:val="left"/>
              <w:rPr>
                <w:rFonts w:ascii="宋体" w:hAnsi="宋体" w:cs="宋体"/>
              </w:rPr>
            </w:pPr>
          </w:p>
        </w:tc>
        <w:tc>
          <w:tcPr>
            <w:tcW w:w="4501" w:type="pct"/>
          </w:tcPr>
          <w:p w14:paraId="06B81B5F">
            <w:pPr>
              <w:rPr>
                <w:rFonts w:ascii="宋体" w:hAnsi="宋体" w:cs="宋体"/>
              </w:rPr>
            </w:pPr>
            <w:r>
              <w:rPr>
                <w:rFonts w:hint="eastAsia" w:ascii="宋体" w:hAnsi="宋体" w:cs="宋体"/>
              </w:rPr>
              <w:t>（3）责任成本是成本中心考核和控制的主要内容</w:t>
            </w:r>
          </w:p>
        </w:tc>
      </w:tr>
    </w:tbl>
    <w:p w14:paraId="38CC7B6E">
      <w:pPr>
        <w:jc w:val="left"/>
        <w:rPr>
          <w:rFonts w:ascii="宋体" w:hAnsi="宋体" w:cs="宋体"/>
        </w:rPr>
      </w:pPr>
      <w:r>
        <w:rPr>
          <w:rFonts w:hint="eastAsia" w:ascii="宋体" w:hAnsi="宋体" w:cs="宋体"/>
        </w:rPr>
        <w:t>考核指标：</w:t>
      </w:r>
    </w:p>
    <w:p w14:paraId="050554C3">
      <w:pPr>
        <w:jc w:val="left"/>
        <w:rPr>
          <w:rFonts w:ascii="宋体" w:hAnsi="宋体" w:cs="宋体"/>
        </w:rPr>
      </w:pPr>
      <w:r>
        <w:rPr>
          <w:rFonts w:hint="eastAsia" w:ascii="宋体" w:hAnsi="宋体" w:cs="宋体"/>
        </w:rPr>
        <w:t>预算成本节约额＝实际产量预算责任成本－实际责任成本</w:t>
      </w:r>
    </w:p>
    <w:p w14:paraId="61E3DA5F">
      <w:pPr>
        <w:jc w:val="left"/>
        <w:rPr>
          <w:rFonts w:ascii="宋体" w:hAnsi="宋体" w:cs="宋体"/>
        </w:rPr>
      </w:pPr>
      <w:r>
        <w:rPr>
          <w:rFonts w:hint="eastAsia" w:ascii="宋体" w:hAnsi="宋体" w:cs="宋体"/>
        </w:rPr>
        <w:t>预算成本节约率＝预算成本节约额/实际产量预算责任成本</w:t>
      </w:r>
    </w:p>
    <w:p w14:paraId="4246FAAE">
      <w:pPr>
        <w:jc w:val="left"/>
        <w:rPr>
          <w:rFonts w:ascii="宋体" w:hAnsi="宋体" w:cs="宋体"/>
          <w:color w:val="FF0000"/>
        </w:rPr>
      </w:pPr>
      <w:r>
        <w:rPr>
          <w:rFonts w:hint="eastAsia" w:ascii="宋体" w:hAnsi="宋体" w:cs="宋体"/>
          <w:color w:val="FF0000"/>
        </w:rPr>
        <w:t>（二）利润中心</w:t>
      </w:r>
    </w:p>
    <w:p w14:paraId="1CCFF56D">
      <w:pPr>
        <w:jc w:val="left"/>
        <w:rPr>
          <w:rFonts w:ascii="宋体" w:hAnsi="宋体" w:cs="宋体"/>
        </w:rPr>
      </w:pPr>
      <w:r>
        <w:rPr>
          <w:rFonts w:hint="eastAsia" w:ascii="宋体" w:hAnsi="宋体" w:cs="宋体"/>
        </w:rPr>
        <w:t>利润中心是指既能控制成本，又能控制收入和利润的责任单位。要同时对成本、收入以及收入成本差额即利润负责。</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1741"/>
        <w:gridCol w:w="6515"/>
      </w:tblGrid>
      <w:tr w14:paraId="0DCA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restart"/>
          </w:tcPr>
          <w:p w14:paraId="1AEC3D8B">
            <w:pPr>
              <w:jc w:val="center"/>
              <w:rPr>
                <w:rFonts w:ascii="宋体" w:hAnsi="宋体" w:cs="宋体"/>
              </w:rPr>
            </w:pPr>
            <w:r>
              <w:rPr>
                <w:rFonts w:hint="eastAsia" w:ascii="宋体" w:hAnsi="宋体" w:cs="宋体"/>
              </w:rPr>
              <w:t>利润中心分类</w:t>
            </w:r>
          </w:p>
        </w:tc>
        <w:tc>
          <w:tcPr>
            <w:tcW w:w="859" w:type="pct"/>
          </w:tcPr>
          <w:p w14:paraId="017712FC">
            <w:pPr>
              <w:jc w:val="left"/>
              <w:rPr>
                <w:rFonts w:ascii="宋体" w:hAnsi="宋体" w:cs="宋体"/>
              </w:rPr>
            </w:pPr>
            <w:r>
              <w:rPr>
                <w:rFonts w:hint="eastAsia" w:ascii="宋体" w:hAnsi="宋体" w:cs="宋体"/>
              </w:rPr>
              <w:t>自然利润中心</w:t>
            </w:r>
          </w:p>
        </w:tc>
        <w:tc>
          <w:tcPr>
            <w:tcW w:w="3214" w:type="pct"/>
          </w:tcPr>
          <w:p w14:paraId="310B892D">
            <w:pPr>
              <w:jc w:val="left"/>
              <w:rPr>
                <w:rFonts w:ascii="宋体" w:hAnsi="宋体" w:cs="宋体"/>
              </w:rPr>
            </w:pPr>
            <w:r>
              <w:rPr>
                <w:rFonts w:hint="eastAsia" w:ascii="宋体" w:hAnsi="宋体" w:cs="宋体"/>
              </w:rPr>
              <w:t>自然形成的，直接对外提供劳务或销售产品以取得收入</w:t>
            </w:r>
          </w:p>
        </w:tc>
      </w:tr>
      <w:tr w14:paraId="1865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68E0D512">
            <w:pPr>
              <w:jc w:val="left"/>
              <w:rPr>
                <w:rFonts w:ascii="宋体" w:hAnsi="宋体" w:cs="宋体"/>
              </w:rPr>
            </w:pPr>
          </w:p>
        </w:tc>
        <w:tc>
          <w:tcPr>
            <w:tcW w:w="859" w:type="pct"/>
          </w:tcPr>
          <w:p w14:paraId="28220A91">
            <w:pPr>
              <w:jc w:val="left"/>
              <w:rPr>
                <w:rFonts w:ascii="宋体" w:hAnsi="宋体" w:cs="宋体"/>
              </w:rPr>
            </w:pPr>
            <w:r>
              <w:rPr>
                <w:rFonts w:hint="eastAsia" w:ascii="宋体" w:hAnsi="宋体" w:cs="宋体"/>
              </w:rPr>
              <w:t>人为利润中心</w:t>
            </w:r>
          </w:p>
        </w:tc>
        <w:tc>
          <w:tcPr>
            <w:tcW w:w="3214" w:type="pct"/>
          </w:tcPr>
          <w:p w14:paraId="3ABCD994">
            <w:pPr>
              <w:jc w:val="left"/>
              <w:rPr>
                <w:rFonts w:ascii="宋体" w:hAnsi="宋体" w:cs="宋体"/>
              </w:rPr>
            </w:pPr>
            <w:r>
              <w:rPr>
                <w:rFonts w:hint="eastAsia" w:ascii="宋体" w:hAnsi="宋体" w:cs="宋体"/>
              </w:rPr>
              <w:t>人为设定的，通过企业内部各责任中心之间使用内部结算价格结算半成品取得内部销售收入</w:t>
            </w:r>
          </w:p>
        </w:tc>
      </w:tr>
    </w:tbl>
    <w:p w14:paraId="1CE1F945">
      <w:pPr>
        <w:overflowPunct w:val="0"/>
        <w:jc w:val="left"/>
        <w:rPr>
          <w:rFonts w:hint="eastAsia" w:ascii="宋体" w:hAnsi="宋体" w:cs="宋体"/>
        </w:rPr>
      </w:pP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9"/>
        <w:gridCol w:w="4776"/>
      </w:tblGrid>
      <w:tr w14:paraId="353A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pct"/>
          </w:tcPr>
          <w:p w14:paraId="7F8DB891">
            <w:pPr>
              <w:rPr>
                <w:rFonts w:ascii="宋体" w:hAnsi="宋体" w:cs="宋体"/>
              </w:rPr>
            </w:pPr>
            <w:r>
              <w:rPr>
                <w:rFonts w:hint="eastAsia" w:ascii="宋体" w:hAnsi="宋体" w:cs="宋体"/>
              </w:rPr>
              <w:t>边际贡献=销售收入总额－变动成本总额</w:t>
            </w:r>
          </w:p>
        </w:tc>
        <w:tc>
          <w:tcPr>
            <w:tcW w:w="2356" w:type="pct"/>
          </w:tcPr>
          <w:p w14:paraId="58F4767F">
            <w:pPr>
              <w:rPr>
                <w:rFonts w:ascii="宋体" w:hAnsi="宋体" w:cs="宋体"/>
              </w:rPr>
            </w:pPr>
            <w:r>
              <w:rPr>
                <w:rFonts w:hint="eastAsia" w:ascii="宋体" w:hAnsi="宋体" w:cs="宋体"/>
              </w:rPr>
              <w:t>反映了利润中心的盈利能力，但对业绩评价没有太大作用。</w:t>
            </w:r>
          </w:p>
        </w:tc>
      </w:tr>
      <w:tr w14:paraId="375D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pct"/>
          </w:tcPr>
          <w:p w14:paraId="0D76AF58">
            <w:pPr>
              <w:rPr>
                <w:rFonts w:ascii="宋体" w:hAnsi="宋体" w:cs="宋体"/>
              </w:rPr>
            </w:pPr>
            <w:r>
              <w:rPr>
                <w:rFonts w:hint="eastAsia" w:ascii="宋体" w:hAnsi="宋体" w:cs="宋体"/>
              </w:rPr>
              <w:t>可控边际贡献=边际贡献－该中心负责人可控固定成本</w:t>
            </w:r>
          </w:p>
        </w:tc>
        <w:tc>
          <w:tcPr>
            <w:tcW w:w="2356" w:type="pct"/>
          </w:tcPr>
          <w:p w14:paraId="79D944D5">
            <w:pPr>
              <w:rPr>
                <w:rFonts w:ascii="宋体" w:hAnsi="宋体" w:cs="宋体"/>
              </w:rPr>
            </w:pPr>
            <w:r>
              <w:rPr>
                <w:rFonts w:hint="eastAsia" w:ascii="宋体" w:hAnsi="宋体" w:cs="宋体"/>
              </w:rPr>
              <w:t>也称部门经理边际贡献，是评价利润中心管理者业绩的理想指标。</w:t>
            </w:r>
          </w:p>
        </w:tc>
      </w:tr>
      <w:tr w14:paraId="3FB6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pct"/>
          </w:tcPr>
          <w:p w14:paraId="5D4E500F">
            <w:pPr>
              <w:rPr>
                <w:rFonts w:ascii="宋体" w:hAnsi="宋体" w:cs="宋体"/>
              </w:rPr>
            </w:pPr>
            <w:r>
              <w:rPr>
                <w:rFonts w:hint="eastAsia" w:ascii="宋体" w:hAnsi="宋体" w:cs="宋体"/>
              </w:rPr>
              <w:t>部门边际贡献</w:t>
            </w:r>
          </w:p>
          <w:p w14:paraId="09FC1228">
            <w:pPr>
              <w:rPr>
                <w:rFonts w:ascii="宋体" w:hAnsi="宋体" w:cs="宋体"/>
              </w:rPr>
            </w:pPr>
            <w:r>
              <w:rPr>
                <w:rFonts w:hint="eastAsia" w:ascii="宋体" w:hAnsi="宋体" w:cs="宋体"/>
              </w:rPr>
              <w:t>=可控边际贡献－该中心负责人不可控固定成本</w:t>
            </w:r>
          </w:p>
        </w:tc>
        <w:tc>
          <w:tcPr>
            <w:tcW w:w="2356" w:type="pct"/>
          </w:tcPr>
          <w:p w14:paraId="1756017F">
            <w:pPr>
              <w:rPr>
                <w:rFonts w:ascii="宋体" w:hAnsi="宋体" w:cs="宋体"/>
              </w:rPr>
            </w:pPr>
            <w:r>
              <w:rPr>
                <w:rFonts w:hint="eastAsia" w:ascii="宋体" w:hAnsi="宋体" w:cs="宋体"/>
              </w:rPr>
              <w:t>又称部门毛利。反映了部门为企业利润和弥补与生产能力有关的成本作出的贡献，它更多的用于评价部门业绩而不是利润中心管理者的业绩。</w:t>
            </w:r>
          </w:p>
        </w:tc>
      </w:tr>
    </w:tbl>
    <w:p w14:paraId="29AC12AD">
      <w:pPr>
        <w:jc w:val="left"/>
        <w:rPr>
          <w:rFonts w:ascii="宋体" w:hAnsi="宋体" w:cs="宋体"/>
          <w:color w:val="FF0000"/>
        </w:rPr>
      </w:pPr>
      <w:r>
        <w:rPr>
          <w:rFonts w:hint="eastAsia" w:ascii="宋体" w:hAnsi="宋体" w:cs="宋体"/>
          <w:color w:val="FF0000"/>
        </w:rPr>
        <w:t>（三）投资中心</w:t>
      </w:r>
    </w:p>
    <w:p w14:paraId="2321B588">
      <w:pPr>
        <w:jc w:val="left"/>
        <w:rPr>
          <w:rFonts w:ascii="宋体" w:hAnsi="宋体" w:cs="宋体"/>
        </w:rPr>
      </w:pPr>
      <w:r>
        <w:rPr>
          <w:rFonts w:hint="eastAsia" w:ascii="宋体" w:hAnsi="宋体" w:cs="宋体"/>
        </w:rPr>
        <w:t>投资中心既能控制成本、收入和利润，又能对投入的资金进行控制的责任中心，如事业部、子公司等。对投资中心的业绩进行评价时，主要有投资收益率和剩余收益等指标。</w:t>
      </w:r>
    </w:p>
    <w:p w14:paraId="20F93E48">
      <w:pPr>
        <w:jc w:val="left"/>
        <w:rPr>
          <w:rFonts w:ascii="宋体" w:hAnsi="宋体" w:cs="宋体"/>
          <w:color w:val="FF0000"/>
        </w:rPr>
      </w:pPr>
      <w:r>
        <w:rPr>
          <w:rFonts w:hint="eastAsia" w:ascii="宋体" w:hAnsi="宋体" w:cs="宋体"/>
          <w:color w:val="FF0000"/>
        </w:rPr>
        <w:t>（1）投资收益率</w:t>
      </w:r>
    </w:p>
    <w:p w14:paraId="50000957">
      <w:pPr>
        <w:jc w:val="left"/>
        <w:rPr>
          <w:rFonts w:ascii="宋体" w:hAnsi="宋体" w:cs="宋体"/>
        </w:rPr>
      </w:pPr>
      <w:r>
        <w:rPr>
          <w:rFonts w:hint="eastAsia" w:ascii="宋体" w:hAnsi="宋体" w:cs="宋体"/>
        </w:rPr>
        <w:t>投资收益率＝息税前利润/平均经营资产</w:t>
      </w:r>
    </w:p>
    <w:p w14:paraId="73E2EF3D">
      <w:pPr>
        <w:jc w:val="left"/>
        <w:rPr>
          <w:rFonts w:hint="eastAsia" w:ascii="宋体" w:hAnsi="宋体" w:cs="宋体"/>
        </w:rPr>
      </w:pPr>
      <w:r>
        <w:rPr>
          <w:rFonts w:hint="eastAsia" w:ascii="宋体" w:hAnsi="宋体" w:cs="宋体"/>
        </w:rPr>
        <w:t>平均经营资产＝（期初经营资产＋期末经营资产）/2</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9124"/>
      </w:tblGrid>
      <w:tr w14:paraId="6DF6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5936C50A">
            <w:pPr>
              <w:jc w:val="left"/>
              <w:rPr>
                <w:rFonts w:ascii="宋体" w:hAnsi="宋体" w:cs="宋体"/>
              </w:rPr>
            </w:pPr>
            <w:r>
              <w:rPr>
                <w:rFonts w:hint="eastAsia" w:ascii="宋体" w:hAnsi="宋体" w:cs="宋体"/>
              </w:rPr>
              <w:t xml:space="preserve">优点 </w:t>
            </w:r>
          </w:p>
        </w:tc>
        <w:tc>
          <w:tcPr>
            <w:tcW w:w="4501" w:type="pct"/>
          </w:tcPr>
          <w:p w14:paraId="112F1794">
            <w:pPr>
              <w:jc w:val="left"/>
              <w:rPr>
                <w:rFonts w:ascii="宋体" w:hAnsi="宋体" w:cs="宋体"/>
              </w:rPr>
            </w:pPr>
            <w:r>
              <w:rPr>
                <w:rFonts w:hint="eastAsia" w:ascii="宋体" w:hAnsi="宋体" w:cs="宋体"/>
              </w:rPr>
              <w:t>（1）主要说明了投资中心运用公司的每单位资产对公司整体利润贡献的大小</w:t>
            </w:r>
          </w:p>
          <w:p w14:paraId="66B9A223">
            <w:pPr>
              <w:jc w:val="left"/>
              <w:rPr>
                <w:rFonts w:ascii="宋体" w:hAnsi="宋体" w:cs="宋体"/>
              </w:rPr>
            </w:pPr>
            <w:r>
              <w:rPr>
                <w:rFonts w:hint="eastAsia" w:ascii="宋体" w:hAnsi="宋体" w:cs="宋体"/>
              </w:rPr>
              <w:t>（2）根据现有的会计资料计算，比较客观，可用于部门之间，以及不同行业之间的比较；</w:t>
            </w:r>
          </w:p>
          <w:p w14:paraId="49BA6BC8">
            <w:pPr>
              <w:jc w:val="left"/>
              <w:rPr>
                <w:rFonts w:ascii="宋体" w:hAnsi="宋体" w:cs="宋体"/>
              </w:rPr>
            </w:pPr>
            <w:r>
              <w:rPr>
                <w:rFonts w:hint="eastAsia" w:ascii="宋体" w:hAnsi="宋体" w:cs="宋体"/>
              </w:rPr>
              <w:t xml:space="preserve">（3）有利于资产存量的调整，优化资源配置 </w:t>
            </w:r>
          </w:p>
        </w:tc>
      </w:tr>
      <w:tr w14:paraId="57DB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41228F66">
            <w:pPr>
              <w:jc w:val="left"/>
              <w:rPr>
                <w:rFonts w:ascii="宋体" w:hAnsi="宋体" w:cs="宋体"/>
              </w:rPr>
            </w:pPr>
            <w:r>
              <w:rPr>
                <w:rFonts w:hint="eastAsia" w:ascii="宋体" w:hAnsi="宋体" w:cs="宋体"/>
              </w:rPr>
              <w:t xml:space="preserve">缺点 </w:t>
            </w:r>
          </w:p>
        </w:tc>
        <w:tc>
          <w:tcPr>
            <w:tcW w:w="4501" w:type="pct"/>
          </w:tcPr>
          <w:p w14:paraId="07F94DD0">
            <w:pPr>
              <w:jc w:val="left"/>
              <w:rPr>
                <w:rFonts w:ascii="宋体" w:hAnsi="宋体" w:cs="宋体"/>
              </w:rPr>
            </w:pPr>
            <w:r>
              <w:rPr>
                <w:rFonts w:hint="eastAsia" w:ascii="宋体" w:hAnsi="宋体" w:cs="宋体"/>
              </w:rPr>
              <w:t>会引起短期行为的产生，追求局部利益最大化而损害整体利益最大化目标，导致经理人员为眼前利益而牺牲长远利益，</w:t>
            </w:r>
          </w:p>
        </w:tc>
      </w:tr>
    </w:tbl>
    <w:p w14:paraId="30323904">
      <w:pPr>
        <w:jc w:val="left"/>
        <w:rPr>
          <w:rFonts w:ascii="宋体" w:hAnsi="宋体" w:cs="宋体"/>
          <w:color w:val="FF0000"/>
        </w:rPr>
      </w:pPr>
      <w:r>
        <w:rPr>
          <w:rFonts w:hint="eastAsia" w:ascii="宋体" w:hAnsi="宋体" w:cs="宋体"/>
          <w:color w:val="FF0000"/>
        </w:rPr>
        <w:t>（2）剩余收益</w:t>
      </w:r>
    </w:p>
    <w:p w14:paraId="21BE6724">
      <w:pPr>
        <w:jc w:val="left"/>
        <w:rPr>
          <w:rFonts w:ascii="宋体" w:hAnsi="宋体" w:cs="宋体"/>
        </w:rPr>
      </w:pPr>
      <w:r>
        <w:rPr>
          <w:rFonts w:hint="eastAsia" w:ascii="宋体" w:hAnsi="宋体" w:cs="宋体"/>
        </w:rPr>
        <w:t>剩余收益＝息税前利润－（平均经营资产×最低投资收益率）</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980"/>
      </w:tblGrid>
      <w:tr w14:paraId="54E1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02DB645A">
            <w:pPr>
              <w:jc w:val="left"/>
              <w:rPr>
                <w:rFonts w:ascii="宋体" w:hAnsi="宋体" w:cs="宋体"/>
              </w:rPr>
            </w:pPr>
            <w:r>
              <w:rPr>
                <w:rFonts w:hint="eastAsia" w:ascii="宋体" w:hAnsi="宋体" w:cs="宋体"/>
              </w:rPr>
              <w:t xml:space="preserve">优点 </w:t>
            </w:r>
          </w:p>
        </w:tc>
        <w:tc>
          <w:tcPr>
            <w:tcW w:w="4430" w:type="pct"/>
          </w:tcPr>
          <w:p w14:paraId="47456C94">
            <w:pPr>
              <w:jc w:val="left"/>
              <w:rPr>
                <w:rFonts w:ascii="宋体" w:hAnsi="宋体" w:cs="宋体"/>
              </w:rPr>
            </w:pPr>
            <w:r>
              <w:rPr>
                <w:rFonts w:hint="eastAsia" w:ascii="宋体" w:hAnsi="宋体" w:cs="宋体"/>
              </w:rPr>
              <w:t xml:space="preserve">弥补了投资收益率指标会使局部利益与整体利益冲突的不足。 </w:t>
            </w:r>
          </w:p>
        </w:tc>
      </w:tr>
      <w:tr w14:paraId="2D28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761EAEEC">
            <w:pPr>
              <w:jc w:val="left"/>
              <w:rPr>
                <w:rFonts w:ascii="宋体" w:hAnsi="宋体" w:cs="宋体"/>
              </w:rPr>
            </w:pPr>
            <w:r>
              <w:rPr>
                <w:rFonts w:hint="eastAsia" w:ascii="宋体" w:hAnsi="宋体" w:cs="宋体"/>
              </w:rPr>
              <w:t xml:space="preserve">缺点 </w:t>
            </w:r>
          </w:p>
        </w:tc>
        <w:tc>
          <w:tcPr>
            <w:tcW w:w="4430" w:type="pct"/>
          </w:tcPr>
          <w:p w14:paraId="035C531E">
            <w:pPr>
              <w:jc w:val="left"/>
              <w:rPr>
                <w:rFonts w:ascii="宋体" w:hAnsi="宋体" w:cs="宋体"/>
              </w:rPr>
            </w:pPr>
            <w:r>
              <w:rPr>
                <w:rFonts w:hint="eastAsia" w:ascii="宋体" w:hAnsi="宋体" w:cs="宋体"/>
              </w:rPr>
              <w:t>（1）绝对指标，难以在不同规模的投资中心之间进行业绩比较。</w:t>
            </w:r>
          </w:p>
          <w:p w14:paraId="27D0D209">
            <w:pPr>
              <w:jc w:val="left"/>
              <w:rPr>
                <w:rFonts w:ascii="宋体" w:hAnsi="宋体" w:cs="宋体"/>
              </w:rPr>
            </w:pPr>
            <w:r>
              <w:rPr>
                <w:rFonts w:hint="eastAsia" w:ascii="宋体" w:hAnsi="宋体" w:cs="宋体"/>
              </w:rPr>
              <w:t>（2）仅反映当期业绩，单纯使用这一指标也会导致投资中心管理者的短期行为。</w:t>
            </w:r>
          </w:p>
        </w:tc>
      </w:tr>
    </w:tbl>
    <w:p w14:paraId="28EBAB76">
      <w:pPr>
        <w:jc w:val="left"/>
        <w:rPr>
          <w:rFonts w:ascii="宋体" w:hAnsi="宋体" w:cs="宋体"/>
          <w:color w:val="FF0000"/>
        </w:rPr>
      </w:pPr>
      <w:r>
        <w:rPr>
          <w:rFonts w:hint="eastAsia" w:ascii="宋体" w:hAnsi="宋体" w:cs="宋体"/>
          <w:color w:val="FF0000"/>
        </w:rPr>
        <w:t>【知识点7】内部转移定价分类</w:t>
      </w:r>
    </w:p>
    <w:p w14:paraId="7028F97C">
      <w:pPr>
        <w:jc w:val="left"/>
        <w:rPr>
          <w:rFonts w:ascii="宋体" w:hAnsi="宋体" w:cs="宋体"/>
        </w:rPr>
      </w:pPr>
      <w:r>
        <w:rPr>
          <w:rFonts w:hint="eastAsia" w:ascii="宋体" w:hAnsi="宋体" w:cs="宋体"/>
          <w:color w:val="FF0000"/>
        </w:rPr>
        <w:t>（1）价格型内部转移价格，</w:t>
      </w:r>
      <w:r>
        <w:rPr>
          <w:rFonts w:hint="eastAsia" w:ascii="宋体" w:hAnsi="宋体" w:cs="宋体"/>
        </w:rPr>
        <w:t>以市场价格为基础、由成本和毛利构成。一般适用于内部利润中心</w:t>
      </w:r>
    </w:p>
    <w:p w14:paraId="626027EF">
      <w:pPr>
        <w:jc w:val="left"/>
        <w:rPr>
          <w:rFonts w:ascii="宋体" w:hAnsi="宋体" w:cs="宋体"/>
        </w:rPr>
      </w:pPr>
      <w:r>
        <w:rPr>
          <w:rFonts w:hint="eastAsia" w:ascii="宋体" w:hAnsi="宋体" w:cs="宋体"/>
          <w:color w:val="FF0000"/>
        </w:rPr>
        <w:t>（2）成本型内部转移价格，</w:t>
      </w:r>
      <w:r>
        <w:rPr>
          <w:rFonts w:hint="eastAsia" w:ascii="宋体" w:hAnsi="宋体" w:cs="宋体"/>
        </w:rPr>
        <w:t>以标准成本等相对稳定的成本数据为基础制定。一般适用于内部成本中心。</w:t>
      </w:r>
    </w:p>
    <w:p w14:paraId="5072A08F">
      <w:pPr>
        <w:jc w:val="left"/>
        <w:rPr>
          <w:rFonts w:ascii="宋体" w:hAnsi="宋体" w:cs="宋体"/>
        </w:rPr>
      </w:pPr>
      <w:r>
        <w:rPr>
          <w:rFonts w:hint="eastAsia" w:ascii="宋体" w:hAnsi="宋体" w:cs="宋体"/>
          <w:color w:val="FF0000"/>
        </w:rPr>
        <w:t>【提示1】</w:t>
      </w:r>
      <w:r>
        <w:rPr>
          <w:rFonts w:hint="eastAsia" w:ascii="宋体" w:hAnsi="宋体" w:cs="宋体"/>
        </w:rPr>
        <w:t>内部转移的产品或劳务没有市价。</w:t>
      </w:r>
    </w:p>
    <w:p w14:paraId="571B1246">
      <w:pPr>
        <w:jc w:val="left"/>
        <w:rPr>
          <w:rFonts w:ascii="宋体" w:hAnsi="宋体" w:cs="宋体"/>
        </w:rPr>
      </w:pPr>
      <w:r>
        <w:rPr>
          <w:rFonts w:hint="eastAsia" w:ascii="宋体" w:hAnsi="宋体" w:cs="宋体"/>
          <w:color w:val="FF0000"/>
        </w:rPr>
        <w:t>【提示2】</w:t>
      </w:r>
      <w:r>
        <w:rPr>
          <w:rFonts w:hint="eastAsia" w:ascii="宋体" w:hAnsi="宋体" w:cs="宋体"/>
        </w:rPr>
        <w:t>成本型内部转移价格的表现形式包括完全成本、完全成本加成、变动成本以及变动成本加固定制造费用四种形式。</w:t>
      </w:r>
    </w:p>
    <w:p w14:paraId="40B9C28E">
      <w:pPr>
        <w:jc w:val="left"/>
        <w:rPr>
          <w:rFonts w:hint="eastAsia" w:ascii="宋体" w:hAnsi="宋体" w:cs="宋体"/>
          <w:color w:val="FF0000"/>
        </w:rPr>
      </w:pPr>
      <w:r>
        <w:rPr>
          <w:rFonts w:hint="eastAsia" w:ascii="宋体" w:hAnsi="宋体" w:cs="宋体"/>
          <w:color w:val="FF0000"/>
        </w:rPr>
        <w:t>（3）协商型内部转移价格，</w:t>
      </w:r>
      <w:r>
        <w:rPr>
          <w:rFonts w:hint="eastAsia" w:ascii="宋体" w:hAnsi="宋体" w:cs="宋体"/>
        </w:rPr>
        <w:t>通过内部供求双方协商制定的内部转移价格。适用于分权程度较高的企业，</w:t>
      </w:r>
      <w:r>
        <w:rPr>
          <w:rFonts w:hint="eastAsia" w:ascii="宋体" w:hAnsi="宋体" w:cs="宋体"/>
          <w:color w:val="FF0000"/>
        </w:rPr>
        <w:t>上限是市场价，下限是变动成本。</w:t>
      </w:r>
    </w:p>
    <w:p w14:paraId="1F90048A">
      <w:pPr>
        <w:overflowPunct w:val="0"/>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第九章  收入与分配管理</w:t>
      </w:r>
    </w:p>
    <w:p w14:paraId="7B131660">
      <w:pPr>
        <w:jc w:val="left"/>
        <w:rPr>
          <w:rFonts w:ascii="宋体" w:hAnsi="宋体" w:cs="宋体"/>
        </w:rPr>
      </w:pPr>
      <w:r>
        <w:rPr>
          <w:rFonts w:hint="eastAsia" w:ascii="宋体" w:hAnsi="宋体" w:cs="宋体"/>
          <w:color w:val="FF0000"/>
        </w:rPr>
        <w:t>【考情分析】</w:t>
      </w:r>
      <w:r>
        <w:rPr>
          <w:rFonts w:hint="eastAsia" w:ascii="宋体" w:hAnsi="宋体" w:cs="宋体"/>
        </w:rPr>
        <w:t>预测2024年分数在8分左右，主观题和客观题都会涉及。</w:t>
      </w:r>
    </w:p>
    <w:p w14:paraId="30F1E5B2">
      <w:pPr>
        <w:jc w:val="center"/>
        <w:rPr>
          <w:rFonts w:ascii="宋体" w:hAnsi="宋体" w:cs="宋体"/>
          <w:b/>
          <w:bCs/>
        </w:rPr>
      </w:pPr>
      <w:r>
        <w:rPr>
          <w:rFonts w:hint="eastAsia" w:ascii="宋体" w:hAnsi="宋体" w:cs="宋体"/>
          <w:b/>
          <w:bCs/>
        </w:rPr>
        <w:t>第二节 收入管理</w:t>
      </w:r>
    </w:p>
    <w:p w14:paraId="1BF2164F">
      <w:pPr>
        <w:jc w:val="left"/>
        <w:rPr>
          <w:rFonts w:ascii="宋体" w:hAnsi="宋体" w:cs="宋体"/>
        </w:rPr>
      </w:pPr>
      <w:r>
        <w:rPr>
          <w:rFonts w:ascii="宋体" w:hAnsi="宋体" w:cs="宋体"/>
        </w:rPr>
        <w:drawing>
          <wp:inline distT="0" distB="0" distL="0" distR="0">
            <wp:extent cx="6299835" cy="1270000"/>
            <wp:effectExtent l="0" t="0" r="5715" b="0"/>
            <wp:docPr id="1911764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64025" name="图片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99835" cy="1270000"/>
                    </a:xfrm>
                    <a:prstGeom prst="rect">
                      <a:avLst/>
                    </a:prstGeom>
                  </pic:spPr>
                </pic:pic>
              </a:graphicData>
            </a:graphic>
          </wp:inline>
        </w:drawing>
      </w:r>
    </w:p>
    <w:p w14:paraId="25923475">
      <w:pPr>
        <w:jc w:val="left"/>
        <w:rPr>
          <w:rFonts w:ascii="宋体" w:hAnsi="宋体" w:cs="宋体"/>
          <w:color w:val="FF0000"/>
        </w:rPr>
      </w:pPr>
      <w:r>
        <w:rPr>
          <w:rFonts w:hint="eastAsia" w:ascii="宋体" w:hAnsi="宋体" w:cs="宋体"/>
          <w:color w:val="FF0000"/>
        </w:rPr>
        <w:t>【知识点1】销售预测分析——定性分析</w:t>
      </w:r>
    </w:p>
    <w:p w14:paraId="10018B4E">
      <w:pPr>
        <w:jc w:val="left"/>
        <w:rPr>
          <w:rFonts w:ascii="宋体" w:hAnsi="宋体" w:cs="宋体"/>
        </w:rPr>
      </w:pPr>
      <w:r>
        <w:rPr>
          <w:rFonts w:hint="eastAsia" w:ascii="宋体" w:hAnsi="宋体" w:cs="宋体"/>
        </w:rPr>
        <w:t>1.营销员判断法</w:t>
      </w:r>
    </w:p>
    <w:p w14:paraId="36ABF230">
      <w:pPr>
        <w:jc w:val="left"/>
        <w:rPr>
          <w:rFonts w:ascii="宋体" w:hAnsi="宋体" w:cs="宋体"/>
        </w:rPr>
      </w:pPr>
      <w:r>
        <w:rPr>
          <w:rFonts w:hint="eastAsia" w:ascii="宋体" w:hAnsi="宋体" w:cs="宋体"/>
        </w:rPr>
        <w:t>2.专家判断法：主要有个别专家意见汇集法、专家小组法、德尔菲法等方法</w:t>
      </w:r>
    </w:p>
    <w:p w14:paraId="591FC450">
      <w:pPr>
        <w:jc w:val="left"/>
        <w:rPr>
          <w:rFonts w:ascii="宋体" w:hAnsi="宋体" w:cs="宋体"/>
        </w:rPr>
      </w:pPr>
      <w:r>
        <w:rPr>
          <w:rFonts w:hint="eastAsia" w:ascii="宋体" w:hAnsi="宋体" w:cs="宋体"/>
        </w:rPr>
        <w:t>3.产品寿命周期分析法：推广期；成长期；成熟期；衰退期</w:t>
      </w:r>
    </w:p>
    <w:p w14:paraId="1AE0E572">
      <w:pPr>
        <w:jc w:val="left"/>
        <w:rPr>
          <w:rFonts w:ascii="宋体" w:hAnsi="宋体" w:cs="宋体"/>
          <w:color w:val="FF0000"/>
        </w:rPr>
      </w:pPr>
      <w:r>
        <w:rPr>
          <w:rFonts w:hint="eastAsia" w:ascii="宋体" w:hAnsi="宋体" w:cs="宋体"/>
          <w:color w:val="FF0000"/>
        </w:rPr>
        <w:t>【知识点2】销售预测的定量分析法</w:t>
      </w:r>
    </w:p>
    <w:p w14:paraId="4189A544">
      <w:pPr>
        <w:jc w:val="left"/>
        <w:rPr>
          <w:rFonts w:ascii="宋体" w:hAnsi="宋体" w:cs="宋体"/>
        </w:rPr>
      </w:pPr>
      <w:r>
        <w:rPr>
          <w:rFonts w:ascii="宋体" w:hAnsi="宋体" w:cs="宋体"/>
        </w:rPr>
        <w:drawing>
          <wp:inline distT="0" distB="0" distL="0" distR="0">
            <wp:extent cx="2985770" cy="1278255"/>
            <wp:effectExtent l="0" t="0" r="5080" b="17145"/>
            <wp:docPr id="2110424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4360" name="图片 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09780" cy="1288670"/>
                    </a:xfrm>
                    <a:prstGeom prst="rect">
                      <a:avLst/>
                    </a:prstGeom>
                  </pic:spPr>
                </pic:pic>
              </a:graphicData>
            </a:graphic>
          </wp:inline>
        </w:drawing>
      </w:r>
    </w:p>
    <w:p w14:paraId="11A8AFFE">
      <w:pPr>
        <w:jc w:val="left"/>
        <w:rPr>
          <w:rFonts w:ascii="宋体" w:hAnsi="宋体" w:cs="宋体"/>
          <w:color w:val="FF0000"/>
        </w:rPr>
      </w:pPr>
      <w:r>
        <w:rPr>
          <w:rFonts w:hint="eastAsia" w:ascii="宋体" w:hAnsi="宋体" w:cs="宋体"/>
          <w:color w:val="FF0000"/>
        </w:rPr>
        <w:t>一、趋势分析法</w:t>
      </w:r>
    </w:p>
    <w:p w14:paraId="5399915F">
      <w:pPr>
        <w:jc w:val="left"/>
        <w:rPr>
          <w:rFonts w:ascii="宋体" w:hAnsi="宋体" w:cs="宋体"/>
          <w:color w:val="FF0000"/>
        </w:rPr>
      </w:pPr>
      <w:r>
        <w:rPr>
          <w:rFonts w:hint="eastAsia" w:ascii="宋体" w:hAnsi="宋体" w:cs="宋体"/>
          <w:color w:val="FF0000"/>
        </w:rPr>
        <w:t>1. 算术平均法</w:t>
      </w:r>
    </w:p>
    <w:p w14:paraId="3454C2BA">
      <w:pPr>
        <w:jc w:val="left"/>
        <w:rPr>
          <w:rFonts w:ascii="宋体" w:hAnsi="宋体" w:cs="宋体"/>
          <w:color w:val="FF0000"/>
        </w:rPr>
      </w:pPr>
      <w:r>
        <w:rPr>
          <w:rFonts w:hint="eastAsia" w:ascii="宋体" w:hAnsi="宋体" w:cs="宋体"/>
          <w:color w:val="FF0000"/>
        </w:rPr>
        <w:t>2．加权平均法</w:t>
      </w:r>
    </w:p>
    <w:p w14:paraId="49E813EC">
      <w:pPr>
        <w:jc w:val="left"/>
        <w:rPr>
          <w:rFonts w:ascii="宋体" w:hAnsi="宋体" w:cs="宋体"/>
        </w:rPr>
      </w:pPr>
      <w:r>
        <w:rPr>
          <w:rFonts w:hint="eastAsia" w:ascii="宋体" w:hAnsi="宋体" w:cs="宋体"/>
        </w:rPr>
        <w:t>将各个样本值按照一定的权数计算得出加权平均数，并将该平均数作为下期销售量的预测值。权数的选取应遵循“近大远小”的原则。</w:t>
      </w:r>
    </w:p>
    <w:p w14:paraId="1737CA92">
      <w:pPr>
        <w:jc w:val="left"/>
        <w:rPr>
          <w:rFonts w:ascii="宋体" w:hAnsi="宋体" w:cs="宋体"/>
          <w:color w:val="FF0000"/>
        </w:rPr>
      </w:pPr>
      <w:r>
        <w:rPr>
          <w:rFonts w:hint="eastAsia" w:ascii="宋体" w:hAnsi="宋体" w:cs="宋体"/>
          <w:color w:val="FF0000"/>
        </w:rPr>
        <w:t>3.移动平均法</w:t>
      </w:r>
    </w:p>
    <w:p w14:paraId="60FDFA87">
      <w:pPr>
        <w:jc w:val="left"/>
        <w:rPr>
          <w:rFonts w:ascii="宋体" w:hAnsi="宋体" w:cs="宋体"/>
        </w:rPr>
      </w:pPr>
      <w:r>
        <w:rPr>
          <w:rFonts w:hint="eastAsia" w:ascii="宋体" w:hAnsi="宋体" w:cs="宋体"/>
        </w:rPr>
        <w:t>（1）移动平均法是指从n期的时间数列销售量中选取m期（m数值固定，且m＜n/2）数据作为样本值，求其m期的算术平均数，并不断向后移动计算观测其平均值。</w:t>
      </w:r>
    </w:p>
    <w:p w14:paraId="264C2517">
      <w:pPr>
        <w:jc w:val="left"/>
        <w:rPr>
          <w:rFonts w:ascii="宋体" w:hAnsi="宋体" w:cs="宋体"/>
        </w:rPr>
      </w:pPr>
      <w:r>
        <w:rPr>
          <w:rFonts w:hint="eastAsia" w:ascii="宋体" w:hAnsi="宋体" w:cs="宋体"/>
        </w:rPr>
        <w:t>（2）修正销售预测值＝未修正销售预测值＋（未修正销售预测值－预测前期的销售预测值）</w:t>
      </w:r>
    </w:p>
    <w:p w14:paraId="2B2396C4">
      <w:pPr>
        <w:jc w:val="left"/>
        <w:rPr>
          <w:rFonts w:ascii="宋体" w:hAnsi="宋体" w:cs="宋体"/>
          <w:color w:val="FF0000"/>
        </w:rPr>
      </w:pPr>
      <w:r>
        <w:rPr>
          <w:rFonts w:hint="eastAsia" w:ascii="宋体" w:hAnsi="宋体" w:cs="宋体"/>
          <w:color w:val="FF0000"/>
        </w:rPr>
        <w:t>4．指数平滑法</w:t>
      </w:r>
    </w:p>
    <w:p w14:paraId="0D85FC01">
      <w:pPr>
        <w:jc w:val="left"/>
        <w:rPr>
          <w:rFonts w:ascii="宋体" w:hAnsi="宋体" w:cs="宋体"/>
        </w:rPr>
      </w:pPr>
      <w:r>
        <w:rPr>
          <w:rFonts w:hint="eastAsia" w:ascii="宋体" w:hAnsi="宋体" w:cs="宋体"/>
        </w:rPr>
        <w:t>指数平滑法实质上是一种加权平均法，是以事先确定的平滑指数а及（1- а）作为权数进行加权计算，预测销售量的一种方法。</w:t>
      </w:r>
    </w:p>
    <w:p w14:paraId="289A67C8">
      <w:pPr>
        <w:jc w:val="left"/>
        <w:rPr>
          <w:rFonts w:ascii="宋体" w:hAnsi="宋体" w:cs="宋体"/>
          <w:color w:val="FF0000"/>
        </w:rPr>
      </w:pPr>
      <w:r>
        <w:rPr>
          <w:rFonts w:hint="eastAsia" w:ascii="宋体" w:hAnsi="宋体" w:cs="宋体"/>
          <w:color w:val="FF0000"/>
        </w:rPr>
        <w:t>二、因果预测分析法——回归直线法</w:t>
      </w:r>
    </w:p>
    <w:p w14:paraId="326AA408">
      <w:pPr>
        <w:jc w:val="left"/>
        <w:rPr>
          <w:rFonts w:ascii="宋体" w:hAnsi="宋体" w:cs="宋体"/>
          <w:color w:val="FF0000"/>
        </w:rPr>
      </w:pPr>
      <w:r>
        <w:rPr>
          <w:rFonts w:hint="eastAsia" w:ascii="宋体" w:hAnsi="宋体" w:cs="宋体"/>
          <w:color w:val="FF0000"/>
        </w:rPr>
        <w:t>【知识点3】销售定价管理——产品定价方法</w:t>
      </w:r>
    </w:p>
    <w:p w14:paraId="3E67464E">
      <w:pPr>
        <w:jc w:val="left"/>
        <w:rPr>
          <w:rFonts w:ascii="宋体" w:hAnsi="宋体" w:cs="宋体"/>
        </w:rPr>
      </w:pPr>
      <w:r>
        <w:rPr>
          <w:rFonts w:ascii="宋体" w:hAnsi="宋体" w:cs="宋体"/>
        </w:rPr>
        <w:drawing>
          <wp:inline distT="0" distB="0" distL="0" distR="0">
            <wp:extent cx="4746625" cy="1273175"/>
            <wp:effectExtent l="0" t="0" r="15875" b="0"/>
            <wp:docPr id="955947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47114" name="图片 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86468" cy="1284304"/>
                    </a:xfrm>
                    <a:prstGeom prst="rect">
                      <a:avLst/>
                    </a:prstGeom>
                  </pic:spPr>
                </pic:pic>
              </a:graphicData>
            </a:graphic>
          </wp:inline>
        </w:drawing>
      </w:r>
    </w:p>
    <w:p w14:paraId="67D7FD7E">
      <w:pPr>
        <w:jc w:val="left"/>
        <w:rPr>
          <w:rFonts w:ascii="宋体" w:hAnsi="宋体" w:cs="宋体"/>
          <w:color w:val="FF0000"/>
        </w:rPr>
      </w:pPr>
      <w:r>
        <w:rPr>
          <w:rFonts w:hint="eastAsia" w:ascii="宋体" w:hAnsi="宋体" w:cs="宋体"/>
          <w:color w:val="FF0000"/>
        </w:rPr>
        <w:t>一、以成本为基础的定价方法</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400"/>
      </w:tblGrid>
      <w:tr w14:paraId="18F7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63F5A400">
            <w:pPr>
              <w:rPr>
                <w:rFonts w:ascii="宋体" w:hAnsi="宋体" w:cs="宋体"/>
              </w:rPr>
            </w:pPr>
            <w:r>
              <w:rPr>
                <w:rFonts w:hint="eastAsia" w:ascii="宋体" w:hAnsi="宋体" w:cs="宋体"/>
              </w:rPr>
              <w:t>变动成本</w:t>
            </w:r>
          </w:p>
        </w:tc>
        <w:tc>
          <w:tcPr>
            <w:tcW w:w="4144" w:type="pct"/>
          </w:tcPr>
          <w:p w14:paraId="1E0BA344">
            <w:pPr>
              <w:rPr>
                <w:rFonts w:ascii="宋体" w:hAnsi="宋体" w:cs="宋体"/>
              </w:rPr>
            </w:pPr>
            <w:r>
              <w:rPr>
                <w:rFonts w:hint="eastAsia" w:ascii="宋体" w:hAnsi="宋体" w:cs="宋体"/>
              </w:rPr>
              <w:t>可以作为增量产量的定价依据，但不能作为一般产品的定价依据</w:t>
            </w:r>
          </w:p>
        </w:tc>
      </w:tr>
      <w:tr w14:paraId="39C9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7C8C353B">
            <w:pPr>
              <w:rPr>
                <w:rFonts w:ascii="宋体" w:hAnsi="宋体" w:cs="宋体"/>
              </w:rPr>
            </w:pPr>
            <w:r>
              <w:rPr>
                <w:rFonts w:hint="eastAsia" w:ascii="宋体" w:hAnsi="宋体" w:cs="宋体"/>
              </w:rPr>
              <w:t>制造成本</w:t>
            </w:r>
          </w:p>
        </w:tc>
        <w:tc>
          <w:tcPr>
            <w:tcW w:w="4144" w:type="pct"/>
          </w:tcPr>
          <w:p w14:paraId="1A866F42">
            <w:pPr>
              <w:rPr>
                <w:rFonts w:ascii="宋体" w:hAnsi="宋体" w:cs="宋体"/>
              </w:rPr>
            </w:pPr>
            <w:r>
              <w:rPr>
                <w:rFonts w:hint="eastAsia" w:ascii="宋体" w:hAnsi="宋体" w:cs="宋体"/>
              </w:rPr>
              <w:t>不包括各种期间费用，不能正确反映企业产品的真实价值消耗和转移；以此定价不利于企业简单再生产的继续进行</w:t>
            </w:r>
          </w:p>
        </w:tc>
      </w:tr>
      <w:tr w14:paraId="6CF9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04E46823">
            <w:pPr>
              <w:rPr>
                <w:rFonts w:ascii="宋体" w:hAnsi="宋体" w:cs="宋体"/>
              </w:rPr>
            </w:pPr>
            <w:r>
              <w:rPr>
                <w:rFonts w:hint="eastAsia" w:ascii="宋体" w:hAnsi="宋体" w:cs="宋体"/>
              </w:rPr>
              <w:t>全部成本费用</w:t>
            </w:r>
          </w:p>
        </w:tc>
        <w:tc>
          <w:tcPr>
            <w:tcW w:w="4144" w:type="pct"/>
          </w:tcPr>
          <w:p w14:paraId="157156A3">
            <w:pPr>
              <w:rPr>
                <w:rFonts w:ascii="宋体" w:hAnsi="宋体" w:cs="宋体"/>
              </w:rPr>
            </w:pPr>
            <w:r>
              <w:rPr>
                <w:rFonts w:hint="eastAsia" w:ascii="宋体" w:hAnsi="宋体" w:cs="宋体"/>
              </w:rPr>
              <w:t>既可以保证企业简单再生产的正常进行，又可以使劳动者为社会劳动所创造的价值得以全部实现</w:t>
            </w:r>
          </w:p>
        </w:tc>
      </w:tr>
    </w:tbl>
    <w:p w14:paraId="78B41286">
      <w:pPr>
        <w:jc w:val="left"/>
        <w:rPr>
          <w:rFonts w:ascii="宋体" w:hAnsi="宋体" w:cs="宋体"/>
          <w:color w:val="FF0000"/>
        </w:rPr>
      </w:pPr>
      <w:r>
        <w:rPr>
          <w:rFonts w:hint="eastAsia" w:ascii="宋体" w:hAnsi="宋体" w:cs="宋体"/>
          <w:color w:val="FF0000"/>
        </w:rPr>
        <w:t>（1）全部成本费用加成定价法</w:t>
      </w:r>
    </w:p>
    <w:p w14:paraId="47BDA4FE">
      <w:pPr>
        <w:jc w:val="left"/>
        <w:rPr>
          <w:rFonts w:ascii="宋体" w:hAnsi="宋体" w:cs="宋体"/>
        </w:rPr>
      </w:pPr>
      <w:r>
        <w:rPr>
          <w:rFonts w:hint="eastAsia" w:ascii="宋体" w:hAnsi="宋体" w:cs="宋体"/>
        </w:rPr>
        <w:t>全部成本费用加成定价法就是在全部成本费用的基础上，加合理利润来定价。</w:t>
      </w:r>
    </w:p>
    <w:p w14:paraId="2E2C8F0F">
      <w:pPr>
        <w:jc w:val="left"/>
        <w:rPr>
          <w:rFonts w:ascii="宋体" w:hAnsi="宋体" w:cs="宋体"/>
        </w:rPr>
      </w:pPr>
      <w:r>
        <w:rPr>
          <w:rFonts w:hint="eastAsia" w:ascii="宋体" w:hAnsi="宋体" w:cs="宋体"/>
        </w:rPr>
        <w:t>单价=单位成本+单位税费+单位利润</w:t>
      </w:r>
    </w:p>
    <w:p w14:paraId="26877711">
      <w:pPr>
        <w:jc w:val="left"/>
        <w:rPr>
          <w:rFonts w:ascii="宋体" w:hAnsi="宋体" w:cs="宋体"/>
        </w:rPr>
      </w:pPr>
      <w:r>
        <w:rPr>
          <w:rFonts w:hint="eastAsia" w:ascii="宋体" w:hAnsi="宋体" w:cs="宋体"/>
        </w:rPr>
        <w:t>单价*（1-适用税率）=单位成本+单位利润</w:t>
      </w:r>
    </w:p>
    <w:p w14:paraId="2A1D2279">
      <w:pPr>
        <w:jc w:val="left"/>
        <w:rPr>
          <w:rFonts w:ascii="宋体" w:hAnsi="宋体" w:cs="宋体"/>
          <w:color w:val="FF0000"/>
        </w:rPr>
      </w:pPr>
      <w:r>
        <w:rPr>
          <w:rFonts w:hint="eastAsia" w:ascii="宋体" w:hAnsi="宋体" w:cs="宋体"/>
        </w:rPr>
        <w:t>合理利润的确定，</w:t>
      </w:r>
      <w:r>
        <w:rPr>
          <w:rFonts w:hint="eastAsia" w:ascii="宋体" w:hAnsi="宋体" w:cs="宋体"/>
          <w:color w:val="FF0000"/>
        </w:rPr>
        <w:t>在工业企业一般是根据成本利润率，在商业企业一般是根据销售利润率。</w:t>
      </w:r>
    </w:p>
    <w:p w14:paraId="288501B6">
      <w:pPr>
        <w:jc w:val="left"/>
        <w:rPr>
          <w:rFonts w:ascii="宋体" w:hAnsi="宋体" w:cs="宋体"/>
        </w:rPr>
      </w:pPr>
      <w:r>
        <w:rPr>
          <w:rFonts w:hint="eastAsia" w:ascii="宋体" w:hAnsi="宋体" w:cs="宋体"/>
        </w:rPr>
        <w:t>①成本利润率定价</w:t>
      </w:r>
    </w:p>
    <w:p w14:paraId="43885E41">
      <w:pPr>
        <w:jc w:val="left"/>
        <w:rPr>
          <w:rFonts w:ascii="宋体" w:hAnsi="宋体" w:cs="宋体"/>
        </w:rPr>
      </w:pPr>
      <w:r>
        <w:rPr>
          <w:rFonts w:hint="eastAsia" w:ascii="宋体" w:hAnsi="宋体" w:cs="宋体"/>
        </w:rPr>
        <w:t>价格×（1－税率）＝单位成本＋单位成本×成本利润率</w:t>
      </w:r>
    </w:p>
    <w:p w14:paraId="6A8E9D88">
      <w:pPr>
        <w:jc w:val="left"/>
        <w:rPr>
          <w:rFonts w:ascii="宋体" w:hAnsi="宋体" w:cs="宋体"/>
        </w:rPr>
      </w:pPr>
      <w:r>
        <w:rPr>
          <w:rFonts w:ascii="宋体" w:hAnsi="宋体" w:cs="宋体"/>
        </w:rPr>
        <w:drawing>
          <wp:inline distT="0" distB="0" distL="0" distR="0">
            <wp:extent cx="3209925" cy="998855"/>
            <wp:effectExtent l="0" t="0" r="0" b="11430"/>
            <wp:docPr id="267305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05117" name="图片 4"/>
                    <pic:cNvPicPr>
                      <a:picLocks noChangeAspect="1"/>
                    </pic:cNvPicPr>
                  </pic:nvPicPr>
                  <pic:blipFill>
                    <a:blip r:embed="rId68">
                      <a:extLst>
                        <a:ext uri="{BEBA8EAE-BF5A-486C-A8C5-ECC9F3942E4B}">
                          <a14:imgProps xmlns:a14="http://schemas.microsoft.com/office/drawing/2010/main">
                            <a14:imgLayer r:embed="rId69">
                              <a14:imgEffect>
                                <a14:brightnessContrast bright="-99000"/>
                              </a14:imgEffect>
                            </a14:imgLayer>
                          </a14:imgProps>
                        </a:ext>
                        <a:ext uri="{28A0092B-C50C-407E-A947-70E740481C1C}">
                          <a14:useLocalDpi xmlns:a14="http://schemas.microsoft.com/office/drawing/2010/main" val="0"/>
                        </a:ext>
                      </a:extLst>
                    </a:blip>
                    <a:stretch>
                      <a:fillRect/>
                    </a:stretch>
                  </pic:blipFill>
                  <pic:spPr>
                    <a:xfrm>
                      <a:off x="0" y="0"/>
                      <a:ext cx="3297800" cy="1026204"/>
                    </a:xfrm>
                    <a:prstGeom prst="rect">
                      <a:avLst/>
                    </a:prstGeom>
                  </pic:spPr>
                </pic:pic>
              </a:graphicData>
            </a:graphic>
          </wp:inline>
        </w:drawing>
      </w:r>
    </w:p>
    <w:p w14:paraId="31CF1EB2">
      <w:pPr>
        <w:jc w:val="left"/>
        <w:rPr>
          <w:rFonts w:ascii="宋体" w:hAnsi="宋体" w:cs="宋体"/>
        </w:rPr>
      </w:pPr>
      <w:r>
        <w:rPr>
          <w:rFonts w:hint="eastAsia" w:ascii="宋体" w:hAnsi="宋体" w:cs="宋体"/>
        </w:rPr>
        <w:t>②销售利润率定价</w:t>
      </w:r>
    </w:p>
    <w:p w14:paraId="19FE6500">
      <w:pPr>
        <w:jc w:val="left"/>
        <w:rPr>
          <w:rFonts w:ascii="宋体" w:hAnsi="宋体" w:cs="宋体"/>
        </w:rPr>
      </w:pPr>
      <w:r>
        <w:rPr>
          <w:rFonts w:hint="eastAsia" w:ascii="宋体" w:hAnsi="宋体" w:cs="宋体"/>
        </w:rPr>
        <w:t>销售利润率定价价格×（1－税率）＝单位成本＋价格×销售利润率</w:t>
      </w:r>
    </w:p>
    <w:p w14:paraId="570664BA">
      <w:pPr>
        <w:jc w:val="left"/>
        <w:rPr>
          <w:rFonts w:ascii="宋体" w:hAnsi="宋体" w:cs="宋体"/>
        </w:rPr>
      </w:pPr>
      <w:r>
        <w:rPr>
          <w:rFonts w:hint="eastAsia" w:ascii="宋体" w:hAnsi="宋体" w:cs="宋体"/>
        </w:rPr>
        <w:drawing>
          <wp:inline distT="0" distB="0" distL="114300" distR="114300">
            <wp:extent cx="2985770" cy="912495"/>
            <wp:effectExtent l="0" t="0" r="0" b="1905"/>
            <wp:docPr id="29" name="图片 1" descr="1585012893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585012893571-0"/>
                    <pic:cNvPicPr>
                      <a:picLocks noChangeAspect="1"/>
                    </pic:cNvPicPr>
                  </pic:nvPicPr>
                  <pic:blipFill>
                    <a:blip r:embed="rId70">
                      <a:extLst>
                        <a:ext uri="{BEBA8EAE-BF5A-486C-A8C5-ECC9F3942E4B}">
                          <a14:imgProps xmlns:a14="http://schemas.microsoft.com/office/drawing/2010/main">
                            <a14:imgLayer r:embed="rId71">
                              <a14:imgEffect>
                                <a14:brightnessContrast bright="-100000" contrast="57000"/>
                              </a14:imgEffect>
                            </a14:imgLayer>
                          </a14:imgProps>
                        </a:ext>
                      </a:extLst>
                    </a:blip>
                    <a:stretch>
                      <a:fillRect/>
                    </a:stretch>
                  </pic:blipFill>
                  <pic:spPr>
                    <a:xfrm>
                      <a:off x="0" y="0"/>
                      <a:ext cx="3014507" cy="921299"/>
                    </a:xfrm>
                    <a:prstGeom prst="rect">
                      <a:avLst/>
                    </a:prstGeom>
                    <a:noFill/>
                    <a:ln>
                      <a:noFill/>
                    </a:ln>
                  </pic:spPr>
                </pic:pic>
              </a:graphicData>
            </a:graphic>
          </wp:inline>
        </w:drawing>
      </w:r>
    </w:p>
    <w:p w14:paraId="65D0F5D0">
      <w:pPr>
        <w:jc w:val="left"/>
        <w:rPr>
          <w:rFonts w:ascii="宋体" w:hAnsi="宋体" w:cs="宋体"/>
          <w:color w:val="FF0000"/>
        </w:rPr>
      </w:pPr>
      <w:r>
        <w:rPr>
          <w:rFonts w:hint="eastAsia" w:ascii="宋体" w:hAnsi="宋体" w:cs="宋体"/>
          <w:color w:val="FF0000"/>
        </w:rPr>
        <w:t>（2）保本点定价法</w:t>
      </w:r>
    </w:p>
    <w:p w14:paraId="5B65A260">
      <w:pPr>
        <w:jc w:val="left"/>
        <w:rPr>
          <w:rFonts w:ascii="宋体" w:hAnsi="宋体" w:cs="宋体"/>
        </w:rPr>
      </w:pPr>
      <w:r>
        <w:rPr>
          <w:rFonts w:hint="eastAsia" w:ascii="宋体" w:hAnsi="宋体" w:cs="宋体"/>
        </w:rPr>
        <w:t>保本点定价法的基本原理，是按照刚好能够保本的原理来制定产品销售价格。既不盈利也不亏损的销售价格水平，此方法确定的时最低销售价格。</w:t>
      </w:r>
    </w:p>
    <w:p w14:paraId="095EB3DA">
      <w:pPr>
        <w:jc w:val="left"/>
        <w:rPr>
          <w:rFonts w:ascii="宋体" w:hAnsi="宋体" w:cs="宋体"/>
        </w:rPr>
      </w:pPr>
      <w:r>
        <w:rPr>
          <w:rFonts w:hint="eastAsia" w:ascii="宋体" w:hAnsi="宋体" w:cs="宋体"/>
        </w:rPr>
        <w:drawing>
          <wp:inline distT="0" distB="0" distL="114300" distR="114300">
            <wp:extent cx="3890645" cy="608965"/>
            <wp:effectExtent l="0" t="0" r="0" b="0"/>
            <wp:docPr id="30" name="图片 2" descr="1585012893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585012893545-0"/>
                    <pic:cNvPicPr>
                      <a:picLocks noChangeAspect="1"/>
                    </pic:cNvPicPr>
                  </pic:nvPicPr>
                  <pic:blipFill>
                    <a:blip r:embed="rId72">
                      <a:extLst>
                        <a:ext uri="{BEBA8EAE-BF5A-486C-A8C5-ECC9F3942E4B}">
                          <a14:imgProps xmlns:a14="http://schemas.microsoft.com/office/drawing/2010/main">
                            <a14:imgLayer r:embed="rId73">
                              <a14:imgEffect>
                                <a14:brightnessContrast bright="-100000" contrast="4000"/>
                              </a14:imgEffect>
                            </a14:imgLayer>
                          </a14:imgProps>
                        </a:ext>
                      </a:extLst>
                    </a:blip>
                    <a:stretch>
                      <a:fillRect/>
                    </a:stretch>
                  </pic:blipFill>
                  <pic:spPr>
                    <a:xfrm>
                      <a:off x="0" y="0"/>
                      <a:ext cx="3962730" cy="620350"/>
                    </a:xfrm>
                    <a:prstGeom prst="rect">
                      <a:avLst/>
                    </a:prstGeom>
                    <a:noFill/>
                    <a:ln>
                      <a:noFill/>
                    </a:ln>
                  </pic:spPr>
                </pic:pic>
              </a:graphicData>
            </a:graphic>
          </wp:inline>
        </w:drawing>
      </w:r>
    </w:p>
    <w:p w14:paraId="797656B5">
      <w:pPr>
        <w:jc w:val="left"/>
        <w:rPr>
          <w:rFonts w:ascii="宋体" w:hAnsi="宋体" w:cs="宋体"/>
          <w:color w:val="FF0000"/>
        </w:rPr>
      </w:pPr>
      <w:r>
        <w:rPr>
          <w:rFonts w:hint="eastAsia" w:ascii="宋体" w:hAnsi="宋体" w:cs="宋体"/>
          <w:color w:val="FF0000"/>
        </w:rPr>
        <w:t>（3）目标利润法</w:t>
      </w:r>
    </w:p>
    <w:p w14:paraId="095DF537">
      <w:pPr>
        <w:jc w:val="left"/>
        <w:rPr>
          <w:rFonts w:ascii="宋体" w:hAnsi="宋体" w:cs="宋体"/>
        </w:rPr>
      </w:pPr>
      <w:r>
        <w:rPr>
          <w:rFonts w:hint="eastAsia" w:ascii="宋体" w:hAnsi="宋体" w:cs="宋体"/>
        </w:rPr>
        <w:t>目标利润是指企业在预定时期内应实现的利润水平。根据预期目标利润和产品销售量、产品成本、适用税率等因素来确定产品销售价格。</w:t>
      </w:r>
    </w:p>
    <w:p w14:paraId="71771A9D">
      <w:pPr>
        <w:jc w:val="left"/>
        <w:rPr>
          <w:rFonts w:ascii="宋体" w:hAnsi="宋体" w:cs="宋体"/>
        </w:rPr>
      </w:pPr>
      <w:r>
        <w:rPr>
          <w:rFonts w:ascii="宋体" w:hAnsi="宋体" w:cs="宋体"/>
        </w:rPr>
        <w:drawing>
          <wp:inline distT="0" distB="0" distL="0" distR="0">
            <wp:extent cx="3453130" cy="1064260"/>
            <wp:effectExtent l="0" t="0" r="0" b="0"/>
            <wp:docPr id="1710807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0711" name="图片 5"/>
                    <pic:cNvPicPr>
                      <a:picLocks noChangeAspect="1"/>
                    </pic:cNvPicPr>
                  </pic:nvPicPr>
                  <pic:blipFill>
                    <a:blip r:embed="rId74" cstate="print">
                      <a:extLst>
                        <a:ext uri="{BEBA8EAE-BF5A-486C-A8C5-ECC9F3942E4B}">
                          <a14:imgProps xmlns:a14="http://schemas.microsoft.com/office/drawing/2010/main">
                            <a14:imgLayer r:embed="rId75">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498594" cy="1078450"/>
                    </a:xfrm>
                    <a:prstGeom prst="rect">
                      <a:avLst/>
                    </a:prstGeom>
                  </pic:spPr>
                </pic:pic>
              </a:graphicData>
            </a:graphic>
          </wp:inline>
        </w:drawing>
      </w:r>
    </w:p>
    <w:p w14:paraId="3815F49C">
      <w:pPr>
        <w:jc w:val="left"/>
        <w:rPr>
          <w:rFonts w:ascii="宋体" w:hAnsi="宋体" w:cs="宋体"/>
          <w:color w:val="FF0000"/>
        </w:rPr>
      </w:pPr>
      <w:r>
        <w:rPr>
          <w:rFonts w:hint="eastAsia" w:ascii="宋体" w:hAnsi="宋体" w:cs="宋体"/>
          <w:color w:val="FF0000"/>
        </w:rPr>
        <w:t>（4）变动成本定价法</w:t>
      </w:r>
    </w:p>
    <w:p w14:paraId="7A519BFF">
      <w:pPr>
        <w:jc w:val="left"/>
        <w:rPr>
          <w:rFonts w:ascii="宋体" w:hAnsi="宋体" w:cs="宋体"/>
        </w:rPr>
      </w:pPr>
      <w:r>
        <w:rPr>
          <w:rFonts w:hint="eastAsia" w:ascii="宋体" w:hAnsi="宋体" w:cs="宋体"/>
        </w:rPr>
        <w:t>变动成本定价法是指企业在生产能力有剩余的情况下增加生产一定数量的产品，只负担变动成本，变动成本是指完全变动成本，包括变动制造成本和变动期间费用。</w:t>
      </w:r>
    </w:p>
    <w:p w14:paraId="368C9161">
      <w:pPr>
        <w:jc w:val="left"/>
        <w:rPr>
          <w:rFonts w:ascii="宋体" w:hAnsi="宋体" w:cs="宋体"/>
        </w:rPr>
      </w:pPr>
      <w:r>
        <w:rPr>
          <w:rFonts w:ascii="宋体" w:hAnsi="宋体" w:cs="宋体"/>
        </w:rPr>
        <w:drawing>
          <wp:inline distT="0" distB="0" distL="0" distR="0">
            <wp:extent cx="4542790" cy="680720"/>
            <wp:effectExtent l="0" t="0" r="0" b="0"/>
            <wp:docPr id="5576513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1390" name="图片 6"/>
                    <pic:cNvPicPr>
                      <a:picLocks noChangeAspect="1"/>
                    </pic:cNvPicPr>
                  </pic:nvPicPr>
                  <pic:blipFill>
                    <a:blip r:embed="rId76" cstate="print">
                      <a:extLst>
                        <a:ext uri="{BEBA8EAE-BF5A-486C-A8C5-ECC9F3942E4B}">
                          <a14:imgProps xmlns:a14="http://schemas.microsoft.com/office/drawing/2010/main">
                            <a14:imgLayer r:embed="rId77">
                              <a14:imgEffect>
                                <a14:brightnessContrast bright="-95000"/>
                              </a14:imgEffect>
                            </a14:imgLayer>
                          </a14:imgProps>
                        </a:ext>
                        <a:ext uri="{28A0092B-C50C-407E-A947-70E740481C1C}">
                          <a14:useLocalDpi xmlns:a14="http://schemas.microsoft.com/office/drawing/2010/main" val="0"/>
                        </a:ext>
                      </a:extLst>
                    </a:blip>
                    <a:stretch>
                      <a:fillRect/>
                    </a:stretch>
                  </pic:blipFill>
                  <pic:spPr>
                    <a:xfrm>
                      <a:off x="0" y="0"/>
                      <a:ext cx="4617974" cy="692161"/>
                    </a:xfrm>
                    <a:prstGeom prst="rect">
                      <a:avLst/>
                    </a:prstGeom>
                  </pic:spPr>
                </pic:pic>
              </a:graphicData>
            </a:graphic>
          </wp:inline>
        </w:drawing>
      </w:r>
    </w:p>
    <w:p w14:paraId="63691B1A">
      <w:pPr>
        <w:jc w:val="left"/>
        <w:rPr>
          <w:rFonts w:ascii="宋体" w:hAnsi="宋体" w:cs="宋体"/>
          <w:color w:val="FF0000"/>
        </w:rPr>
      </w:pPr>
      <w:r>
        <w:rPr>
          <w:rFonts w:hint="eastAsia" w:ascii="宋体" w:hAnsi="宋体" w:cs="宋体"/>
          <w:color w:val="FF0000"/>
        </w:rPr>
        <w:t>二、以市场需求为基础的定价方法</w:t>
      </w:r>
    </w:p>
    <w:p w14:paraId="04E3D04A">
      <w:pPr>
        <w:jc w:val="left"/>
        <w:rPr>
          <w:rFonts w:ascii="宋体" w:hAnsi="宋体" w:cs="宋体"/>
          <w:color w:val="FF0000"/>
        </w:rPr>
      </w:pPr>
      <w:r>
        <w:rPr>
          <w:rFonts w:hint="eastAsia" w:ascii="宋体" w:hAnsi="宋体" w:cs="宋体"/>
          <w:color w:val="FF0000"/>
        </w:rPr>
        <w:t>（1）需求价格弹性系数定价法</w:t>
      </w:r>
    </w:p>
    <w:p w14:paraId="35467FF5">
      <w:pPr>
        <w:jc w:val="left"/>
        <w:rPr>
          <w:rFonts w:ascii="宋体" w:hAnsi="宋体" w:cs="宋体"/>
          <w:color w:val="FF0000"/>
        </w:rPr>
      </w:pPr>
      <w:r>
        <w:rPr>
          <w:rFonts w:hint="eastAsia" w:ascii="宋体" w:hAnsi="宋体" w:cs="宋体"/>
          <w:color w:val="FF0000"/>
        </w:rPr>
        <w:t>（2）边际分析定价法</w:t>
      </w:r>
    </w:p>
    <w:p w14:paraId="58BD439D">
      <w:pPr>
        <w:jc w:val="left"/>
        <w:rPr>
          <w:rFonts w:ascii="宋体" w:hAnsi="宋体" w:cs="宋体"/>
        </w:rPr>
      </w:pPr>
      <w:r>
        <w:rPr>
          <w:rFonts w:hint="eastAsia" w:ascii="宋体" w:hAnsi="宋体" w:cs="宋体"/>
        </w:rPr>
        <w:t>即当边际利润=0时，边际收入=边际成本，</w:t>
      </w:r>
    </w:p>
    <w:p w14:paraId="541BDD94">
      <w:pPr>
        <w:jc w:val="left"/>
        <w:rPr>
          <w:rFonts w:ascii="宋体" w:hAnsi="宋体" w:cs="宋体"/>
          <w:color w:val="FF0000"/>
        </w:rPr>
      </w:pPr>
      <w:r>
        <w:rPr>
          <w:rFonts w:hint="eastAsia" w:ascii="宋体" w:hAnsi="宋体" w:cs="宋体"/>
        </w:rPr>
        <w:t>此时</w:t>
      </w:r>
      <w:r>
        <w:rPr>
          <w:rFonts w:hint="eastAsia" w:ascii="宋体" w:hAnsi="宋体" w:cs="宋体"/>
          <w:color w:val="FF0000"/>
        </w:rPr>
        <w:t>利润达到最大值，且价格就是最有销售价格。</w:t>
      </w:r>
    </w:p>
    <w:p w14:paraId="65BFAD3C">
      <w:pPr>
        <w:jc w:val="left"/>
        <w:rPr>
          <w:rFonts w:ascii="宋体" w:hAnsi="宋体" w:cs="宋体"/>
        </w:rPr>
      </w:pPr>
    </w:p>
    <w:p w14:paraId="2C943F59">
      <w:pPr>
        <w:jc w:val="center"/>
        <w:rPr>
          <w:rFonts w:ascii="宋体" w:hAnsi="宋体" w:cs="宋体"/>
          <w:b/>
          <w:bCs/>
        </w:rPr>
      </w:pPr>
      <w:r>
        <w:rPr>
          <w:rFonts w:hint="eastAsia" w:ascii="宋体" w:hAnsi="宋体" w:cs="宋体"/>
          <w:b/>
          <w:bCs/>
        </w:rPr>
        <w:t>第四节分配管理</w:t>
      </w:r>
    </w:p>
    <w:p w14:paraId="265302EB">
      <w:pPr>
        <w:jc w:val="left"/>
        <w:rPr>
          <w:rFonts w:ascii="宋体" w:hAnsi="宋体" w:cs="宋体"/>
          <w:color w:val="FF0000"/>
        </w:rPr>
      </w:pPr>
      <w:r>
        <w:rPr>
          <w:rFonts w:hint="eastAsia" w:ascii="宋体" w:hAnsi="宋体" w:cs="宋体"/>
          <w:color w:val="FF0000"/>
        </w:rPr>
        <w:t>【知识点1】股利分配理论</w:t>
      </w:r>
    </w:p>
    <w:p w14:paraId="18025F0F">
      <w:pPr>
        <w:jc w:val="left"/>
        <w:rPr>
          <w:rFonts w:ascii="宋体" w:hAnsi="宋体" w:cs="宋体"/>
          <w:color w:val="FF0000"/>
        </w:rPr>
      </w:pPr>
      <w:r>
        <w:rPr>
          <w:rFonts w:hint="eastAsia" w:ascii="宋体" w:hAnsi="宋体" w:cs="宋体"/>
          <w:color w:val="FF0000"/>
        </w:rPr>
        <w:t>（一）股利无关论</w:t>
      </w:r>
      <w:r>
        <w:rPr>
          <w:rFonts w:hint="eastAsia" w:ascii="宋体" w:hAnsi="宋体" w:cs="宋体"/>
          <w:color w:val="FF0000"/>
        </w:rPr>
        <w:tab/>
      </w:r>
    </w:p>
    <w:p w14:paraId="3AFA6F67">
      <w:pPr>
        <w:jc w:val="left"/>
        <w:rPr>
          <w:rFonts w:ascii="宋体" w:hAnsi="宋体" w:cs="宋体"/>
        </w:rPr>
      </w:pPr>
      <w:r>
        <w:rPr>
          <w:rFonts w:hint="eastAsia" w:ascii="宋体" w:hAnsi="宋体" w:cs="宋体"/>
        </w:rPr>
        <w:t>在一定的假设条件限制下，股利政策不会对公司价值或股票价格产生任何影响，投资者不关心公司股利的分配。公司市场价值的高低，由公司所选择的投资决策的获利能力和风险组合所决定的，而与公司的利润分配政策无关。</w:t>
      </w:r>
    </w:p>
    <w:p w14:paraId="37B369D7">
      <w:pPr>
        <w:jc w:val="left"/>
        <w:rPr>
          <w:rFonts w:ascii="宋体" w:hAnsi="宋体" w:cs="宋体"/>
          <w:color w:val="FF0000"/>
        </w:rPr>
      </w:pPr>
      <w:r>
        <w:rPr>
          <w:rFonts w:hint="eastAsia" w:ascii="宋体" w:hAnsi="宋体" w:cs="宋体"/>
          <w:color w:val="FF0000"/>
        </w:rPr>
        <w:t>（二）股利相关论</w:t>
      </w:r>
    </w:p>
    <w:p w14:paraId="5539C922">
      <w:pPr>
        <w:jc w:val="left"/>
        <w:rPr>
          <w:rFonts w:ascii="宋体" w:hAnsi="宋体" w:cs="宋体"/>
        </w:rPr>
      </w:pPr>
      <w:r>
        <w:rPr>
          <w:rFonts w:ascii="宋体" w:hAnsi="宋体" w:cs="宋体"/>
        </w:rPr>
        <w:drawing>
          <wp:inline distT="0" distB="0" distL="0" distR="0">
            <wp:extent cx="4688205" cy="793750"/>
            <wp:effectExtent l="0" t="0" r="17145" b="6350"/>
            <wp:docPr id="9326294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29437" name="图片 7"/>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86660" cy="827496"/>
                    </a:xfrm>
                    <a:prstGeom prst="rect">
                      <a:avLst/>
                    </a:prstGeom>
                  </pic:spPr>
                </pic:pic>
              </a:graphicData>
            </a:graphic>
          </wp:inline>
        </w:drawing>
      </w:r>
    </w:p>
    <w:p w14:paraId="531B7E0B">
      <w:pPr>
        <w:jc w:val="left"/>
        <w:rPr>
          <w:rFonts w:ascii="宋体" w:hAnsi="宋体" w:cs="宋体"/>
          <w:color w:val="FF0000"/>
        </w:rPr>
      </w:pPr>
      <w:r>
        <w:rPr>
          <w:rFonts w:hint="eastAsia" w:ascii="宋体" w:hAnsi="宋体" w:cs="宋体"/>
          <w:color w:val="FF0000"/>
        </w:rPr>
        <w:t>1.手中鸟</w:t>
      </w:r>
    </w:p>
    <w:p w14:paraId="2352FB47">
      <w:pPr>
        <w:jc w:val="left"/>
        <w:rPr>
          <w:rFonts w:ascii="宋体" w:hAnsi="宋体" w:cs="宋体"/>
        </w:rPr>
      </w:pPr>
      <w:r>
        <w:rPr>
          <w:rFonts w:hint="eastAsia" w:ascii="宋体" w:hAnsi="宋体" w:cs="宋体"/>
        </w:rPr>
        <w:t xml:space="preserve">当公司支付较高的股利时，股票的价格会随之上升，公司价值将得到提高。 </w:t>
      </w:r>
    </w:p>
    <w:p w14:paraId="6AE57D04">
      <w:pPr>
        <w:jc w:val="left"/>
        <w:rPr>
          <w:rFonts w:ascii="宋体" w:hAnsi="宋体" w:cs="宋体"/>
        </w:rPr>
      </w:pPr>
      <w:r>
        <w:rPr>
          <w:rFonts w:hint="eastAsia" w:ascii="宋体" w:hAnsi="宋体" w:cs="宋体"/>
          <w:color w:val="FF0000"/>
        </w:rPr>
        <w:t>2.信号传递理论</w:t>
      </w:r>
      <w:r>
        <w:rPr>
          <w:rFonts w:hint="eastAsia" w:ascii="宋体" w:hAnsi="宋体" w:cs="宋体"/>
        </w:rPr>
        <w:t>一般来讲，预期未来获利能力强的公司，往往愿意通过相对较高的股利支付水平把自己同预期获利能力差的公司区别开来，以吸引更多的投资者。</w:t>
      </w:r>
    </w:p>
    <w:p w14:paraId="24520B24">
      <w:pPr>
        <w:jc w:val="left"/>
        <w:rPr>
          <w:rFonts w:ascii="宋体" w:hAnsi="宋体" w:cs="宋体"/>
          <w:color w:val="FF0000"/>
        </w:rPr>
      </w:pPr>
      <w:r>
        <w:rPr>
          <w:rFonts w:hint="eastAsia" w:ascii="宋体" w:hAnsi="宋体" w:cs="宋体"/>
          <w:color w:val="FF0000"/>
        </w:rPr>
        <w:t>3.所得税差异</w:t>
      </w:r>
    </w:p>
    <w:p w14:paraId="567D7C13">
      <w:pPr>
        <w:jc w:val="left"/>
        <w:rPr>
          <w:rFonts w:ascii="宋体" w:hAnsi="宋体" w:cs="宋体"/>
        </w:rPr>
      </w:pPr>
      <w:r>
        <w:rPr>
          <w:rFonts w:hint="eastAsia" w:ascii="宋体" w:hAnsi="宋体" w:cs="宋体"/>
        </w:rPr>
        <w:t>所得税差异理论认为，由于普遍存在的税率以及纳税时间的差异，资本利得收益比股利收益更有助于实现收益最大化目标，企业应当采用低股利政策。</w:t>
      </w:r>
    </w:p>
    <w:p w14:paraId="335EC3E1">
      <w:pPr>
        <w:jc w:val="left"/>
        <w:rPr>
          <w:rFonts w:ascii="宋体" w:hAnsi="宋体" w:cs="宋体"/>
          <w:color w:val="FF0000"/>
        </w:rPr>
      </w:pPr>
      <w:r>
        <w:rPr>
          <w:rFonts w:hint="eastAsia" w:ascii="宋体" w:hAnsi="宋体" w:cs="宋体"/>
          <w:color w:val="FF0000"/>
        </w:rPr>
        <w:t>4.代理理论</w:t>
      </w:r>
    </w:p>
    <w:p w14:paraId="002F13EB">
      <w:pPr>
        <w:jc w:val="left"/>
        <w:rPr>
          <w:rFonts w:ascii="宋体" w:hAnsi="宋体" w:cs="宋体"/>
        </w:rPr>
      </w:pPr>
      <w:r>
        <w:rPr>
          <w:rFonts w:hint="eastAsia" w:ascii="宋体" w:hAnsi="宋体" w:cs="宋体"/>
        </w:rPr>
        <w:t>高水平的股利政策降低了企业的代理成本，但同时增加了外部融资成本，理想的股利政策应当使两种成本之和最小。</w:t>
      </w:r>
    </w:p>
    <w:p w14:paraId="061C0102">
      <w:pPr>
        <w:jc w:val="left"/>
        <w:rPr>
          <w:rFonts w:ascii="宋体" w:hAnsi="宋体" w:cs="宋体"/>
          <w:color w:val="FF0000"/>
        </w:rPr>
      </w:pPr>
      <w:r>
        <w:rPr>
          <w:rFonts w:hint="eastAsia" w:ascii="宋体" w:hAnsi="宋体" w:cs="宋体"/>
          <w:color w:val="FF0000"/>
        </w:rPr>
        <w:t>【知识点2】股利分配政策</w:t>
      </w:r>
    </w:p>
    <w:p w14:paraId="0E302F3B">
      <w:pPr>
        <w:jc w:val="left"/>
        <w:rPr>
          <w:rFonts w:ascii="宋体" w:hAnsi="宋体" w:cs="宋体"/>
          <w:color w:val="FF0000"/>
        </w:rPr>
      </w:pPr>
      <w:r>
        <w:rPr>
          <w:rFonts w:hint="eastAsia" w:ascii="宋体" w:hAnsi="宋体" w:cs="宋体"/>
          <w:color w:val="FF0000"/>
        </w:rPr>
        <w:t>1.剩余股利政策</w:t>
      </w:r>
    </w:p>
    <w:p w14:paraId="5D385F54">
      <w:pPr>
        <w:jc w:val="left"/>
        <w:rPr>
          <w:rFonts w:ascii="宋体" w:hAnsi="宋体" w:cs="宋体"/>
        </w:rPr>
      </w:pPr>
      <w:r>
        <w:rPr>
          <w:rFonts w:hint="eastAsia" w:ascii="宋体" w:hAnsi="宋体" w:cs="宋体"/>
        </w:rPr>
        <w:t>剩余股利政策是指公司在有良好投资机会时，根据目标资本结构，测算出投资所需的权益资本额，先从盈余中留用，然后将剩余的盈余作为股利发放。</w:t>
      </w:r>
    </w:p>
    <w:p w14:paraId="3C228E95">
      <w:pPr>
        <w:jc w:val="left"/>
        <w:rPr>
          <w:rFonts w:ascii="宋体" w:hAnsi="宋体" w:cs="宋体"/>
          <w:color w:val="FF0000"/>
        </w:rPr>
      </w:pPr>
      <w:r>
        <w:rPr>
          <w:rFonts w:hint="eastAsia" w:ascii="宋体" w:hAnsi="宋体" w:cs="宋体"/>
          <w:color w:val="FF0000"/>
        </w:rPr>
        <w:t>剩余股利政策的优缺点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9124"/>
      </w:tblGrid>
      <w:tr w14:paraId="37E7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28C677F1">
            <w:pPr>
              <w:rPr>
                <w:rFonts w:ascii="宋体" w:hAnsi="宋体" w:cs="宋体"/>
              </w:rPr>
            </w:pPr>
            <w:r>
              <w:rPr>
                <w:rFonts w:hint="eastAsia" w:ascii="宋体" w:hAnsi="宋体" w:cs="宋体"/>
              </w:rPr>
              <w:t xml:space="preserve">优点 </w:t>
            </w:r>
          </w:p>
        </w:tc>
        <w:tc>
          <w:tcPr>
            <w:tcW w:w="4501" w:type="pct"/>
          </w:tcPr>
          <w:p w14:paraId="77368E95">
            <w:pPr>
              <w:rPr>
                <w:rFonts w:ascii="宋体" w:hAnsi="宋体" w:cs="宋体"/>
              </w:rPr>
            </w:pPr>
            <w:r>
              <w:rPr>
                <w:rFonts w:hint="eastAsia" w:ascii="宋体" w:hAnsi="宋体" w:cs="宋体"/>
              </w:rPr>
              <w:t xml:space="preserve">有助于降低再投资的资金成本，保持最佳的资本结构，实现企业价值的长期最大化。 </w:t>
            </w:r>
          </w:p>
        </w:tc>
      </w:tr>
      <w:tr w14:paraId="06BB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25D8FCCF">
            <w:pPr>
              <w:rPr>
                <w:rFonts w:ascii="宋体" w:hAnsi="宋体" w:cs="宋体"/>
              </w:rPr>
            </w:pPr>
            <w:r>
              <w:rPr>
                <w:rFonts w:hint="eastAsia" w:ascii="宋体" w:hAnsi="宋体" w:cs="宋体"/>
              </w:rPr>
              <w:t xml:space="preserve">缺点 </w:t>
            </w:r>
          </w:p>
        </w:tc>
        <w:tc>
          <w:tcPr>
            <w:tcW w:w="4501" w:type="pct"/>
          </w:tcPr>
          <w:p w14:paraId="51614055">
            <w:pPr>
              <w:rPr>
                <w:rFonts w:ascii="宋体" w:hAnsi="宋体" w:cs="宋体"/>
              </w:rPr>
            </w:pPr>
            <w:r>
              <w:rPr>
                <w:rFonts w:hint="eastAsia" w:ascii="宋体" w:hAnsi="宋体" w:cs="宋体"/>
              </w:rPr>
              <w:t>（1）若完全遵照执行剩余股利政策，股利发放额就会每年随着投资机会和盈利水平的波动而波动。盈利水平不变的情况下，股利发放额与投资机会的多寡呈反方向变动；在投资机会维持不变的情况下，股利发放额将与公司盈利呈同方向变动。</w:t>
            </w:r>
            <w:r>
              <w:rPr>
                <w:rFonts w:hint="eastAsia" w:ascii="宋体" w:hAnsi="宋体" w:cs="宋体"/>
              </w:rPr>
              <w:br w:type="textWrapping"/>
            </w:r>
            <w:r>
              <w:rPr>
                <w:rFonts w:hint="eastAsia" w:ascii="宋体" w:hAnsi="宋体" w:cs="宋体"/>
              </w:rPr>
              <w:t xml:space="preserve">（2）不利于投资者安排收入与支出，不利于树立公司良好形象。 </w:t>
            </w:r>
          </w:p>
        </w:tc>
      </w:tr>
    </w:tbl>
    <w:p w14:paraId="15B2ECA8">
      <w:pPr>
        <w:jc w:val="left"/>
        <w:rPr>
          <w:rFonts w:ascii="宋体" w:hAnsi="宋体" w:cs="宋体"/>
          <w:color w:val="FF0000"/>
        </w:rPr>
      </w:pPr>
      <w:r>
        <w:rPr>
          <w:rFonts w:hint="eastAsia" w:ascii="宋体" w:hAnsi="宋体" w:cs="宋体"/>
          <w:color w:val="FF0000"/>
        </w:rPr>
        <w:t>2.固定或稳定增长的股利政策</w:t>
      </w:r>
    </w:p>
    <w:p w14:paraId="2060DDB2">
      <w:pPr>
        <w:jc w:val="left"/>
        <w:rPr>
          <w:rFonts w:ascii="宋体" w:hAnsi="宋体" w:cs="宋体"/>
        </w:rPr>
      </w:pPr>
      <w:r>
        <w:rPr>
          <w:rFonts w:hint="eastAsia" w:ascii="宋体" w:hAnsi="宋体" w:cs="宋体"/>
        </w:rPr>
        <w:t>公司将每年派发的股利额固定在某一特定水平或是在此基础上维持某一固定比率逐年稳定增长。</w:t>
      </w:r>
    </w:p>
    <w:p w14:paraId="4C900431">
      <w:pPr>
        <w:jc w:val="left"/>
        <w:rPr>
          <w:rFonts w:ascii="宋体" w:hAnsi="宋体" w:cs="宋体"/>
          <w:color w:val="FF0000"/>
        </w:rPr>
      </w:pPr>
      <w:r>
        <w:rPr>
          <w:rFonts w:hint="eastAsia" w:ascii="宋体" w:hAnsi="宋体" w:cs="宋体"/>
          <w:color w:val="FF0000"/>
        </w:rPr>
        <w:t>优点</w:t>
      </w:r>
    </w:p>
    <w:p w14:paraId="2EA1603E">
      <w:pPr>
        <w:jc w:val="left"/>
        <w:rPr>
          <w:rFonts w:ascii="宋体" w:hAnsi="宋体" w:cs="宋体"/>
        </w:rPr>
      </w:pPr>
      <w:r>
        <w:rPr>
          <w:rFonts w:hint="eastAsia" w:ascii="宋体" w:hAnsi="宋体" w:cs="宋体"/>
        </w:rPr>
        <w:t>①稳定的股利向市场传递着公司正常发展的信息，有利于树立公司的良好形象，增强投资者对公司的信心，稳定股票的价格；</w:t>
      </w:r>
    </w:p>
    <w:p w14:paraId="369AE81E">
      <w:pPr>
        <w:jc w:val="left"/>
        <w:rPr>
          <w:rFonts w:ascii="宋体" w:hAnsi="宋体" w:cs="宋体"/>
        </w:rPr>
      </w:pPr>
      <w:r>
        <w:rPr>
          <w:rFonts w:hint="eastAsia" w:ascii="宋体" w:hAnsi="宋体" w:cs="宋体"/>
        </w:rPr>
        <w:t>②稳定的股利额有助于投资者安排股利收入和支出</w:t>
      </w:r>
    </w:p>
    <w:p w14:paraId="2B708B4B">
      <w:pPr>
        <w:jc w:val="left"/>
        <w:rPr>
          <w:rFonts w:ascii="宋体" w:hAnsi="宋体" w:cs="宋体"/>
        </w:rPr>
      </w:pPr>
      <w:r>
        <w:rPr>
          <w:rFonts w:hint="eastAsia" w:ascii="宋体" w:hAnsi="宋体" w:cs="宋体"/>
        </w:rPr>
        <w:t>③考虑到股票市场会受多种因素影响（包括股东的心理状态和其他要求），为了将股利或股利增长率维持在稳定的水平上，即使推迟某些投资方案或暂时偏离目标资本结构，也可能比降低股利或股利增长率更为有利。</w:t>
      </w:r>
    </w:p>
    <w:p w14:paraId="01676B8A">
      <w:pPr>
        <w:jc w:val="left"/>
        <w:rPr>
          <w:rFonts w:ascii="宋体" w:hAnsi="宋体" w:cs="宋体"/>
          <w:color w:val="FF0000"/>
        </w:rPr>
      </w:pPr>
      <w:r>
        <w:rPr>
          <w:rFonts w:hint="eastAsia" w:ascii="宋体" w:hAnsi="宋体" w:cs="宋体"/>
          <w:color w:val="FF0000"/>
        </w:rPr>
        <w:t>缺点</w:t>
      </w:r>
    </w:p>
    <w:p w14:paraId="633ED057">
      <w:pPr>
        <w:jc w:val="left"/>
        <w:rPr>
          <w:rFonts w:ascii="宋体" w:hAnsi="宋体" w:cs="宋体"/>
        </w:rPr>
      </w:pPr>
      <w:r>
        <w:rPr>
          <w:rFonts w:hint="eastAsia" w:ascii="宋体" w:hAnsi="宋体" w:cs="宋体"/>
        </w:rPr>
        <w:t>①股利的支付与企业的盈利相脱节，可能会导致企业资金紧缺，财务状况恶化；</w:t>
      </w:r>
    </w:p>
    <w:p w14:paraId="7B3003C0">
      <w:pPr>
        <w:jc w:val="left"/>
        <w:rPr>
          <w:rFonts w:ascii="宋体" w:hAnsi="宋体" w:cs="宋体"/>
        </w:rPr>
      </w:pPr>
      <w:r>
        <w:rPr>
          <w:rFonts w:hint="eastAsia" w:ascii="宋体" w:hAnsi="宋体" w:cs="宋体"/>
        </w:rPr>
        <w:t>②在企业无利可分的情况下，若依然实施固定或稳定增长的股利政策，也是违反《公司法》的行为。</w:t>
      </w:r>
    </w:p>
    <w:p w14:paraId="7561815B">
      <w:pPr>
        <w:jc w:val="left"/>
        <w:rPr>
          <w:rFonts w:ascii="宋体" w:hAnsi="宋体" w:cs="宋体"/>
          <w:color w:val="FF0000"/>
        </w:rPr>
      </w:pPr>
      <w:r>
        <w:rPr>
          <w:rFonts w:hint="eastAsia" w:ascii="宋体" w:hAnsi="宋体" w:cs="宋体"/>
          <w:color w:val="FF0000"/>
        </w:rPr>
        <w:t>特点</w:t>
      </w:r>
    </w:p>
    <w:p w14:paraId="22BCE8D2">
      <w:pPr>
        <w:jc w:val="left"/>
        <w:rPr>
          <w:rFonts w:ascii="宋体" w:hAnsi="宋体" w:cs="宋体"/>
        </w:rPr>
      </w:pPr>
      <w:r>
        <w:rPr>
          <w:rFonts w:hint="eastAsia" w:ascii="宋体" w:hAnsi="宋体" w:cs="宋体"/>
        </w:rPr>
        <w:t xml:space="preserve">①固定或稳定增长的股利政策要求公司对未来的盈利和支付能力能作出准确的判断；同时，固定股利额不宜太高，以免陷入无力支付的被动局面。 </w:t>
      </w:r>
    </w:p>
    <w:p w14:paraId="7C31A826">
      <w:pPr>
        <w:jc w:val="left"/>
        <w:rPr>
          <w:rFonts w:ascii="宋体" w:hAnsi="宋体" w:cs="宋体"/>
        </w:rPr>
      </w:pPr>
      <w:r>
        <w:rPr>
          <w:rFonts w:hint="eastAsia" w:ascii="宋体" w:hAnsi="宋体" w:cs="宋体"/>
        </w:rPr>
        <w:t>②因此，固定或稳定增长的股利政策适用于经营比较稳定或正处于成长期的企业，但很难被长期采用。</w:t>
      </w:r>
    </w:p>
    <w:p w14:paraId="17B05111">
      <w:pPr>
        <w:jc w:val="left"/>
        <w:rPr>
          <w:rFonts w:ascii="宋体" w:hAnsi="宋体" w:cs="宋体"/>
          <w:color w:val="FF0000"/>
        </w:rPr>
      </w:pPr>
      <w:r>
        <w:rPr>
          <w:rFonts w:hint="eastAsia" w:ascii="宋体" w:hAnsi="宋体" w:cs="宋体"/>
          <w:color w:val="FF0000"/>
        </w:rPr>
        <w:t>3.固定股利支付率政策</w:t>
      </w:r>
    </w:p>
    <w:p w14:paraId="106CFA5B">
      <w:pPr>
        <w:jc w:val="left"/>
        <w:rPr>
          <w:rFonts w:ascii="宋体" w:hAnsi="宋体" w:cs="宋体"/>
        </w:rPr>
      </w:pPr>
      <w:r>
        <w:rPr>
          <w:rFonts w:hint="eastAsia" w:ascii="宋体" w:hAnsi="宋体" w:cs="宋体"/>
        </w:rPr>
        <w:t>将每年净利润的某一固定百分比（股利支付率）作为股利分派给股东。</w:t>
      </w:r>
    </w:p>
    <w:p w14:paraId="05BED3D9">
      <w:pPr>
        <w:jc w:val="left"/>
        <w:rPr>
          <w:rFonts w:ascii="宋体" w:hAnsi="宋体" w:cs="宋体"/>
          <w:color w:val="FF0000"/>
        </w:rPr>
      </w:pPr>
      <w:r>
        <w:rPr>
          <w:rFonts w:hint="eastAsia" w:ascii="宋体" w:hAnsi="宋体" w:cs="宋体"/>
          <w:color w:val="FF0000"/>
        </w:rPr>
        <w:t>优点</w:t>
      </w:r>
    </w:p>
    <w:p w14:paraId="07E9CE13">
      <w:pPr>
        <w:jc w:val="left"/>
        <w:rPr>
          <w:rFonts w:ascii="宋体" w:hAnsi="宋体" w:cs="宋体"/>
        </w:rPr>
      </w:pPr>
      <w:r>
        <w:rPr>
          <w:rFonts w:hint="eastAsia" w:ascii="宋体" w:hAnsi="宋体" w:cs="宋体"/>
        </w:rPr>
        <w:t>①股利与公司盈余紧密地配合，体现了“多盈多分、少盈少分、无盈不分”的股利分配原则；</w:t>
      </w:r>
    </w:p>
    <w:p w14:paraId="16CBDD4E">
      <w:pPr>
        <w:jc w:val="left"/>
        <w:rPr>
          <w:rFonts w:ascii="宋体" w:hAnsi="宋体" w:cs="宋体"/>
        </w:rPr>
      </w:pPr>
      <w:r>
        <w:rPr>
          <w:rFonts w:hint="eastAsia" w:ascii="宋体" w:hAnsi="宋体" w:cs="宋体"/>
        </w:rPr>
        <w:t>②从企业的支付能力的角度看，这是一种稳定的股利政策。</w:t>
      </w:r>
    </w:p>
    <w:p w14:paraId="10C3A28C">
      <w:pPr>
        <w:jc w:val="left"/>
        <w:rPr>
          <w:rFonts w:ascii="宋体" w:hAnsi="宋体" w:cs="宋体"/>
          <w:color w:val="FF0000"/>
        </w:rPr>
      </w:pPr>
      <w:r>
        <w:rPr>
          <w:rFonts w:hint="eastAsia" w:ascii="宋体" w:hAnsi="宋体" w:cs="宋体"/>
          <w:color w:val="FF0000"/>
        </w:rPr>
        <w:t>缺点</w:t>
      </w:r>
    </w:p>
    <w:p w14:paraId="5A9A3CE3">
      <w:pPr>
        <w:jc w:val="left"/>
        <w:rPr>
          <w:rFonts w:ascii="宋体" w:hAnsi="宋体" w:cs="宋体"/>
        </w:rPr>
      </w:pPr>
      <w:r>
        <w:rPr>
          <w:rFonts w:hint="eastAsia" w:ascii="宋体" w:hAnsi="宋体" w:cs="宋体"/>
        </w:rPr>
        <w:t>①在收益不稳定的情况下，波动的股利容易给投资者带来经营状况不稳定、投资风险较大的不良印象；</w:t>
      </w:r>
    </w:p>
    <w:p w14:paraId="14ABA391">
      <w:pPr>
        <w:jc w:val="left"/>
        <w:rPr>
          <w:rFonts w:ascii="宋体" w:hAnsi="宋体" w:cs="宋体"/>
        </w:rPr>
      </w:pPr>
      <w:r>
        <w:rPr>
          <w:rFonts w:hint="eastAsia" w:ascii="宋体" w:hAnsi="宋体" w:cs="宋体"/>
        </w:rPr>
        <w:t>②容易使公司面临较大的财务压力，因为公司实现的盈利多，并不代表公司有足够的现金流用来支付较多的股利额；</w:t>
      </w:r>
    </w:p>
    <w:p w14:paraId="5AA2B1C0">
      <w:pPr>
        <w:jc w:val="left"/>
        <w:rPr>
          <w:rFonts w:ascii="宋体" w:hAnsi="宋体" w:cs="宋体"/>
        </w:rPr>
      </w:pPr>
      <w:r>
        <w:rPr>
          <w:rFonts w:hint="eastAsia" w:ascii="宋体" w:hAnsi="宋体" w:cs="宋体"/>
        </w:rPr>
        <w:t>③合适的固定股利支付率的确定难度比较大。</w:t>
      </w:r>
    </w:p>
    <w:p w14:paraId="298DB186">
      <w:pPr>
        <w:jc w:val="left"/>
        <w:rPr>
          <w:rFonts w:ascii="宋体" w:hAnsi="宋体" w:cs="宋体"/>
          <w:color w:val="FF0000"/>
        </w:rPr>
      </w:pPr>
      <w:r>
        <w:rPr>
          <w:rFonts w:hint="eastAsia" w:ascii="宋体" w:hAnsi="宋体" w:cs="宋体"/>
          <w:color w:val="FF0000"/>
        </w:rPr>
        <w:t>特点</w:t>
      </w:r>
    </w:p>
    <w:p w14:paraId="36C7F4C0">
      <w:pPr>
        <w:jc w:val="left"/>
        <w:rPr>
          <w:rFonts w:ascii="宋体" w:hAnsi="宋体" w:cs="宋体"/>
        </w:rPr>
      </w:pPr>
      <w:r>
        <w:rPr>
          <w:rFonts w:hint="eastAsia" w:ascii="宋体" w:hAnsi="宋体" w:cs="宋体"/>
        </w:rPr>
        <w:t>处于稳定发展且财务状况也较稳定的公司。</w:t>
      </w:r>
    </w:p>
    <w:p w14:paraId="1E597D28">
      <w:pPr>
        <w:jc w:val="left"/>
        <w:rPr>
          <w:rFonts w:ascii="宋体" w:hAnsi="宋体" w:cs="宋体"/>
          <w:color w:val="FF0000"/>
        </w:rPr>
      </w:pPr>
      <w:r>
        <w:rPr>
          <w:rFonts w:hint="eastAsia" w:ascii="宋体" w:hAnsi="宋体" w:cs="宋体"/>
          <w:color w:val="FF0000"/>
        </w:rPr>
        <w:t>4.低正常股利加额外股利政策</w:t>
      </w:r>
    </w:p>
    <w:p w14:paraId="11C01F1B">
      <w:pPr>
        <w:jc w:val="left"/>
        <w:rPr>
          <w:rFonts w:ascii="宋体" w:hAnsi="宋体" w:cs="宋体"/>
        </w:rPr>
      </w:pPr>
      <w:r>
        <w:rPr>
          <w:rFonts w:hint="eastAsia" w:ascii="宋体" w:hAnsi="宋体" w:cs="宋体"/>
        </w:rPr>
        <w:t>公司事先设定一个较低的正常股利额，每年除了按正常股利额向股东发放股利外，还在公司盈余较多、资金较为充裕的年份向股东发放额外股利。</w:t>
      </w:r>
    </w:p>
    <w:p w14:paraId="66EC38CA">
      <w:pPr>
        <w:jc w:val="left"/>
        <w:rPr>
          <w:rFonts w:ascii="宋体" w:hAnsi="宋体" w:cs="宋体"/>
          <w:color w:val="FF0000"/>
        </w:rPr>
      </w:pPr>
      <w:r>
        <w:rPr>
          <w:rFonts w:hint="eastAsia" w:ascii="宋体" w:hAnsi="宋体" w:cs="宋体"/>
          <w:color w:val="FF0000"/>
        </w:rPr>
        <w:t>优点</w:t>
      </w:r>
    </w:p>
    <w:p w14:paraId="20842A06">
      <w:pPr>
        <w:jc w:val="left"/>
        <w:rPr>
          <w:rFonts w:ascii="宋体" w:hAnsi="宋体" w:cs="宋体"/>
        </w:rPr>
      </w:pPr>
      <w:r>
        <w:rPr>
          <w:rFonts w:hint="eastAsia" w:ascii="宋体" w:hAnsi="宋体" w:cs="宋体"/>
        </w:rPr>
        <w:t>①赋予公司较大的灵活性，使公司在股利发放上留有余地，并具有较大的财务弹性；</w:t>
      </w:r>
    </w:p>
    <w:p w14:paraId="3DF8CBB8">
      <w:pPr>
        <w:jc w:val="left"/>
        <w:rPr>
          <w:rFonts w:ascii="宋体" w:hAnsi="宋体" w:cs="宋体"/>
        </w:rPr>
      </w:pPr>
      <w:r>
        <w:rPr>
          <w:rFonts w:hint="eastAsia" w:ascii="宋体" w:hAnsi="宋体" w:cs="宋体"/>
        </w:rPr>
        <w:t>②使那些依靠股利度日的股东每年至少可以得到虽然较低但比较稳定的股利收入，从而吸引住这部分股东。</w:t>
      </w:r>
    </w:p>
    <w:p w14:paraId="0EBCE107">
      <w:pPr>
        <w:jc w:val="left"/>
        <w:rPr>
          <w:rFonts w:ascii="宋体" w:hAnsi="宋体" w:cs="宋体"/>
          <w:color w:val="FF0000"/>
        </w:rPr>
      </w:pPr>
      <w:r>
        <w:rPr>
          <w:rFonts w:hint="eastAsia" w:ascii="宋体" w:hAnsi="宋体" w:cs="宋体"/>
          <w:color w:val="FF0000"/>
        </w:rPr>
        <w:t>缺点</w:t>
      </w:r>
    </w:p>
    <w:p w14:paraId="20EC7E51">
      <w:pPr>
        <w:jc w:val="left"/>
        <w:rPr>
          <w:rFonts w:ascii="宋体" w:hAnsi="宋体" w:cs="宋体"/>
        </w:rPr>
      </w:pPr>
      <w:r>
        <w:rPr>
          <w:rFonts w:hint="eastAsia" w:ascii="宋体" w:hAnsi="宋体" w:cs="宋体"/>
        </w:rPr>
        <w:t>①由于各年度之间公司盈利的波动使得额外股利不断变化，造成分派的股利不同，容易给投资者造成收益不稳定的感觉；</w:t>
      </w:r>
    </w:p>
    <w:p w14:paraId="2254CAC6">
      <w:pPr>
        <w:jc w:val="left"/>
        <w:rPr>
          <w:rFonts w:ascii="宋体" w:hAnsi="宋体" w:cs="宋体"/>
        </w:rPr>
      </w:pPr>
      <w:r>
        <w:rPr>
          <w:rFonts w:hint="eastAsia" w:ascii="宋体" w:hAnsi="宋体" w:cs="宋体"/>
        </w:rPr>
        <w:t>②当公司在较长时间持续发放额外股利后，可能会被股东误认为“正常股利”，一旦取消，传递出的信号可能会使股东认为这是公司财务状况恶化的表现，进而导致股价下跌。</w:t>
      </w:r>
    </w:p>
    <w:p w14:paraId="0A8A9257">
      <w:pPr>
        <w:jc w:val="left"/>
        <w:rPr>
          <w:rFonts w:ascii="宋体" w:hAnsi="宋体" w:cs="宋体"/>
          <w:color w:val="FF0000"/>
        </w:rPr>
      </w:pPr>
      <w:r>
        <w:rPr>
          <w:rFonts w:hint="eastAsia" w:ascii="宋体" w:hAnsi="宋体" w:cs="宋体"/>
          <w:color w:val="FF0000"/>
        </w:rPr>
        <w:t>特点</w:t>
      </w:r>
    </w:p>
    <w:p w14:paraId="7A5BC8E0">
      <w:pPr>
        <w:jc w:val="left"/>
        <w:rPr>
          <w:rFonts w:ascii="宋体" w:hAnsi="宋体" w:cs="宋体"/>
        </w:rPr>
      </w:pPr>
      <w:r>
        <w:rPr>
          <w:rFonts w:hint="eastAsia" w:ascii="宋体" w:hAnsi="宋体" w:cs="宋体"/>
        </w:rPr>
        <w:t>盈利随着经济周期而波动较大，或者盈利与现金流量很不稳定的公司。</w:t>
      </w:r>
    </w:p>
    <w:p w14:paraId="0617D3F8">
      <w:pPr>
        <w:jc w:val="left"/>
        <w:rPr>
          <w:rFonts w:ascii="宋体" w:hAnsi="宋体" w:cs="宋体"/>
          <w:color w:val="FF0000"/>
        </w:rPr>
      </w:pPr>
      <w:r>
        <w:rPr>
          <w:rFonts w:hint="eastAsia" w:ascii="宋体" w:hAnsi="宋体" w:cs="宋体"/>
          <w:color w:val="FF0000"/>
        </w:rPr>
        <w:t>【知识点3】股利支付形式</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690"/>
      </w:tblGrid>
      <w:tr w14:paraId="10BD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2342C445">
            <w:pPr>
              <w:rPr>
                <w:rFonts w:ascii="宋体" w:hAnsi="宋体" w:cs="宋体"/>
              </w:rPr>
            </w:pPr>
            <w:r>
              <w:rPr>
                <w:rFonts w:hint="eastAsia" w:ascii="宋体" w:hAnsi="宋体" w:cs="宋体"/>
              </w:rPr>
              <w:t>方式</w:t>
            </w:r>
          </w:p>
        </w:tc>
        <w:tc>
          <w:tcPr>
            <w:tcW w:w="4287" w:type="pct"/>
          </w:tcPr>
          <w:p w14:paraId="7AD81F96">
            <w:pPr>
              <w:rPr>
                <w:rFonts w:ascii="宋体" w:hAnsi="宋体" w:cs="宋体"/>
              </w:rPr>
            </w:pPr>
            <w:r>
              <w:rPr>
                <w:rFonts w:hint="eastAsia" w:ascii="宋体" w:hAnsi="宋体" w:cs="宋体"/>
              </w:rPr>
              <w:t>解析</w:t>
            </w:r>
          </w:p>
        </w:tc>
      </w:tr>
      <w:tr w14:paraId="26C6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137564EC">
            <w:pPr>
              <w:rPr>
                <w:rFonts w:ascii="宋体" w:hAnsi="宋体" w:cs="宋体"/>
              </w:rPr>
            </w:pPr>
            <w:r>
              <w:rPr>
                <w:rFonts w:hint="eastAsia" w:ascii="宋体" w:hAnsi="宋体" w:cs="宋体"/>
              </w:rPr>
              <w:t>现金股利</w:t>
            </w:r>
          </w:p>
        </w:tc>
        <w:tc>
          <w:tcPr>
            <w:tcW w:w="4287" w:type="pct"/>
          </w:tcPr>
          <w:p w14:paraId="62EDDAE3">
            <w:pPr>
              <w:rPr>
                <w:rFonts w:ascii="宋体" w:hAnsi="宋体" w:cs="宋体"/>
              </w:rPr>
            </w:pPr>
            <w:r>
              <w:rPr>
                <w:rFonts w:hint="eastAsia" w:ascii="宋体" w:hAnsi="宋体" w:cs="宋体"/>
              </w:rPr>
              <w:t>以现金支付股利，是股利支付的最常见的方式</w:t>
            </w:r>
          </w:p>
        </w:tc>
      </w:tr>
      <w:tr w14:paraId="1562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7EB31D7B">
            <w:pPr>
              <w:rPr>
                <w:rFonts w:ascii="宋体" w:hAnsi="宋体" w:cs="宋体"/>
              </w:rPr>
            </w:pPr>
            <w:r>
              <w:rPr>
                <w:rFonts w:hint="eastAsia" w:ascii="宋体" w:hAnsi="宋体" w:cs="宋体"/>
              </w:rPr>
              <w:t>财产股利</w:t>
            </w:r>
          </w:p>
        </w:tc>
        <w:tc>
          <w:tcPr>
            <w:tcW w:w="4287" w:type="pct"/>
          </w:tcPr>
          <w:p w14:paraId="7FE5AD84">
            <w:pPr>
              <w:rPr>
                <w:rFonts w:ascii="宋体" w:hAnsi="宋体" w:cs="宋体"/>
              </w:rPr>
            </w:pPr>
            <w:r>
              <w:rPr>
                <w:rFonts w:hint="eastAsia" w:ascii="宋体" w:hAnsi="宋体" w:cs="宋体"/>
              </w:rPr>
              <w:t xml:space="preserve">以现金以外的其他资产支付股利 </w:t>
            </w:r>
          </w:p>
        </w:tc>
      </w:tr>
      <w:tr w14:paraId="6A9E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7DA4DA5F">
            <w:pPr>
              <w:rPr>
                <w:rFonts w:ascii="宋体" w:hAnsi="宋体" w:cs="宋体"/>
              </w:rPr>
            </w:pPr>
            <w:r>
              <w:rPr>
                <w:rFonts w:hint="eastAsia" w:ascii="宋体" w:hAnsi="宋体" w:cs="宋体"/>
              </w:rPr>
              <w:t>负债股利</w:t>
            </w:r>
          </w:p>
        </w:tc>
        <w:tc>
          <w:tcPr>
            <w:tcW w:w="4287" w:type="pct"/>
          </w:tcPr>
          <w:p w14:paraId="2166E00E">
            <w:pPr>
              <w:rPr>
                <w:rFonts w:ascii="宋体" w:hAnsi="宋体" w:cs="宋体"/>
              </w:rPr>
            </w:pPr>
            <w:r>
              <w:rPr>
                <w:rFonts w:hint="eastAsia" w:ascii="宋体" w:hAnsi="宋体" w:cs="宋体"/>
              </w:rPr>
              <w:t xml:space="preserve">以本公司负债方式支付股利 </w:t>
            </w:r>
          </w:p>
        </w:tc>
      </w:tr>
      <w:tr w14:paraId="229C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7A897909">
            <w:pPr>
              <w:rPr>
                <w:rFonts w:ascii="宋体" w:hAnsi="宋体" w:cs="宋体"/>
              </w:rPr>
            </w:pPr>
            <w:r>
              <w:rPr>
                <w:rFonts w:hint="eastAsia" w:ascii="宋体" w:hAnsi="宋体" w:cs="宋体"/>
              </w:rPr>
              <w:t>股票股利</w:t>
            </w:r>
          </w:p>
        </w:tc>
        <w:tc>
          <w:tcPr>
            <w:tcW w:w="4287" w:type="pct"/>
          </w:tcPr>
          <w:p w14:paraId="015D2B5E">
            <w:pPr>
              <w:rPr>
                <w:rFonts w:ascii="宋体" w:hAnsi="宋体" w:cs="宋体"/>
              </w:rPr>
            </w:pPr>
            <w:r>
              <w:rPr>
                <w:rFonts w:hint="eastAsia" w:ascii="宋体" w:hAnsi="宋体" w:cs="宋体"/>
              </w:rPr>
              <w:t xml:space="preserve">以本公司增发股票的方式所支付的股利 </w:t>
            </w:r>
          </w:p>
        </w:tc>
      </w:tr>
    </w:tbl>
    <w:p w14:paraId="4EA0564E">
      <w:pPr>
        <w:jc w:val="left"/>
        <w:rPr>
          <w:rFonts w:ascii="宋体" w:hAnsi="宋体" w:cs="宋体"/>
          <w:color w:val="FF0000"/>
        </w:rPr>
      </w:pPr>
      <w:r>
        <w:rPr>
          <w:rFonts w:hint="eastAsia" w:ascii="宋体" w:hAnsi="宋体" w:cs="宋体"/>
          <w:color w:val="FF0000"/>
        </w:rPr>
        <w:t>【知识点4】股票股利</w:t>
      </w:r>
    </w:p>
    <w:p w14:paraId="614112C8">
      <w:pPr>
        <w:jc w:val="left"/>
        <w:rPr>
          <w:rFonts w:ascii="宋体" w:hAnsi="宋体" w:cs="宋体"/>
        </w:rPr>
      </w:pPr>
      <w:r>
        <w:rPr>
          <w:rFonts w:hint="eastAsia" w:ascii="宋体" w:hAnsi="宋体" w:cs="宋体"/>
        </w:rPr>
        <w:t>发放股票股利对公司来说，并没有现金流出企业，也不会导致公司的财产减少。</w:t>
      </w:r>
    </w:p>
    <w:p w14:paraId="7C9690EC">
      <w:pPr>
        <w:jc w:val="left"/>
        <w:rPr>
          <w:rFonts w:ascii="宋体" w:hAnsi="宋体" w:cs="宋体"/>
        </w:rPr>
      </w:pPr>
      <w:r>
        <w:rPr>
          <w:rFonts w:hint="eastAsia" w:ascii="宋体" w:hAnsi="宋体" w:cs="宋体"/>
        </w:rPr>
        <w:t>按面值计算，未分配利润的减少=股本增加</w:t>
      </w:r>
    </w:p>
    <w:p w14:paraId="53DAE3B7">
      <w:pPr>
        <w:jc w:val="left"/>
        <w:rPr>
          <w:rFonts w:ascii="宋体" w:hAnsi="宋体" w:cs="宋体"/>
        </w:rPr>
      </w:pPr>
      <w:r>
        <w:rPr>
          <w:rFonts w:hint="eastAsia" w:ascii="宋体" w:hAnsi="宋体" w:cs="宋体"/>
        </w:rPr>
        <w:t>按市价计算，未分配利润的减少=股本增加+资本公积增加</w:t>
      </w:r>
    </w:p>
    <w:p w14:paraId="0ED0D2A3">
      <w:pPr>
        <w:jc w:val="left"/>
        <w:rPr>
          <w:rFonts w:ascii="宋体" w:hAnsi="宋体" w:cs="宋体"/>
          <w:color w:val="FF0000"/>
        </w:rPr>
      </w:pPr>
      <w:r>
        <w:rPr>
          <w:rFonts w:hint="eastAsia" w:ascii="宋体" w:hAnsi="宋体" w:cs="宋体"/>
          <w:color w:val="FF0000"/>
        </w:rPr>
        <w:t>股票股利的影响</w:t>
      </w:r>
    </w:p>
    <w:p w14:paraId="5AD18F8B">
      <w:pPr>
        <w:jc w:val="left"/>
        <w:rPr>
          <w:rFonts w:ascii="宋体" w:hAnsi="宋体" w:cs="宋体"/>
        </w:rPr>
      </w:pPr>
      <w:r>
        <w:rPr>
          <w:rFonts w:hint="eastAsia" w:ascii="宋体" w:hAnsi="宋体" w:cs="宋体"/>
        </w:rPr>
        <w:t>（1）股东权益结构变化：未分配利润转化为股本和资本公积；</w:t>
      </w:r>
    </w:p>
    <w:p w14:paraId="7C3E65AA">
      <w:pPr>
        <w:jc w:val="left"/>
        <w:rPr>
          <w:rFonts w:ascii="宋体" w:hAnsi="宋体" w:cs="宋体"/>
        </w:rPr>
      </w:pPr>
      <w:r>
        <w:rPr>
          <w:rFonts w:hint="eastAsia" w:ascii="宋体" w:hAnsi="宋体" w:cs="宋体"/>
        </w:rPr>
        <w:t>（2）没有现金流出企业，不会导致公司财产减少；</w:t>
      </w:r>
    </w:p>
    <w:p w14:paraId="0F6591E0">
      <w:pPr>
        <w:jc w:val="left"/>
        <w:rPr>
          <w:rFonts w:ascii="宋体" w:hAnsi="宋体" w:cs="宋体"/>
        </w:rPr>
      </w:pPr>
      <w:r>
        <w:rPr>
          <w:rFonts w:hint="eastAsia" w:ascii="宋体" w:hAnsi="宋体" w:cs="宋体"/>
        </w:rPr>
        <w:t>（3）资产、负债、股东权益总额不变；</w:t>
      </w:r>
    </w:p>
    <w:p w14:paraId="103697B6">
      <w:pPr>
        <w:jc w:val="left"/>
        <w:rPr>
          <w:rFonts w:ascii="宋体" w:hAnsi="宋体" w:cs="宋体"/>
        </w:rPr>
      </w:pPr>
      <w:r>
        <w:rPr>
          <w:rFonts w:hint="eastAsia" w:ascii="宋体" w:hAnsi="宋体" w:cs="宋体"/>
        </w:rPr>
        <w:t>（4）不直接增加股东财富和公司价值；</w:t>
      </w:r>
    </w:p>
    <w:p w14:paraId="3635B108">
      <w:pPr>
        <w:jc w:val="left"/>
        <w:rPr>
          <w:rFonts w:ascii="宋体" w:hAnsi="宋体" w:cs="宋体"/>
        </w:rPr>
      </w:pPr>
      <w:r>
        <w:rPr>
          <w:rFonts w:hint="eastAsia" w:ascii="宋体" w:hAnsi="宋体" w:cs="宋体"/>
        </w:rPr>
        <w:t>（5）增加流通在外的股票数量，同时降低股票的每股价值；</w:t>
      </w:r>
    </w:p>
    <w:p w14:paraId="2F06EFBB">
      <w:pPr>
        <w:jc w:val="left"/>
        <w:rPr>
          <w:rFonts w:ascii="宋体" w:hAnsi="宋体" w:cs="宋体"/>
        </w:rPr>
      </w:pPr>
      <w:r>
        <w:rPr>
          <w:rFonts w:hint="eastAsia" w:ascii="宋体" w:hAnsi="宋体" w:cs="宋体"/>
        </w:rPr>
        <w:t>（6）股东持股比例不变。</w:t>
      </w:r>
    </w:p>
    <w:p w14:paraId="14824700">
      <w:pPr>
        <w:jc w:val="left"/>
        <w:rPr>
          <w:rFonts w:ascii="宋体" w:hAnsi="宋体" w:cs="宋体"/>
          <w:color w:val="FF0000"/>
        </w:rPr>
      </w:pPr>
      <w:r>
        <w:rPr>
          <w:rFonts w:hint="eastAsia" w:ascii="宋体" w:hAnsi="宋体" w:cs="宋体"/>
          <w:color w:val="FF0000"/>
        </w:rPr>
        <w:t>【知识点5】股利支付程序</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690"/>
      </w:tblGrid>
      <w:tr w14:paraId="5019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7C3C8E5E">
            <w:pPr>
              <w:rPr>
                <w:rFonts w:ascii="宋体" w:hAnsi="宋体" w:cs="宋体"/>
              </w:rPr>
            </w:pPr>
            <w:r>
              <w:rPr>
                <w:rFonts w:hint="eastAsia" w:ascii="宋体" w:hAnsi="宋体" w:cs="宋体"/>
              </w:rPr>
              <w:t>日期</w:t>
            </w:r>
          </w:p>
        </w:tc>
        <w:tc>
          <w:tcPr>
            <w:tcW w:w="4287" w:type="pct"/>
          </w:tcPr>
          <w:p w14:paraId="7B1B7406">
            <w:pPr>
              <w:rPr>
                <w:rFonts w:ascii="宋体" w:hAnsi="宋体" w:cs="宋体"/>
              </w:rPr>
            </w:pPr>
            <w:r>
              <w:rPr>
                <w:rFonts w:hint="eastAsia" w:ascii="宋体" w:hAnsi="宋体" w:cs="宋体"/>
              </w:rPr>
              <w:t>解析</w:t>
            </w:r>
          </w:p>
        </w:tc>
      </w:tr>
      <w:tr w14:paraId="216A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51CF174F">
            <w:pPr>
              <w:rPr>
                <w:rFonts w:ascii="宋体" w:hAnsi="宋体" w:cs="宋体"/>
              </w:rPr>
            </w:pPr>
            <w:r>
              <w:rPr>
                <w:rFonts w:hint="eastAsia" w:ascii="宋体" w:hAnsi="宋体" w:cs="宋体"/>
              </w:rPr>
              <w:t>股权登记日</w:t>
            </w:r>
          </w:p>
        </w:tc>
        <w:tc>
          <w:tcPr>
            <w:tcW w:w="4287" w:type="pct"/>
          </w:tcPr>
          <w:p w14:paraId="4EC6F625">
            <w:pPr>
              <w:rPr>
                <w:rFonts w:ascii="宋体" w:hAnsi="宋体" w:cs="宋体"/>
              </w:rPr>
            </w:pPr>
            <w:r>
              <w:rPr>
                <w:rFonts w:hint="eastAsia" w:ascii="宋体" w:hAnsi="宋体" w:cs="宋体"/>
              </w:rPr>
              <w:t>有权领取本期股利的股东资格登记截止日期，在这一天之后取得股票的股东则无权领取本次分派的股利</w:t>
            </w:r>
          </w:p>
        </w:tc>
      </w:tr>
      <w:tr w14:paraId="3F50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5836DD41">
            <w:pPr>
              <w:rPr>
                <w:rFonts w:ascii="宋体" w:hAnsi="宋体" w:cs="宋体"/>
              </w:rPr>
            </w:pPr>
            <w:r>
              <w:rPr>
                <w:rFonts w:hint="eastAsia" w:ascii="宋体" w:hAnsi="宋体" w:cs="宋体"/>
              </w:rPr>
              <w:t>除息日</w:t>
            </w:r>
          </w:p>
        </w:tc>
        <w:tc>
          <w:tcPr>
            <w:tcW w:w="4287" w:type="pct"/>
          </w:tcPr>
          <w:p w14:paraId="4F14C527">
            <w:pPr>
              <w:rPr>
                <w:rFonts w:ascii="宋体" w:hAnsi="宋体" w:cs="宋体"/>
              </w:rPr>
            </w:pPr>
            <w:r>
              <w:rPr>
                <w:rFonts w:hint="eastAsia" w:ascii="宋体" w:hAnsi="宋体" w:cs="宋体"/>
              </w:rPr>
              <w:t>领取股利的权利与股票分离的日期（股权登记日的下一个交易日），由于失去了“收息”的权利，除息日的股票价格会下跌</w:t>
            </w:r>
          </w:p>
        </w:tc>
      </w:tr>
    </w:tbl>
    <w:p w14:paraId="13553F6C">
      <w:pPr>
        <w:jc w:val="left"/>
        <w:rPr>
          <w:rFonts w:ascii="宋体" w:hAnsi="宋体" w:cs="宋体"/>
          <w:color w:val="FF0000"/>
        </w:rPr>
      </w:pPr>
      <w:r>
        <w:rPr>
          <w:rFonts w:hint="eastAsia" w:ascii="宋体" w:hAnsi="宋体" w:cs="宋体"/>
          <w:color w:val="FF0000"/>
        </w:rPr>
        <w:t>【知识点6】股票分割</w:t>
      </w:r>
    </w:p>
    <w:p w14:paraId="0BCF28FA">
      <w:pPr>
        <w:jc w:val="left"/>
        <w:rPr>
          <w:rFonts w:ascii="宋体" w:hAnsi="宋体" w:cs="宋体"/>
        </w:rPr>
      </w:pPr>
      <w:r>
        <w:rPr>
          <w:rFonts w:hint="eastAsia" w:ascii="宋体" w:hAnsi="宋体" w:cs="宋体"/>
        </w:rPr>
        <w:t>股票分割，又称拆股，即将一股股票拆分成多股股票的行为。</w:t>
      </w:r>
    </w:p>
    <w:p w14:paraId="34EA75D1">
      <w:pPr>
        <w:jc w:val="left"/>
        <w:rPr>
          <w:rFonts w:ascii="宋体" w:hAnsi="宋体" w:cs="宋体"/>
        </w:rPr>
      </w:pPr>
      <w:r>
        <w:rPr>
          <w:rFonts w:hint="eastAsia" w:ascii="宋体" w:hAnsi="宋体" w:cs="宋体"/>
          <w:color w:val="FF0000"/>
        </w:rPr>
        <w:t>影响：</w:t>
      </w:r>
      <w:r>
        <w:rPr>
          <w:rFonts w:hint="eastAsia" w:ascii="宋体" w:hAnsi="宋体" w:cs="宋体"/>
        </w:rPr>
        <w:t>（1）发行在外的股数增加；（2）每股面值、每股市价降低；（3）股东权益总额及其内部结构、股东财富及持股比例、公司资本结构均无变化。</w:t>
      </w:r>
    </w:p>
    <w:p w14:paraId="35998B6D">
      <w:pPr>
        <w:jc w:val="left"/>
        <w:rPr>
          <w:rFonts w:ascii="宋体" w:hAnsi="宋体" w:cs="宋体"/>
        </w:rPr>
      </w:pPr>
      <w:r>
        <w:rPr>
          <w:rFonts w:hint="eastAsia" w:ascii="宋体" w:hAnsi="宋体" w:cs="宋体"/>
        </w:rPr>
        <w:t>作用：降低股票价格</w:t>
      </w:r>
    </w:p>
    <w:p w14:paraId="431802C1">
      <w:pPr>
        <w:jc w:val="left"/>
        <w:rPr>
          <w:rFonts w:ascii="宋体" w:hAnsi="宋体" w:cs="宋体"/>
          <w:color w:val="FF0000"/>
        </w:rPr>
      </w:pPr>
      <w:r>
        <w:rPr>
          <w:rFonts w:hint="eastAsia" w:ascii="宋体" w:hAnsi="宋体" w:cs="宋体"/>
          <w:color w:val="FF0000"/>
        </w:rPr>
        <w:t>【知识点7】股票反分割</w:t>
      </w:r>
    </w:p>
    <w:p w14:paraId="3299BBEE">
      <w:pPr>
        <w:jc w:val="left"/>
        <w:rPr>
          <w:rFonts w:ascii="宋体" w:hAnsi="宋体" w:cs="宋体"/>
        </w:rPr>
      </w:pPr>
      <w:r>
        <w:rPr>
          <w:rFonts w:hint="eastAsia" w:ascii="宋体" w:hAnsi="宋体" w:cs="宋体"/>
        </w:rPr>
        <w:t>与股票分割相反，又称股票合并或逆向分割。</w:t>
      </w:r>
    </w:p>
    <w:p w14:paraId="4064C33C">
      <w:pPr>
        <w:jc w:val="left"/>
        <w:rPr>
          <w:rFonts w:ascii="宋体" w:hAnsi="宋体" w:cs="宋体"/>
        </w:rPr>
      </w:pPr>
      <w:r>
        <w:rPr>
          <w:rFonts w:hint="eastAsia" w:ascii="宋体" w:hAnsi="宋体" w:cs="宋体"/>
        </w:rPr>
        <w:t>（1）为提高股票的价格，会采取反分割措施。</w:t>
      </w:r>
    </w:p>
    <w:p w14:paraId="46C741E8">
      <w:pPr>
        <w:jc w:val="left"/>
        <w:rPr>
          <w:rFonts w:ascii="宋体" w:hAnsi="宋体" w:cs="宋体"/>
        </w:rPr>
      </w:pPr>
      <w:r>
        <w:rPr>
          <w:rFonts w:hint="eastAsia" w:ascii="宋体" w:hAnsi="宋体" w:cs="宋体"/>
        </w:rPr>
        <w:t>（2）降低股票流通性，提高公司股票投资的门槛，向市场传递的信息通常是不利的。</w:t>
      </w:r>
    </w:p>
    <w:p w14:paraId="472A0F4B">
      <w:pPr>
        <w:jc w:val="left"/>
        <w:rPr>
          <w:rFonts w:ascii="宋体" w:hAnsi="宋体" w:cs="宋体"/>
          <w:color w:val="FF0000"/>
        </w:rPr>
      </w:pPr>
      <w:r>
        <w:rPr>
          <w:rFonts w:hint="eastAsia" w:ascii="宋体" w:hAnsi="宋体" w:cs="宋体"/>
          <w:color w:val="FF0000"/>
        </w:rPr>
        <w:t>【知识点8】股票回购动机</w:t>
      </w:r>
    </w:p>
    <w:p w14:paraId="3B6F577B">
      <w:pPr>
        <w:jc w:val="left"/>
        <w:rPr>
          <w:rFonts w:ascii="宋体" w:hAnsi="宋体" w:cs="宋体"/>
        </w:rPr>
      </w:pPr>
      <w:r>
        <w:rPr>
          <w:rFonts w:hint="eastAsia" w:ascii="宋体" w:hAnsi="宋体" w:cs="宋体"/>
        </w:rPr>
        <w:t>现金股利的替代；改变公司资本结构；传递公司信息（稳定或提高公司股价）；基于控制权的考虑</w:t>
      </w:r>
    </w:p>
    <w:p w14:paraId="594F1FCE">
      <w:pPr>
        <w:jc w:val="left"/>
        <w:rPr>
          <w:rFonts w:ascii="宋体" w:hAnsi="宋体" w:cs="宋体"/>
          <w:color w:val="FF0000"/>
        </w:rPr>
      </w:pPr>
      <w:r>
        <w:rPr>
          <w:rFonts w:hint="eastAsia" w:ascii="宋体" w:hAnsi="宋体" w:cs="宋体"/>
          <w:color w:val="FF0000"/>
        </w:rPr>
        <w:t>【知识点9】股权激励</w:t>
      </w:r>
    </w:p>
    <w:p w14:paraId="6B72EC12">
      <w:pPr>
        <w:jc w:val="left"/>
        <w:rPr>
          <w:rFonts w:ascii="宋体" w:hAnsi="宋体" w:cs="宋体"/>
          <w:color w:val="FF0000"/>
        </w:rPr>
      </w:pPr>
      <w:r>
        <w:rPr>
          <w:rFonts w:hint="eastAsia" w:ascii="宋体" w:hAnsi="宋体" w:cs="宋体"/>
          <w:color w:val="FF0000"/>
        </w:rPr>
        <w:t>1.股票期权模式</w:t>
      </w:r>
    </w:p>
    <w:p w14:paraId="6DA3FEE5">
      <w:pPr>
        <w:jc w:val="left"/>
        <w:rPr>
          <w:rFonts w:ascii="宋体" w:hAnsi="宋体" w:cs="宋体"/>
        </w:rPr>
      </w:pPr>
      <w:r>
        <w:rPr>
          <w:rFonts w:hint="eastAsia" w:ascii="宋体" w:hAnsi="宋体" w:cs="宋体"/>
          <w:color w:val="FF0000"/>
        </w:rPr>
        <w:t>2.限制性股票模式：</w:t>
      </w:r>
      <w:r>
        <w:rPr>
          <w:rFonts w:hint="eastAsia" w:ascii="宋体" w:hAnsi="宋体" w:cs="宋体"/>
        </w:rPr>
        <w:t>若激励对象没有实现预定目标，公司有权将免费赠与的股票收回</w:t>
      </w:r>
    </w:p>
    <w:p w14:paraId="0FFE47D1">
      <w:pPr>
        <w:jc w:val="left"/>
        <w:rPr>
          <w:rFonts w:ascii="宋体" w:hAnsi="宋体" w:cs="宋体"/>
          <w:color w:val="FF0000"/>
        </w:rPr>
      </w:pPr>
      <w:r>
        <w:rPr>
          <w:rFonts w:hint="eastAsia" w:ascii="宋体" w:hAnsi="宋体" w:cs="宋体"/>
          <w:color w:val="FF0000"/>
        </w:rPr>
        <w:t>3.股票增值权模式</w:t>
      </w:r>
    </w:p>
    <w:p w14:paraId="5C6428CB">
      <w:pPr>
        <w:jc w:val="left"/>
        <w:rPr>
          <w:rFonts w:hint="eastAsia" w:ascii="宋体" w:hAnsi="宋体" w:cs="宋体"/>
          <w:color w:val="FF0000"/>
        </w:rPr>
      </w:pPr>
      <w:r>
        <w:rPr>
          <w:rFonts w:hint="eastAsia" w:ascii="宋体" w:hAnsi="宋体" w:cs="宋体"/>
          <w:color w:val="FF0000"/>
        </w:rPr>
        <w:t>4.业绩股票激励模式</w:t>
      </w:r>
    </w:p>
    <w:p w14:paraId="7E9DE058">
      <w:pPr>
        <w:overflowPunct w:val="0"/>
        <w:jc w:val="center"/>
        <w:rPr>
          <w:rFonts w:ascii="宋体" w:hAnsi="宋体" w:cs="宋体"/>
          <w:b/>
          <w:bCs/>
        </w:rPr>
      </w:pPr>
      <w:r>
        <w:rPr>
          <w:rFonts w:hint="eastAsia" w:ascii="宋体" w:hAnsi="宋体" w:cs="宋体"/>
          <w:b/>
          <w:bCs/>
        </w:rPr>
        <w:t>第十章  财务分析与评价</w:t>
      </w:r>
    </w:p>
    <w:p w14:paraId="4DA2EB88">
      <w:pPr>
        <w:jc w:val="left"/>
        <w:rPr>
          <w:rFonts w:ascii="宋体" w:hAnsi="宋体" w:cs="宋体"/>
        </w:rPr>
      </w:pPr>
      <w:r>
        <w:rPr>
          <w:rFonts w:hint="eastAsia" w:ascii="宋体" w:hAnsi="宋体" w:cs="宋体"/>
          <w:color w:val="FF0000"/>
        </w:rPr>
        <w:t>【考情分析】</w:t>
      </w:r>
      <w:r>
        <w:rPr>
          <w:rFonts w:hint="eastAsia" w:ascii="宋体" w:hAnsi="宋体" w:cs="宋体"/>
        </w:rPr>
        <w:t>预测2024年分数在12分左右，主观题和客观题都会涉及。</w:t>
      </w:r>
    </w:p>
    <w:p w14:paraId="72B7D847">
      <w:pPr>
        <w:jc w:val="center"/>
        <w:rPr>
          <w:rFonts w:ascii="宋体" w:hAnsi="宋体" w:cs="宋体"/>
          <w:b/>
          <w:bCs/>
        </w:rPr>
      </w:pPr>
      <w:r>
        <w:rPr>
          <w:rFonts w:hint="eastAsia" w:ascii="宋体" w:hAnsi="宋体" w:cs="宋体"/>
          <w:b/>
          <w:bCs/>
        </w:rPr>
        <w:t>第一节  财务分析与评价概述</w:t>
      </w:r>
    </w:p>
    <w:p w14:paraId="4EC2B5BC">
      <w:pPr>
        <w:jc w:val="left"/>
        <w:rPr>
          <w:rFonts w:ascii="宋体" w:hAnsi="宋体" w:cs="宋体"/>
          <w:color w:val="FF0000"/>
        </w:rPr>
      </w:pPr>
      <w:r>
        <w:rPr>
          <w:rFonts w:hint="eastAsia" w:ascii="宋体" w:hAnsi="宋体" w:cs="宋体"/>
          <w:color w:val="FF0000"/>
        </w:rPr>
        <w:t>【知识点1】财务分析方法</w:t>
      </w:r>
    </w:p>
    <w:p w14:paraId="6E0732EE">
      <w:pPr>
        <w:jc w:val="left"/>
        <w:rPr>
          <w:rFonts w:ascii="宋体" w:hAnsi="宋体" w:cs="宋体"/>
        </w:rPr>
      </w:pPr>
      <w:r>
        <w:rPr>
          <w:rFonts w:hint="eastAsia" w:ascii="宋体" w:hAnsi="宋体" w:cs="宋体"/>
          <w:color w:val="FF0000"/>
        </w:rPr>
        <w:t>（一）比较分析法：</w:t>
      </w:r>
      <w:r>
        <w:rPr>
          <w:rFonts w:hint="eastAsia" w:ascii="宋体" w:hAnsi="宋体" w:cs="宋体"/>
        </w:rPr>
        <w:t>趋势分析法；横向比较法；预算差异法</w:t>
      </w:r>
    </w:p>
    <w:p w14:paraId="346A72B1">
      <w:pPr>
        <w:jc w:val="left"/>
        <w:rPr>
          <w:rFonts w:ascii="宋体" w:hAnsi="宋体" w:cs="宋体"/>
        </w:rPr>
      </w:pPr>
      <w:r>
        <w:rPr>
          <w:rFonts w:hint="eastAsia" w:ascii="宋体" w:hAnsi="宋体" w:cs="宋体"/>
          <w:color w:val="FF0000"/>
        </w:rPr>
        <w:t>（二）比率分析法：</w:t>
      </w:r>
      <w:r>
        <w:rPr>
          <w:rFonts w:hint="eastAsia" w:ascii="宋体" w:hAnsi="宋体" w:cs="宋体"/>
        </w:rPr>
        <w:t>构成比率（某个组成部分和整体比率）、效率比率（所费与所得的比率即利润率）、相关比率（有关经济活动的相关性）</w:t>
      </w:r>
    </w:p>
    <w:p w14:paraId="62938FC2">
      <w:pPr>
        <w:jc w:val="left"/>
        <w:rPr>
          <w:rFonts w:ascii="宋体" w:hAnsi="宋体" w:cs="宋体"/>
          <w:color w:val="FF0000"/>
        </w:rPr>
      </w:pPr>
      <w:r>
        <w:rPr>
          <w:rFonts w:hint="eastAsia" w:ascii="宋体" w:hAnsi="宋体" w:cs="宋体"/>
          <w:color w:val="FF0000"/>
        </w:rPr>
        <w:t>采用比率分析法时应注意以下三点：</w:t>
      </w:r>
    </w:p>
    <w:p w14:paraId="4EEAF680">
      <w:pPr>
        <w:jc w:val="left"/>
        <w:rPr>
          <w:rFonts w:ascii="宋体" w:hAnsi="宋体" w:cs="宋体"/>
        </w:rPr>
      </w:pPr>
      <w:r>
        <w:rPr>
          <w:rFonts w:hint="eastAsia" w:ascii="宋体" w:hAnsi="宋体" w:cs="宋体"/>
        </w:rPr>
        <w:t>（1）对比项目的相关性；</w:t>
      </w:r>
    </w:p>
    <w:p w14:paraId="0B37AD32">
      <w:pPr>
        <w:jc w:val="left"/>
        <w:rPr>
          <w:rFonts w:ascii="宋体" w:hAnsi="宋体" w:cs="宋体"/>
        </w:rPr>
      </w:pPr>
      <w:r>
        <w:rPr>
          <w:rFonts w:hint="eastAsia" w:ascii="宋体" w:hAnsi="宋体" w:cs="宋体"/>
        </w:rPr>
        <w:t>（2）对比口径的一致性；</w:t>
      </w:r>
    </w:p>
    <w:p w14:paraId="41E22AFC">
      <w:pPr>
        <w:jc w:val="left"/>
        <w:rPr>
          <w:rFonts w:ascii="宋体" w:hAnsi="宋体" w:cs="宋体"/>
        </w:rPr>
      </w:pPr>
      <w:r>
        <w:rPr>
          <w:rFonts w:hint="eastAsia" w:ascii="宋体" w:hAnsi="宋体" w:cs="宋体"/>
        </w:rPr>
        <w:t>（3）衡量标准的科学性。</w:t>
      </w:r>
    </w:p>
    <w:p w14:paraId="784B91AC">
      <w:pPr>
        <w:jc w:val="left"/>
        <w:rPr>
          <w:rFonts w:ascii="宋体" w:hAnsi="宋体" w:cs="宋体"/>
          <w:color w:val="FF0000"/>
        </w:rPr>
      </w:pPr>
      <w:r>
        <w:rPr>
          <w:rFonts w:hint="eastAsia" w:ascii="宋体" w:hAnsi="宋体" w:cs="宋体"/>
          <w:color w:val="FF0000"/>
        </w:rPr>
        <w:t>（三）因素分析法：</w:t>
      </w:r>
    </w:p>
    <w:p w14:paraId="0938E157">
      <w:pPr>
        <w:jc w:val="left"/>
        <w:rPr>
          <w:rFonts w:ascii="宋体" w:hAnsi="宋体" w:cs="宋体"/>
        </w:rPr>
      </w:pPr>
      <w:r>
        <w:rPr>
          <w:rFonts w:hint="eastAsia" w:ascii="宋体" w:hAnsi="宋体" w:cs="宋体"/>
          <w:color w:val="FF0000"/>
        </w:rPr>
        <w:t>1.连环替代法</w:t>
      </w:r>
      <w:r>
        <w:rPr>
          <w:rFonts w:hint="eastAsia" w:ascii="宋体" w:hAnsi="宋体" w:cs="宋体"/>
        </w:rPr>
        <w:t>（三步骤）</w:t>
      </w:r>
    </w:p>
    <w:p w14:paraId="78929834">
      <w:pPr>
        <w:jc w:val="left"/>
        <w:rPr>
          <w:rFonts w:ascii="宋体" w:hAnsi="宋体" w:cs="宋体"/>
        </w:rPr>
      </w:pPr>
      <w:r>
        <w:rPr>
          <w:rFonts w:hint="eastAsia" w:ascii="宋体" w:hAnsi="宋体" w:cs="宋体"/>
        </w:rPr>
        <w:t>计划指标=X0×Y0×Z0（1）</w:t>
      </w:r>
    </w:p>
    <w:p w14:paraId="3CDB556C">
      <w:pPr>
        <w:jc w:val="left"/>
        <w:rPr>
          <w:rFonts w:ascii="宋体" w:hAnsi="宋体" w:cs="宋体"/>
        </w:rPr>
      </w:pPr>
      <w:r>
        <w:rPr>
          <w:rFonts w:hint="eastAsia" w:ascii="宋体" w:hAnsi="宋体" w:cs="宋体"/>
        </w:rPr>
        <w:t>第一步：在计划指标的基础上进行各项指标的分解，按顺次用个因素的实际值替代预计值。</w:t>
      </w:r>
    </w:p>
    <w:p w14:paraId="3D857A1A">
      <w:pPr>
        <w:jc w:val="left"/>
        <w:rPr>
          <w:rFonts w:ascii="宋体" w:hAnsi="宋体" w:cs="宋体"/>
        </w:rPr>
      </w:pPr>
      <w:r>
        <w:rPr>
          <w:rFonts w:hint="eastAsia" w:ascii="宋体" w:hAnsi="宋体" w:cs="宋体"/>
        </w:rPr>
        <w:t>第一次替代=X1×Y0×Z0 （2）</w:t>
      </w:r>
    </w:p>
    <w:p w14:paraId="64D63F91">
      <w:pPr>
        <w:jc w:val="left"/>
        <w:rPr>
          <w:rFonts w:ascii="宋体" w:hAnsi="宋体" w:cs="宋体"/>
        </w:rPr>
      </w:pPr>
      <w:r>
        <w:rPr>
          <w:rFonts w:hint="eastAsia" w:ascii="宋体" w:hAnsi="宋体" w:cs="宋体"/>
        </w:rPr>
        <w:t>第二次替代=X1×Y1×Z0（3）</w:t>
      </w:r>
    </w:p>
    <w:p w14:paraId="458BC300">
      <w:pPr>
        <w:jc w:val="left"/>
        <w:rPr>
          <w:rFonts w:ascii="宋体" w:hAnsi="宋体" w:cs="宋体"/>
        </w:rPr>
      </w:pPr>
      <w:r>
        <w:rPr>
          <w:rFonts w:hint="eastAsia" w:ascii="宋体" w:hAnsi="宋体" w:cs="宋体"/>
        </w:rPr>
        <w:t>第三次替代=X1×Y1×Z1（4）</w:t>
      </w:r>
    </w:p>
    <w:p w14:paraId="5DE43852">
      <w:pPr>
        <w:jc w:val="left"/>
        <w:rPr>
          <w:rFonts w:ascii="宋体" w:hAnsi="宋体" w:cs="宋体"/>
        </w:rPr>
      </w:pPr>
      <w:r>
        <w:rPr>
          <w:rFonts w:hint="eastAsia" w:ascii="宋体" w:hAnsi="宋体" w:cs="宋体"/>
        </w:rPr>
        <w:t>第二步：之后测定各因素对分析指标的影响。</w:t>
      </w:r>
    </w:p>
    <w:p w14:paraId="7B4A29FB">
      <w:pPr>
        <w:jc w:val="left"/>
        <w:rPr>
          <w:rFonts w:ascii="宋体" w:hAnsi="宋体" w:cs="宋体"/>
        </w:rPr>
      </w:pPr>
      <w:r>
        <w:rPr>
          <w:rFonts w:hint="eastAsia" w:ascii="宋体" w:hAnsi="宋体" w:cs="宋体"/>
        </w:rPr>
        <w:t>（2）-（1）X因素变动产生的影响</w:t>
      </w:r>
    </w:p>
    <w:p w14:paraId="496777A2">
      <w:pPr>
        <w:jc w:val="left"/>
        <w:rPr>
          <w:rFonts w:ascii="宋体" w:hAnsi="宋体" w:cs="宋体"/>
        </w:rPr>
      </w:pPr>
      <w:r>
        <w:rPr>
          <w:rFonts w:hint="eastAsia" w:ascii="宋体" w:hAnsi="宋体" w:cs="宋体"/>
        </w:rPr>
        <w:t>（3）-（2）Y因素变动产生的影响</w:t>
      </w:r>
    </w:p>
    <w:p w14:paraId="6E72B8A3">
      <w:pPr>
        <w:jc w:val="left"/>
        <w:rPr>
          <w:rFonts w:ascii="宋体" w:hAnsi="宋体" w:cs="宋体"/>
        </w:rPr>
      </w:pPr>
      <w:r>
        <w:rPr>
          <w:rFonts w:hint="eastAsia" w:ascii="宋体" w:hAnsi="宋体" w:cs="宋体"/>
        </w:rPr>
        <w:t>（4）-（3）Z因素变动产生的影响</w:t>
      </w:r>
    </w:p>
    <w:p w14:paraId="619E8102">
      <w:pPr>
        <w:jc w:val="left"/>
        <w:rPr>
          <w:rFonts w:ascii="宋体" w:hAnsi="宋体" w:cs="宋体"/>
        </w:rPr>
      </w:pPr>
      <w:r>
        <w:rPr>
          <w:rFonts w:hint="eastAsia" w:ascii="宋体" w:hAnsi="宋体" w:cs="宋体"/>
        </w:rPr>
        <w:t>第三步：最后再考虑全部因素的影响，即三个因素变动产生影响之和。</w:t>
      </w:r>
    </w:p>
    <w:p w14:paraId="0A1BAF87">
      <w:pPr>
        <w:jc w:val="left"/>
        <w:rPr>
          <w:rFonts w:ascii="宋体" w:hAnsi="宋体" w:cs="宋体"/>
          <w:color w:val="FF0000"/>
        </w:rPr>
      </w:pPr>
      <w:r>
        <w:rPr>
          <w:rFonts w:hint="eastAsia" w:ascii="宋体" w:hAnsi="宋体" w:cs="宋体"/>
          <w:color w:val="FF0000"/>
        </w:rPr>
        <w:t>2.差额分析法</w:t>
      </w:r>
    </w:p>
    <w:p w14:paraId="184B819B">
      <w:pPr>
        <w:jc w:val="left"/>
        <w:rPr>
          <w:rFonts w:ascii="宋体" w:hAnsi="宋体" w:cs="宋体"/>
        </w:rPr>
      </w:pPr>
      <w:r>
        <w:rPr>
          <w:rFonts w:hint="eastAsia" w:ascii="宋体" w:hAnsi="宋体" w:cs="宋体"/>
        </w:rPr>
        <w:t>差额分析法是连环替代法的一种简化形式，是利用各个因素的比较值与基准值之间的差额，来计算各因素对分析指标的影响。</w:t>
      </w:r>
    </w:p>
    <w:p w14:paraId="04CE5FCC">
      <w:pPr>
        <w:jc w:val="left"/>
        <w:rPr>
          <w:rFonts w:ascii="宋体" w:hAnsi="宋体" w:cs="宋体"/>
        </w:rPr>
      </w:pPr>
      <w:r>
        <w:rPr>
          <w:rFonts w:hint="eastAsia" w:ascii="宋体" w:hAnsi="宋体" w:cs="宋体"/>
        </w:rPr>
        <w:t>X因素变动的影响＝（X1－X0）×Y0×Z0</w:t>
      </w:r>
    </w:p>
    <w:p w14:paraId="6E8440EE">
      <w:pPr>
        <w:jc w:val="left"/>
        <w:rPr>
          <w:rFonts w:ascii="宋体" w:hAnsi="宋体" w:cs="宋体"/>
        </w:rPr>
      </w:pPr>
      <w:r>
        <w:rPr>
          <w:rFonts w:hint="eastAsia" w:ascii="宋体" w:hAnsi="宋体" w:cs="宋体"/>
        </w:rPr>
        <w:t>Y因素变动的影响＝X1×（Y1－Y0）×Z0</w:t>
      </w:r>
    </w:p>
    <w:p w14:paraId="05545987">
      <w:pPr>
        <w:jc w:val="left"/>
        <w:rPr>
          <w:rFonts w:ascii="宋体" w:hAnsi="宋体" w:cs="宋体"/>
        </w:rPr>
      </w:pPr>
      <w:r>
        <w:rPr>
          <w:rFonts w:hint="eastAsia" w:ascii="宋体" w:hAnsi="宋体" w:cs="宋体"/>
        </w:rPr>
        <w:t>Z因素变动的影响＝X1×Y1×（Z1－Z0）</w:t>
      </w:r>
    </w:p>
    <w:p w14:paraId="57E10524">
      <w:pPr>
        <w:jc w:val="left"/>
        <w:rPr>
          <w:rFonts w:ascii="宋体" w:hAnsi="宋体" w:cs="宋体"/>
          <w:color w:val="FF0000"/>
        </w:rPr>
      </w:pPr>
      <w:r>
        <w:rPr>
          <w:rFonts w:hint="eastAsia" w:ascii="宋体" w:hAnsi="宋体" w:cs="宋体"/>
          <w:color w:val="FF0000"/>
        </w:rPr>
        <w:t>3.用因素分析法时，必须注意一下四个问题</w:t>
      </w:r>
    </w:p>
    <w:p w14:paraId="21DFAA99">
      <w:pPr>
        <w:jc w:val="left"/>
        <w:rPr>
          <w:rFonts w:ascii="宋体" w:hAnsi="宋体" w:cs="宋体"/>
        </w:rPr>
      </w:pPr>
      <w:r>
        <w:rPr>
          <w:rFonts w:hint="eastAsia" w:ascii="宋体" w:hAnsi="宋体" w:cs="宋体"/>
        </w:rPr>
        <w:t>（1）因素分解的关联性；　</w:t>
      </w:r>
    </w:p>
    <w:p w14:paraId="14FC920D">
      <w:pPr>
        <w:jc w:val="left"/>
        <w:rPr>
          <w:rFonts w:ascii="宋体" w:hAnsi="宋体" w:cs="宋体"/>
        </w:rPr>
      </w:pPr>
      <w:r>
        <w:rPr>
          <w:rFonts w:hint="eastAsia" w:ascii="宋体" w:hAnsi="宋体" w:cs="宋体"/>
        </w:rPr>
        <w:t>（2）因素替代的顺序性；</w:t>
      </w:r>
    </w:p>
    <w:p w14:paraId="4963FEA8">
      <w:pPr>
        <w:jc w:val="left"/>
        <w:rPr>
          <w:rFonts w:ascii="宋体" w:hAnsi="宋体" w:cs="宋体"/>
        </w:rPr>
      </w:pPr>
      <w:r>
        <w:rPr>
          <w:rFonts w:hint="eastAsia" w:ascii="宋体" w:hAnsi="宋体" w:cs="宋体"/>
        </w:rPr>
        <w:t>（3）顺序替代的连环性；　</w:t>
      </w:r>
    </w:p>
    <w:p w14:paraId="520FA2F2">
      <w:pPr>
        <w:jc w:val="left"/>
        <w:rPr>
          <w:rFonts w:ascii="宋体" w:hAnsi="宋体" w:cs="宋体"/>
        </w:rPr>
      </w:pPr>
      <w:r>
        <w:rPr>
          <w:rFonts w:hint="eastAsia" w:ascii="宋体" w:hAnsi="宋体" w:cs="宋体"/>
        </w:rPr>
        <w:t>（4）计算结果的假定性。</w:t>
      </w:r>
    </w:p>
    <w:p w14:paraId="6686C791">
      <w:pPr>
        <w:jc w:val="left"/>
        <w:rPr>
          <w:rFonts w:ascii="宋体" w:hAnsi="宋体" w:cs="宋体"/>
        </w:rPr>
      </w:pPr>
    </w:p>
    <w:p w14:paraId="2B1ADC61">
      <w:pPr>
        <w:jc w:val="center"/>
        <w:rPr>
          <w:rFonts w:ascii="宋体" w:hAnsi="宋体" w:cs="宋体"/>
          <w:b/>
          <w:bCs/>
        </w:rPr>
      </w:pPr>
      <w:r>
        <w:rPr>
          <w:rFonts w:hint="eastAsia" w:ascii="宋体" w:hAnsi="宋体" w:cs="宋体"/>
          <w:b/>
          <w:bCs/>
        </w:rPr>
        <w:t>第二节基本的财务报表分析</w:t>
      </w:r>
    </w:p>
    <w:p w14:paraId="011380CB">
      <w:pPr>
        <w:jc w:val="left"/>
        <w:rPr>
          <w:rFonts w:ascii="宋体" w:hAnsi="宋体" w:cs="宋体"/>
        </w:rPr>
      </w:pPr>
      <w:r>
        <w:rPr>
          <w:rFonts w:hint="eastAsia" w:ascii="宋体" w:hAnsi="宋体" w:cs="宋体"/>
        </w:rPr>
        <w:t>基本的财务报表分析内容包括：</w:t>
      </w:r>
    </w:p>
    <w:p w14:paraId="27C293DB">
      <w:pPr>
        <w:jc w:val="left"/>
        <w:rPr>
          <w:rFonts w:ascii="宋体" w:hAnsi="宋体" w:cs="宋体"/>
        </w:rPr>
      </w:pPr>
      <w:r>
        <w:rPr>
          <w:rFonts w:hint="eastAsia" w:ascii="宋体" w:hAnsi="宋体" w:cs="宋体"/>
        </w:rPr>
        <w:t>（1）偿债能力分析</w:t>
      </w:r>
    </w:p>
    <w:p w14:paraId="13E6C9BE">
      <w:pPr>
        <w:jc w:val="left"/>
        <w:rPr>
          <w:rFonts w:ascii="宋体" w:hAnsi="宋体" w:cs="宋体"/>
        </w:rPr>
      </w:pPr>
      <w:r>
        <w:rPr>
          <w:rFonts w:hint="eastAsia" w:ascii="宋体" w:hAnsi="宋体" w:cs="宋体"/>
        </w:rPr>
        <w:t>（2）营运能力分析</w:t>
      </w:r>
    </w:p>
    <w:p w14:paraId="630431D1">
      <w:pPr>
        <w:jc w:val="left"/>
        <w:rPr>
          <w:rFonts w:ascii="宋体" w:hAnsi="宋体" w:cs="宋体"/>
        </w:rPr>
      </w:pPr>
      <w:r>
        <w:rPr>
          <w:rFonts w:hint="eastAsia" w:ascii="宋体" w:hAnsi="宋体" w:cs="宋体"/>
        </w:rPr>
        <w:t>（3）盈利能力分析</w:t>
      </w:r>
    </w:p>
    <w:p w14:paraId="22D93E34">
      <w:pPr>
        <w:jc w:val="left"/>
        <w:rPr>
          <w:rFonts w:ascii="宋体" w:hAnsi="宋体" w:cs="宋体"/>
        </w:rPr>
      </w:pPr>
      <w:r>
        <w:rPr>
          <w:rFonts w:hint="eastAsia" w:ascii="宋体" w:hAnsi="宋体" w:cs="宋体"/>
        </w:rPr>
        <w:t>（4）发展能力分析</w:t>
      </w:r>
    </w:p>
    <w:p w14:paraId="091F5439">
      <w:pPr>
        <w:jc w:val="left"/>
        <w:rPr>
          <w:rFonts w:ascii="宋体" w:hAnsi="宋体" w:cs="宋体"/>
        </w:rPr>
      </w:pPr>
      <w:r>
        <w:rPr>
          <w:rFonts w:hint="eastAsia" w:ascii="宋体" w:hAnsi="宋体" w:cs="宋体"/>
        </w:rPr>
        <w:t>（5）现金流量分析</w:t>
      </w:r>
    </w:p>
    <w:p w14:paraId="6DE5DF97">
      <w:pPr>
        <w:jc w:val="left"/>
        <w:rPr>
          <w:rFonts w:ascii="宋体" w:hAnsi="宋体" w:cs="宋体"/>
          <w:color w:val="FF0000"/>
        </w:rPr>
      </w:pPr>
      <w:r>
        <w:rPr>
          <w:rFonts w:hint="eastAsia" w:ascii="宋体" w:hAnsi="宋体" w:cs="宋体"/>
          <w:color w:val="FF0000"/>
        </w:rPr>
        <w:t>【知识点1】短期偿债能力</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400"/>
      </w:tblGrid>
      <w:tr w14:paraId="265F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16EDA10C">
            <w:pPr>
              <w:rPr>
                <w:rFonts w:ascii="宋体" w:hAnsi="宋体" w:cs="宋体"/>
              </w:rPr>
            </w:pPr>
            <w:r>
              <w:rPr>
                <w:rFonts w:hint="eastAsia" w:ascii="宋体" w:hAnsi="宋体" w:cs="宋体"/>
              </w:rPr>
              <w:t>营运资金</w:t>
            </w:r>
          </w:p>
        </w:tc>
        <w:tc>
          <w:tcPr>
            <w:tcW w:w="4144" w:type="pct"/>
          </w:tcPr>
          <w:p w14:paraId="74F9645E">
            <w:pPr>
              <w:rPr>
                <w:rFonts w:ascii="宋体" w:hAnsi="宋体" w:cs="宋体"/>
              </w:rPr>
            </w:pPr>
            <w:r>
              <w:rPr>
                <w:rFonts w:hint="eastAsia" w:ascii="宋体" w:hAnsi="宋体" w:cs="宋体"/>
              </w:rPr>
              <w:t>营运资金=流动资产-流动负债</w:t>
            </w:r>
          </w:p>
        </w:tc>
      </w:tr>
      <w:tr w14:paraId="1568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1EA49DF2">
            <w:pPr>
              <w:rPr>
                <w:rFonts w:ascii="宋体" w:hAnsi="宋体" w:cs="宋体"/>
              </w:rPr>
            </w:pPr>
            <w:r>
              <w:rPr>
                <w:rFonts w:hint="eastAsia" w:ascii="宋体" w:hAnsi="宋体" w:cs="宋体"/>
              </w:rPr>
              <w:t>流动比率</w:t>
            </w:r>
          </w:p>
        </w:tc>
        <w:tc>
          <w:tcPr>
            <w:tcW w:w="4144" w:type="pct"/>
          </w:tcPr>
          <w:p w14:paraId="6B820544">
            <w:pPr>
              <w:rPr>
                <w:rFonts w:ascii="宋体" w:hAnsi="宋体" w:cs="宋体"/>
              </w:rPr>
            </w:pPr>
            <w:r>
              <w:rPr>
                <w:rFonts w:hint="eastAsia" w:ascii="宋体" w:hAnsi="宋体" w:cs="宋体"/>
              </w:rPr>
              <w:t>流动比率=流动资产/流动负债</w:t>
            </w:r>
          </w:p>
        </w:tc>
      </w:tr>
      <w:tr w14:paraId="0A89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768D84F5">
            <w:pPr>
              <w:rPr>
                <w:rFonts w:ascii="宋体" w:hAnsi="宋体" w:cs="宋体"/>
              </w:rPr>
            </w:pPr>
            <w:r>
              <w:rPr>
                <w:rFonts w:hint="eastAsia" w:ascii="宋体" w:hAnsi="宋体" w:cs="宋体"/>
              </w:rPr>
              <w:t>速动比率</w:t>
            </w:r>
          </w:p>
        </w:tc>
        <w:tc>
          <w:tcPr>
            <w:tcW w:w="4144" w:type="pct"/>
          </w:tcPr>
          <w:p w14:paraId="06D904E0">
            <w:pPr>
              <w:rPr>
                <w:rFonts w:ascii="宋体" w:hAnsi="宋体" w:cs="宋体"/>
              </w:rPr>
            </w:pPr>
            <w:r>
              <w:rPr>
                <w:rFonts w:hint="eastAsia" w:ascii="宋体" w:hAnsi="宋体" w:cs="宋体"/>
              </w:rPr>
              <w:t>速动比率=速动资产/流动负债</w:t>
            </w:r>
          </w:p>
        </w:tc>
      </w:tr>
      <w:tr w14:paraId="43B5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18ECD54">
            <w:pPr>
              <w:rPr>
                <w:rFonts w:ascii="宋体" w:hAnsi="宋体" w:cs="宋体"/>
              </w:rPr>
            </w:pPr>
            <w:r>
              <w:rPr>
                <w:rFonts w:hint="eastAsia" w:ascii="宋体" w:hAnsi="宋体" w:cs="宋体"/>
              </w:rPr>
              <w:t>现金比率</w:t>
            </w:r>
          </w:p>
        </w:tc>
        <w:tc>
          <w:tcPr>
            <w:tcW w:w="4144" w:type="pct"/>
          </w:tcPr>
          <w:p w14:paraId="034329E6">
            <w:pPr>
              <w:rPr>
                <w:rFonts w:ascii="宋体" w:hAnsi="宋体" w:cs="宋体"/>
              </w:rPr>
            </w:pPr>
            <w:r>
              <w:rPr>
                <w:rFonts w:hint="eastAsia" w:ascii="宋体" w:hAnsi="宋体" w:cs="宋体"/>
              </w:rPr>
              <w:t>现金比率=（货币资金+交易性金融资产）/流动负债</w:t>
            </w:r>
          </w:p>
        </w:tc>
      </w:tr>
    </w:tbl>
    <w:p w14:paraId="5BE6F129">
      <w:pPr>
        <w:jc w:val="left"/>
        <w:rPr>
          <w:rFonts w:hint="eastAsia" w:ascii="宋体" w:hAnsi="宋体" w:cs="宋体"/>
          <w:color w:val="FF0000"/>
        </w:rPr>
      </w:pPr>
      <w:r>
        <w:rPr>
          <w:rFonts w:hint="eastAsia" w:ascii="宋体" w:hAnsi="宋体" w:cs="宋体"/>
          <w:color w:val="FF0000"/>
        </w:rPr>
        <w:t>【知识点2】长期偿债能力</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8256"/>
      </w:tblGrid>
      <w:tr w14:paraId="74FF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7FF222CF">
            <w:pPr>
              <w:rPr>
                <w:rFonts w:ascii="宋体" w:hAnsi="宋体" w:cs="宋体"/>
              </w:rPr>
            </w:pPr>
            <w:r>
              <w:rPr>
                <w:rFonts w:hint="eastAsia" w:ascii="宋体" w:hAnsi="宋体" w:cs="宋体"/>
              </w:rPr>
              <w:t>资产负债率</w:t>
            </w:r>
          </w:p>
        </w:tc>
        <w:tc>
          <w:tcPr>
            <w:tcW w:w="4073" w:type="pct"/>
          </w:tcPr>
          <w:p w14:paraId="5ABBDDE2">
            <w:pPr>
              <w:rPr>
                <w:rFonts w:ascii="宋体" w:hAnsi="宋体" w:cs="宋体"/>
              </w:rPr>
            </w:pPr>
            <w:r>
              <w:rPr>
                <w:rFonts w:hint="eastAsia" w:ascii="宋体" w:hAnsi="宋体" w:cs="宋体"/>
              </w:rPr>
              <w:t>资产负债率=负债总额/资产总额</w:t>
            </w:r>
          </w:p>
        </w:tc>
      </w:tr>
      <w:tr w14:paraId="1580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128FAC01">
            <w:pPr>
              <w:rPr>
                <w:rFonts w:ascii="宋体" w:hAnsi="宋体" w:cs="宋体"/>
              </w:rPr>
            </w:pPr>
            <w:r>
              <w:rPr>
                <w:rFonts w:hint="eastAsia" w:ascii="宋体" w:hAnsi="宋体" w:cs="宋体"/>
              </w:rPr>
              <w:t>产权比率</w:t>
            </w:r>
          </w:p>
        </w:tc>
        <w:tc>
          <w:tcPr>
            <w:tcW w:w="4073" w:type="pct"/>
          </w:tcPr>
          <w:p w14:paraId="51BE4D5D">
            <w:pPr>
              <w:rPr>
                <w:rFonts w:ascii="宋体" w:hAnsi="宋体" w:cs="宋体"/>
              </w:rPr>
            </w:pPr>
            <w:r>
              <w:rPr>
                <w:rFonts w:hint="eastAsia" w:ascii="宋体" w:hAnsi="宋体" w:cs="宋体"/>
              </w:rPr>
              <w:t>产权比率=负债总额/所有者权益</w:t>
            </w:r>
          </w:p>
        </w:tc>
      </w:tr>
      <w:tr w14:paraId="038A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2841253F">
            <w:pPr>
              <w:rPr>
                <w:rFonts w:ascii="宋体" w:hAnsi="宋体" w:cs="宋体"/>
              </w:rPr>
            </w:pPr>
            <w:r>
              <w:rPr>
                <w:rFonts w:hint="eastAsia" w:ascii="宋体" w:hAnsi="宋体" w:cs="宋体"/>
              </w:rPr>
              <w:t>权益乘数</w:t>
            </w:r>
          </w:p>
        </w:tc>
        <w:tc>
          <w:tcPr>
            <w:tcW w:w="4073" w:type="pct"/>
          </w:tcPr>
          <w:p w14:paraId="70FD758A">
            <w:pPr>
              <w:rPr>
                <w:rFonts w:ascii="宋体" w:hAnsi="宋体" w:cs="宋体"/>
              </w:rPr>
            </w:pPr>
            <w:r>
              <w:rPr>
                <w:rFonts w:hint="eastAsia" w:ascii="宋体" w:hAnsi="宋体" w:cs="宋体"/>
              </w:rPr>
              <w:t>权益乘数=资产总额/所有者权益</w:t>
            </w:r>
          </w:p>
        </w:tc>
      </w:tr>
      <w:tr w14:paraId="02B7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7DAA2BDB">
            <w:pPr>
              <w:rPr>
                <w:rFonts w:ascii="宋体" w:hAnsi="宋体" w:cs="宋体"/>
              </w:rPr>
            </w:pPr>
            <w:r>
              <w:rPr>
                <w:rFonts w:hint="eastAsia" w:ascii="宋体" w:hAnsi="宋体" w:cs="宋体"/>
              </w:rPr>
              <w:t>利息保障倍数</w:t>
            </w:r>
          </w:p>
        </w:tc>
        <w:tc>
          <w:tcPr>
            <w:tcW w:w="4073" w:type="pct"/>
          </w:tcPr>
          <w:p w14:paraId="75B9C319">
            <w:pPr>
              <w:rPr>
                <w:rFonts w:ascii="宋体" w:hAnsi="宋体" w:cs="宋体"/>
              </w:rPr>
            </w:pPr>
            <w:r>
              <w:rPr>
                <w:rFonts w:hint="eastAsia" w:ascii="宋体" w:hAnsi="宋体" w:cs="宋体"/>
              </w:rPr>
              <w:t>利息保障倍数=息税前利润/利息</w:t>
            </w:r>
          </w:p>
        </w:tc>
      </w:tr>
    </w:tbl>
    <w:p w14:paraId="2DF82A92">
      <w:pPr>
        <w:jc w:val="left"/>
        <w:rPr>
          <w:rFonts w:ascii="宋体" w:hAnsi="宋体" w:cs="宋体"/>
          <w:color w:val="FF0000"/>
        </w:rPr>
      </w:pPr>
      <w:r>
        <w:rPr>
          <w:rFonts w:hint="eastAsia" w:ascii="宋体" w:hAnsi="宋体" w:cs="宋体"/>
          <w:color w:val="FF0000"/>
        </w:rPr>
        <w:t>【知识点3】营运能力分析</w:t>
      </w:r>
    </w:p>
    <w:p w14:paraId="1B109ACC">
      <w:pPr>
        <w:jc w:val="left"/>
        <w:rPr>
          <w:rFonts w:ascii="宋体" w:hAnsi="宋体" w:cs="宋体"/>
        </w:rPr>
      </w:pPr>
      <w:r>
        <w:rPr>
          <w:rFonts w:ascii="宋体" w:hAnsi="宋体" w:cs="宋体"/>
        </w:rPr>
        <w:drawing>
          <wp:inline distT="0" distB="0" distL="0" distR="0">
            <wp:extent cx="4095115" cy="1320800"/>
            <wp:effectExtent l="0" t="0" r="0" b="0"/>
            <wp:docPr id="422408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8684" name="图片 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30375" cy="1332245"/>
                    </a:xfrm>
                    <a:prstGeom prst="rect">
                      <a:avLst/>
                    </a:prstGeom>
                  </pic:spPr>
                </pic:pic>
              </a:graphicData>
            </a:graphic>
          </wp:inline>
        </w:drawing>
      </w:r>
    </w:p>
    <w:p w14:paraId="56B6B57A">
      <w:pPr>
        <w:jc w:val="left"/>
        <w:rPr>
          <w:rFonts w:ascii="宋体" w:hAnsi="宋体" w:cs="宋体"/>
        </w:rPr>
      </w:pPr>
      <w:r>
        <w:rPr>
          <w:rFonts w:hint="eastAsia" w:ascii="宋体" w:hAnsi="宋体" w:cs="宋体"/>
          <w:color w:val="FF0000"/>
        </w:rPr>
        <w:t>【提示1】</w:t>
      </w:r>
      <w:r>
        <w:rPr>
          <w:rFonts w:hint="eastAsia" w:ascii="宋体" w:hAnsi="宋体" w:cs="宋体"/>
        </w:rPr>
        <w:t>扣除销售折扣和折让后的销售净额；理论上，应使用“赊销收入”作为周转额</w:t>
      </w:r>
    </w:p>
    <w:p w14:paraId="54F5C485">
      <w:pPr>
        <w:jc w:val="left"/>
        <w:rPr>
          <w:rFonts w:ascii="宋体" w:hAnsi="宋体" w:cs="宋体"/>
        </w:rPr>
      </w:pPr>
      <w:r>
        <w:rPr>
          <w:rFonts w:hint="eastAsia" w:ascii="宋体" w:hAnsi="宋体" w:cs="宋体"/>
          <w:color w:val="FF0000"/>
        </w:rPr>
        <w:t>【提示2】</w:t>
      </w:r>
      <w:r>
        <w:rPr>
          <w:rFonts w:hint="eastAsia" w:ascii="宋体" w:hAnsi="宋体" w:cs="宋体"/>
        </w:rPr>
        <w:t>应收账款包括应收票据、应收账款、未扣除坏账准备的金额</w:t>
      </w:r>
    </w:p>
    <w:p w14:paraId="4B5736D9">
      <w:pPr>
        <w:jc w:val="left"/>
        <w:rPr>
          <w:rFonts w:ascii="宋体" w:hAnsi="宋体" w:cs="宋体"/>
        </w:rPr>
      </w:pPr>
      <w:r>
        <w:rPr>
          <w:rFonts w:hint="eastAsia" w:ascii="宋体" w:hAnsi="宋体" w:cs="宋体"/>
          <w:color w:val="FF0000"/>
        </w:rPr>
        <w:t>【提示3】</w:t>
      </w:r>
      <w:r>
        <w:rPr>
          <w:rFonts w:hint="eastAsia" w:ascii="宋体" w:hAnsi="宋体" w:cs="宋体"/>
        </w:rPr>
        <w:t>存货周转率只反映存货整体周转情况，不能说明企业经营各环节的存货的周转情况和管理水平；</w:t>
      </w:r>
    </w:p>
    <w:p w14:paraId="4C6E1022">
      <w:pPr>
        <w:jc w:val="left"/>
        <w:rPr>
          <w:rFonts w:ascii="宋体" w:hAnsi="宋体" w:cs="宋体"/>
        </w:rPr>
      </w:pPr>
      <w:r>
        <w:rPr>
          <w:rFonts w:hint="eastAsia" w:ascii="宋体" w:hAnsi="宋体" w:cs="宋体"/>
          <w:color w:val="FF0000"/>
        </w:rPr>
        <w:t>【提示4】</w:t>
      </w:r>
      <w:r>
        <w:rPr>
          <w:rFonts w:hint="eastAsia" w:ascii="宋体" w:hAnsi="宋体" w:cs="宋体"/>
        </w:rPr>
        <w:t>周转天数=计算期天数/相关周转率</w:t>
      </w:r>
    </w:p>
    <w:p w14:paraId="51C5AF67">
      <w:pPr>
        <w:jc w:val="left"/>
        <w:rPr>
          <w:rFonts w:ascii="宋体" w:hAnsi="宋体" w:cs="宋体"/>
          <w:color w:val="FF0000"/>
        </w:rPr>
      </w:pPr>
      <w:r>
        <w:rPr>
          <w:rFonts w:hint="eastAsia" w:ascii="宋体" w:hAnsi="宋体" w:cs="宋体"/>
          <w:color w:val="FF0000"/>
        </w:rPr>
        <w:t>【知识点4】盈利能力分析</w:t>
      </w:r>
    </w:p>
    <w:p w14:paraId="229E77C2">
      <w:pPr>
        <w:jc w:val="left"/>
        <w:rPr>
          <w:rFonts w:ascii="宋体" w:hAnsi="宋体" w:cs="宋体"/>
        </w:rPr>
      </w:pPr>
      <w:r>
        <w:rPr>
          <w:rFonts w:hint="eastAsia" w:ascii="宋体" w:hAnsi="宋体" w:cs="宋体"/>
        </w:rPr>
        <w:t>1）营业毛利率＝营业毛利/营业收入×100%＝（营业收入－营业成本）/营业收入×100%</w:t>
      </w:r>
    </w:p>
    <w:p w14:paraId="14426A8E">
      <w:pPr>
        <w:jc w:val="left"/>
        <w:rPr>
          <w:rFonts w:ascii="宋体" w:hAnsi="宋体" w:cs="宋体"/>
        </w:rPr>
      </w:pPr>
      <w:r>
        <w:rPr>
          <w:rFonts w:hint="eastAsia" w:ascii="宋体" w:hAnsi="宋体" w:cs="宋体"/>
        </w:rPr>
        <w:t>2）营业净利率＝净利润/营业收入×100%</w:t>
      </w:r>
    </w:p>
    <w:p w14:paraId="55D4E840">
      <w:pPr>
        <w:jc w:val="left"/>
        <w:rPr>
          <w:rFonts w:ascii="宋体" w:hAnsi="宋体" w:cs="宋体"/>
        </w:rPr>
      </w:pPr>
      <w:r>
        <w:rPr>
          <w:rFonts w:hint="eastAsia" w:ascii="宋体" w:hAnsi="宋体" w:cs="宋体"/>
        </w:rPr>
        <w:t xml:space="preserve">3）总资产净利率＝净利润/平均总资产×100% </w:t>
      </w:r>
    </w:p>
    <w:p w14:paraId="2ABF3C7C">
      <w:pPr>
        <w:jc w:val="left"/>
        <w:rPr>
          <w:rFonts w:ascii="宋体" w:hAnsi="宋体" w:cs="宋体"/>
        </w:rPr>
      </w:pPr>
      <w:r>
        <w:rPr>
          <w:rFonts w:hint="eastAsia" w:ascii="宋体" w:hAnsi="宋体" w:cs="宋体"/>
        </w:rPr>
        <w:t>4）净资产收益率＝净利润/平均所有者权益×100%</w:t>
      </w:r>
    </w:p>
    <w:p w14:paraId="5FAD9375">
      <w:pPr>
        <w:jc w:val="left"/>
        <w:rPr>
          <w:rFonts w:ascii="宋体" w:hAnsi="宋体" w:cs="宋体"/>
        </w:rPr>
      </w:pPr>
      <w:r>
        <w:rPr>
          <w:rFonts w:hint="eastAsia" w:ascii="宋体" w:hAnsi="宋体" w:cs="宋体"/>
          <w:color w:val="FF0000"/>
        </w:rPr>
        <w:t>【提示】</w:t>
      </w:r>
      <w:r>
        <w:rPr>
          <w:rFonts w:hint="eastAsia" w:ascii="宋体" w:hAnsi="宋体" w:cs="宋体"/>
        </w:rPr>
        <w:t>结合杜邦财务分析体系掌握营业净利率、总资产净利率和净资产收益率之间的关系。</w:t>
      </w:r>
    </w:p>
    <w:p w14:paraId="3693DEFD">
      <w:pPr>
        <w:jc w:val="left"/>
        <w:rPr>
          <w:rFonts w:ascii="宋体" w:hAnsi="宋体" w:cs="宋体"/>
          <w:color w:val="FF0000"/>
        </w:rPr>
      </w:pPr>
      <w:r>
        <w:rPr>
          <w:rFonts w:hint="eastAsia" w:ascii="宋体" w:hAnsi="宋体" w:cs="宋体"/>
          <w:color w:val="FF0000"/>
        </w:rPr>
        <w:t>【知识点5】发展能力</w:t>
      </w:r>
    </w:p>
    <w:p w14:paraId="0BD98BC6">
      <w:pPr>
        <w:jc w:val="left"/>
        <w:rPr>
          <w:rFonts w:ascii="宋体" w:hAnsi="宋体" w:cs="宋体"/>
        </w:rPr>
      </w:pPr>
      <w:r>
        <w:rPr>
          <w:rFonts w:hint="eastAsia" w:ascii="宋体" w:hAnsi="宋体" w:cs="宋体"/>
        </w:rPr>
        <w:t>1）营业收入增长率＝本年营业收入增长额/上年营业收入×100%</w:t>
      </w:r>
    </w:p>
    <w:p w14:paraId="1CBD95B8">
      <w:pPr>
        <w:jc w:val="left"/>
        <w:rPr>
          <w:rFonts w:ascii="宋体" w:hAnsi="宋体" w:cs="宋体"/>
        </w:rPr>
      </w:pPr>
      <w:r>
        <w:rPr>
          <w:rFonts w:hint="eastAsia" w:ascii="宋体" w:hAnsi="宋体" w:cs="宋体"/>
        </w:rPr>
        <w:t>2）总资产增长率＝本年资产增长额/年初资产总额×100%</w:t>
      </w:r>
    </w:p>
    <w:p w14:paraId="6746D8C1">
      <w:pPr>
        <w:jc w:val="left"/>
        <w:rPr>
          <w:rFonts w:ascii="宋体" w:hAnsi="宋体" w:cs="宋体"/>
        </w:rPr>
      </w:pPr>
      <w:r>
        <w:rPr>
          <w:rFonts w:hint="eastAsia" w:ascii="宋体" w:hAnsi="宋体" w:cs="宋体"/>
        </w:rPr>
        <w:t>3）营业利润增长率＝本年营业利润增长额/上年营业利润总额×100%</w:t>
      </w:r>
    </w:p>
    <w:p w14:paraId="1C8ACFD4">
      <w:pPr>
        <w:jc w:val="left"/>
        <w:rPr>
          <w:rFonts w:ascii="宋体" w:hAnsi="宋体" w:cs="宋体"/>
        </w:rPr>
      </w:pPr>
      <w:r>
        <w:rPr>
          <w:rFonts w:hint="eastAsia" w:ascii="宋体" w:hAnsi="宋体" w:cs="宋体"/>
        </w:rPr>
        <w:t>4）资本保值增值率＝扣除客观因素影响后的期末所有者权益/期初所有者权益×100%</w:t>
      </w:r>
    </w:p>
    <w:p w14:paraId="464D2FE0">
      <w:pPr>
        <w:jc w:val="left"/>
        <w:rPr>
          <w:rFonts w:ascii="宋体" w:hAnsi="宋体" w:cs="宋体"/>
        </w:rPr>
      </w:pPr>
      <w:r>
        <w:rPr>
          <w:rFonts w:hint="eastAsia" w:ascii="宋体" w:hAnsi="宋体" w:cs="宋体"/>
        </w:rPr>
        <w:t>衡量企业的盈利能力；除了受经营成果影响外，也受企业利润分配政策影响。</w:t>
      </w:r>
    </w:p>
    <w:p w14:paraId="7933A677">
      <w:pPr>
        <w:jc w:val="left"/>
        <w:rPr>
          <w:rFonts w:ascii="宋体" w:hAnsi="宋体" w:cs="宋体"/>
        </w:rPr>
      </w:pPr>
      <w:r>
        <w:rPr>
          <w:rFonts w:hint="eastAsia" w:ascii="宋体" w:hAnsi="宋体" w:cs="宋体"/>
        </w:rPr>
        <w:t>5）所有者权益增长率＝本年所有者权益增长额/年初所有者权益×100%</w:t>
      </w:r>
    </w:p>
    <w:p w14:paraId="1D8541DF">
      <w:pPr>
        <w:jc w:val="left"/>
        <w:rPr>
          <w:rFonts w:ascii="宋体" w:hAnsi="宋体" w:cs="宋体"/>
          <w:color w:val="FF0000"/>
        </w:rPr>
      </w:pPr>
      <w:r>
        <w:rPr>
          <w:rFonts w:hint="eastAsia" w:ascii="宋体" w:hAnsi="宋体" w:cs="宋体"/>
          <w:color w:val="FF0000"/>
        </w:rPr>
        <w:t>【知识点6】现金流量分析</w:t>
      </w:r>
    </w:p>
    <w:p w14:paraId="1051220D">
      <w:pPr>
        <w:jc w:val="left"/>
        <w:rPr>
          <w:rFonts w:ascii="宋体" w:hAnsi="宋体" w:cs="宋体"/>
          <w:color w:val="FF0000"/>
        </w:rPr>
      </w:pPr>
      <w:r>
        <w:rPr>
          <w:rFonts w:hint="eastAsia" w:ascii="宋体" w:hAnsi="宋体" w:cs="宋体"/>
          <w:color w:val="FF0000"/>
        </w:rPr>
        <w:t>1）获取现金能力的分析</w:t>
      </w:r>
    </w:p>
    <w:p w14:paraId="79C9EDD9">
      <w:pPr>
        <w:jc w:val="left"/>
        <w:rPr>
          <w:rFonts w:ascii="宋体" w:hAnsi="宋体" w:cs="宋体"/>
        </w:rPr>
      </w:pPr>
      <w:r>
        <w:rPr>
          <w:rFonts w:hint="eastAsia" w:ascii="宋体" w:hAnsi="宋体" w:cs="宋体"/>
        </w:rPr>
        <w:t>①销售现金比率＝经营活动现金流量净额/营业收入</w:t>
      </w:r>
    </w:p>
    <w:p w14:paraId="55864BB5">
      <w:pPr>
        <w:jc w:val="left"/>
        <w:rPr>
          <w:rFonts w:ascii="宋体" w:hAnsi="宋体" w:cs="宋体"/>
        </w:rPr>
      </w:pPr>
      <w:r>
        <w:rPr>
          <w:rFonts w:hint="eastAsia" w:ascii="宋体" w:hAnsi="宋体" w:cs="宋体"/>
        </w:rPr>
        <w:t>②每股营业现金净流量＝经营活动现金流量净额/普通股股数</w:t>
      </w:r>
    </w:p>
    <w:p w14:paraId="24584716">
      <w:pPr>
        <w:jc w:val="left"/>
        <w:rPr>
          <w:rFonts w:ascii="宋体" w:hAnsi="宋体" w:cs="宋体"/>
        </w:rPr>
      </w:pPr>
      <w:r>
        <w:rPr>
          <w:rFonts w:hint="eastAsia" w:ascii="宋体" w:hAnsi="宋体" w:cs="宋体"/>
        </w:rPr>
        <w:t>反映企业最大的分派股利能力，超过此限度，可能需要借款分红。</w:t>
      </w:r>
    </w:p>
    <w:p w14:paraId="4AA026C5">
      <w:pPr>
        <w:jc w:val="left"/>
        <w:rPr>
          <w:rFonts w:ascii="宋体" w:hAnsi="宋体" w:cs="宋体"/>
        </w:rPr>
      </w:pPr>
      <w:r>
        <w:rPr>
          <w:rFonts w:hint="eastAsia" w:ascii="宋体" w:hAnsi="宋体" w:cs="宋体"/>
        </w:rPr>
        <w:t>③全部资产现金回收率＝经营活动现金流量净额/平均总资产×100%</w:t>
      </w:r>
    </w:p>
    <w:p w14:paraId="05D553E7">
      <w:pPr>
        <w:jc w:val="left"/>
        <w:rPr>
          <w:rFonts w:ascii="宋体" w:hAnsi="宋体" w:cs="宋体"/>
          <w:color w:val="FF0000"/>
        </w:rPr>
      </w:pPr>
      <w:r>
        <w:rPr>
          <w:rFonts w:hint="eastAsia" w:ascii="宋体" w:hAnsi="宋体" w:cs="宋体"/>
          <w:color w:val="FF0000"/>
        </w:rPr>
        <w:t>2）收益质量分析</w:t>
      </w:r>
    </w:p>
    <w:p w14:paraId="04F05FD6">
      <w:pPr>
        <w:jc w:val="left"/>
        <w:rPr>
          <w:rFonts w:ascii="宋体" w:hAnsi="宋体" w:cs="宋体"/>
        </w:rPr>
      </w:pPr>
      <w:r>
        <w:rPr>
          <w:rFonts w:hint="eastAsia" w:ascii="宋体" w:hAnsi="宋体" w:cs="宋体"/>
        </w:rPr>
        <w:t>①净收益营运指数＝经营净收益/净利润＝（净利润－非经营净收益）/净利润</w:t>
      </w:r>
    </w:p>
    <w:p w14:paraId="3AD8AB4A">
      <w:pPr>
        <w:jc w:val="left"/>
        <w:rPr>
          <w:rFonts w:ascii="宋体" w:hAnsi="宋体" w:cs="宋体"/>
        </w:rPr>
      </w:pPr>
      <w:r>
        <w:rPr>
          <w:rFonts w:hint="eastAsia" w:ascii="宋体" w:hAnsi="宋体" w:cs="宋体"/>
        </w:rPr>
        <w:t>净收益营运指数越小，收益质量越差。</w:t>
      </w:r>
    </w:p>
    <w:p w14:paraId="381338C5">
      <w:pPr>
        <w:jc w:val="left"/>
        <w:rPr>
          <w:rFonts w:ascii="宋体" w:hAnsi="宋体" w:cs="宋体"/>
        </w:rPr>
      </w:pPr>
      <w:r>
        <w:rPr>
          <w:rFonts w:hint="eastAsia" w:ascii="宋体" w:hAnsi="宋体" w:cs="宋体"/>
        </w:rPr>
        <w:t>②现金营运指数＝经营活动现金流量净额/经营所得现金</w:t>
      </w:r>
    </w:p>
    <w:p w14:paraId="35A79A7B">
      <w:pPr>
        <w:jc w:val="left"/>
        <w:rPr>
          <w:rFonts w:ascii="宋体" w:hAnsi="宋体" w:cs="宋体"/>
        </w:rPr>
      </w:pPr>
      <w:r>
        <w:rPr>
          <w:rFonts w:hint="eastAsia" w:ascii="宋体" w:hAnsi="宋体" w:cs="宋体"/>
        </w:rPr>
        <w:t>其中：经营所得现金＝经营活动净收益＋非付现费用</w:t>
      </w:r>
    </w:p>
    <w:p w14:paraId="43639992">
      <w:pPr>
        <w:jc w:val="left"/>
        <w:rPr>
          <w:rFonts w:ascii="宋体" w:hAnsi="宋体" w:cs="宋体"/>
        </w:rPr>
      </w:pPr>
      <w:r>
        <w:rPr>
          <w:rFonts w:hint="eastAsia" w:ascii="宋体" w:hAnsi="宋体" w:cs="宋体"/>
        </w:rPr>
        <w:t>现金营运指数＜1，说明收益质量不好。</w:t>
      </w:r>
    </w:p>
    <w:p w14:paraId="366ACECD">
      <w:pPr>
        <w:jc w:val="left"/>
        <w:rPr>
          <w:rFonts w:ascii="宋体" w:hAnsi="宋体" w:cs="宋体"/>
        </w:rPr>
      </w:pPr>
    </w:p>
    <w:p w14:paraId="315AE42E">
      <w:pPr>
        <w:jc w:val="center"/>
        <w:rPr>
          <w:rFonts w:ascii="宋体" w:hAnsi="宋体" w:cs="宋体"/>
          <w:b/>
          <w:bCs/>
        </w:rPr>
      </w:pPr>
      <w:r>
        <w:rPr>
          <w:rFonts w:hint="eastAsia" w:ascii="宋体" w:hAnsi="宋体" w:cs="宋体"/>
          <w:b/>
          <w:bCs/>
        </w:rPr>
        <w:t>第三节上市公司财务分析</w:t>
      </w:r>
    </w:p>
    <w:p w14:paraId="4A854E96">
      <w:pPr>
        <w:jc w:val="left"/>
        <w:rPr>
          <w:rFonts w:ascii="宋体" w:hAnsi="宋体" w:cs="宋体"/>
          <w:color w:val="FF0000"/>
        </w:rPr>
      </w:pPr>
      <w:r>
        <w:rPr>
          <w:rFonts w:hint="eastAsia" w:ascii="宋体" w:hAnsi="宋体" w:cs="宋体"/>
          <w:color w:val="FF0000"/>
        </w:rPr>
        <w:t>【知识点1】每股收益</w:t>
      </w:r>
    </w:p>
    <w:p w14:paraId="7A78F73F">
      <w:pPr>
        <w:jc w:val="left"/>
        <w:rPr>
          <w:rFonts w:ascii="宋体" w:hAnsi="宋体" w:cs="宋体"/>
          <w:color w:val="FF0000"/>
        </w:rPr>
      </w:pPr>
      <w:r>
        <w:rPr>
          <w:rFonts w:hint="eastAsia" w:ascii="宋体" w:hAnsi="宋体" w:cs="宋体"/>
          <w:color w:val="FF0000"/>
        </w:rPr>
        <w:t>1.基本每股收益</w:t>
      </w:r>
    </w:p>
    <w:p w14:paraId="3EB1EE6C">
      <w:pPr>
        <w:jc w:val="left"/>
        <w:rPr>
          <w:rFonts w:ascii="宋体" w:hAnsi="宋体" w:cs="宋体"/>
        </w:rPr>
      </w:pPr>
      <w:r>
        <w:rPr>
          <w:rFonts w:ascii="宋体" w:hAnsi="宋体" w:cs="宋体"/>
        </w:rPr>
        <w:drawing>
          <wp:inline distT="0" distB="0" distL="0" distR="0">
            <wp:extent cx="3851910" cy="578485"/>
            <wp:effectExtent l="0" t="0" r="0" b="0"/>
            <wp:docPr id="17188517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1761" name="图片 2"/>
                    <pic:cNvPicPr>
                      <a:picLocks noChangeAspect="1"/>
                    </pic:cNvPicPr>
                  </pic:nvPicPr>
                  <pic:blipFill>
                    <a:blip r:embed="rId80" cstate="print">
                      <a:clrChange>
                        <a:clrFrom>
                          <a:srgbClr val="BBE0E3"/>
                        </a:clrFrom>
                        <a:clrTo>
                          <a:srgbClr val="BBE0E3">
                            <a:alpha val="0"/>
                          </a:srgbClr>
                        </a:clrTo>
                      </a:clrChange>
                      <a:extLst>
                        <a:ext uri="{28A0092B-C50C-407E-A947-70E740481C1C}">
                          <a14:useLocalDpi xmlns:a14="http://schemas.microsoft.com/office/drawing/2010/main" val="0"/>
                        </a:ext>
                      </a:extLst>
                    </a:blip>
                    <a:stretch>
                      <a:fillRect/>
                    </a:stretch>
                  </pic:blipFill>
                  <pic:spPr>
                    <a:xfrm>
                      <a:off x="0" y="0"/>
                      <a:ext cx="3985407" cy="599059"/>
                    </a:xfrm>
                    <a:prstGeom prst="rect">
                      <a:avLst/>
                    </a:prstGeom>
                  </pic:spPr>
                </pic:pic>
              </a:graphicData>
            </a:graphic>
          </wp:inline>
        </w:drawing>
      </w:r>
    </w:p>
    <w:p w14:paraId="42EB86C4">
      <w:pPr>
        <w:jc w:val="left"/>
        <w:rPr>
          <w:rFonts w:ascii="宋体" w:hAnsi="宋体" w:cs="宋体"/>
        </w:rPr>
      </w:pPr>
      <w:r>
        <w:rPr>
          <w:rFonts w:hint="eastAsia" w:ascii="宋体" w:hAnsi="宋体" w:cs="宋体"/>
        </w:rPr>
        <w:t>（1）新股发行及股份回购需要考虑时间权数（权益资本发生变动）；</w:t>
      </w:r>
    </w:p>
    <w:p w14:paraId="666F5112">
      <w:pPr>
        <w:jc w:val="left"/>
        <w:rPr>
          <w:rFonts w:ascii="宋体" w:hAnsi="宋体" w:cs="宋体"/>
        </w:rPr>
      </w:pPr>
      <w:r>
        <w:rPr>
          <w:rFonts w:hint="eastAsia" w:ascii="宋体" w:hAnsi="宋体" w:cs="宋体"/>
        </w:rPr>
        <w:t>（2）发放股票股利、资本公积转增股本无需考虑时间权数（权益资本没有发生变动）。</w:t>
      </w:r>
    </w:p>
    <w:p w14:paraId="7238E8F9">
      <w:pPr>
        <w:jc w:val="left"/>
        <w:rPr>
          <w:rFonts w:ascii="宋体" w:hAnsi="宋体" w:cs="宋体"/>
          <w:color w:val="FF0000"/>
        </w:rPr>
      </w:pPr>
      <w:r>
        <w:rPr>
          <w:rFonts w:hint="eastAsia" w:ascii="宋体" w:hAnsi="宋体" w:cs="宋体"/>
          <w:color w:val="FF0000"/>
        </w:rPr>
        <w:t>2.稀释每股收益</w:t>
      </w:r>
    </w:p>
    <w:p w14:paraId="43BDA03C">
      <w:pPr>
        <w:jc w:val="left"/>
        <w:rPr>
          <w:rFonts w:ascii="宋体" w:hAnsi="宋体" w:cs="宋体"/>
        </w:rPr>
      </w:pPr>
      <w:r>
        <w:rPr>
          <w:rFonts w:hint="eastAsia" w:ascii="宋体" w:hAnsi="宋体" w:cs="宋体"/>
        </w:rPr>
        <w:t>考虑稀释性潜在普通股（可转换公司债券、认股权证和股份期权）</w:t>
      </w:r>
    </w:p>
    <w:p w14:paraId="0A13CB14">
      <w:pPr>
        <w:jc w:val="left"/>
        <w:rPr>
          <w:rFonts w:ascii="宋体" w:hAnsi="宋体" w:cs="宋体"/>
          <w:color w:val="FF0000"/>
        </w:rPr>
      </w:pPr>
      <w:r>
        <w:rPr>
          <w:rFonts w:hint="eastAsia" w:ascii="宋体" w:hAnsi="宋体" w:cs="宋体"/>
          <w:color w:val="FF0000"/>
        </w:rPr>
        <w:t>（1）可转换公司债券</w:t>
      </w:r>
    </w:p>
    <w:p w14:paraId="095D96FD">
      <w:pPr>
        <w:jc w:val="left"/>
        <w:rPr>
          <w:rFonts w:ascii="宋体" w:hAnsi="宋体" w:cs="宋体"/>
        </w:rPr>
      </w:pPr>
      <w:r>
        <w:rPr>
          <w:rFonts w:hint="eastAsia" w:ascii="宋体" w:hAnsi="宋体" w:cs="宋体"/>
        </w:rPr>
        <w:t>计算稀释每股收益时，分子调整项：可转换公司债券当期已确认为费用的利息等税后影响额；分母调整项：假定为可转换公司债券当期期初或发行日转换为普通股股数的加权平均数。</w:t>
      </w:r>
    </w:p>
    <w:p w14:paraId="6C684CCF">
      <w:pPr>
        <w:jc w:val="left"/>
        <w:rPr>
          <w:rFonts w:ascii="宋体" w:hAnsi="宋体" w:cs="宋体"/>
          <w:color w:val="FF0000"/>
        </w:rPr>
      </w:pPr>
      <w:r>
        <w:rPr>
          <w:rFonts w:hint="eastAsia" w:ascii="宋体" w:hAnsi="宋体" w:cs="宋体"/>
          <w:color w:val="FF0000"/>
        </w:rPr>
        <w:t>（2）认股权证和股份期权</w:t>
      </w:r>
    </w:p>
    <w:p w14:paraId="71D9E0B3">
      <w:pPr>
        <w:jc w:val="left"/>
        <w:rPr>
          <w:rFonts w:ascii="宋体" w:hAnsi="宋体" w:cs="宋体"/>
        </w:rPr>
      </w:pPr>
      <w:r>
        <w:rPr>
          <w:rFonts w:hint="eastAsia" w:ascii="宋体" w:hAnsi="宋体" w:cs="宋体"/>
        </w:rPr>
        <w:t>计算稀释每股收益时，分子的净利润金额一般不变，分母的调整项目是增加的普通股股数，同时要考虑时间权重。</w:t>
      </w:r>
    </w:p>
    <w:p w14:paraId="29C143D5">
      <w:pPr>
        <w:jc w:val="left"/>
        <w:rPr>
          <w:rFonts w:ascii="宋体" w:hAnsi="宋体" w:cs="宋体"/>
          <w:color w:val="FF0000"/>
        </w:rPr>
      </w:pPr>
      <w:r>
        <w:rPr>
          <w:rFonts w:hint="eastAsia" w:ascii="宋体" w:hAnsi="宋体" w:cs="宋体"/>
          <w:color w:val="FF0000"/>
        </w:rPr>
        <w:t>【知识点2】每股股利</w:t>
      </w:r>
    </w:p>
    <w:p w14:paraId="798E800C">
      <w:pPr>
        <w:jc w:val="left"/>
        <w:rPr>
          <w:rFonts w:ascii="宋体" w:hAnsi="宋体" w:cs="宋体"/>
        </w:rPr>
      </w:pPr>
      <w:r>
        <w:rPr>
          <w:rFonts w:hint="eastAsia" w:ascii="宋体" w:hAnsi="宋体" w:cs="宋体"/>
        </w:rPr>
        <w:t>每股股利=现金股利总额÷期末发行在外的普通股股数</w:t>
      </w:r>
    </w:p>
    <w:p w14:paraId="1191FE8A">
      <w:pPr>
        <w:jc w:val="left"/>
        <w:rPr>
          <w:rFonts w:ascii="宋体" w:hAnsi="宋体" w:cs="宋体"/>
        </w:rPr>
      </w:pPr>
      <w:r>
        <w:rPr>
          <w:rFonts w:hint="eastAsia" w:ascii="宋体" w:hAnsi="宋体" w:cs="宋体"/>
        </w:rPr>
        <w:t>股利发放率＝每股股利/每股收益，反映上市公司的股利发放政策。</w:t>
      </w:r>
    </w:p>
    <w:p w14:paraId="4D9432EE">
      <w:pPr>
        <w:jc w:val="left"/>
        <w:rPr>
          <w:rFonts w:ascii="宋体" w:hAnsi="宋体" w:cs="宋体"/>
          <w:color w:val="FF0000"/>
        </w:rPr>
      </w:pPr>
      <w:r>
        <w:rPr>
          <w:rFonts w:hint="eastAsia" w:ascii="宋体" w:hAnsi="宋体" w:cs="宋体"/>
          <w:color w:val="FF0000"/>
        </w:rPr>
        <w:t>【知识点3】市盈率</w:t>
      </w:r>
    </w:p>
    <w:p w14:paraId="43AE68F4">
      <w:pPr>
        <w:jc w:val="left"/>
        <w:rPr>
          <w:rFonts w:ascii="宋体" w:hAnsi="宋体" w:cs="宋体"/>
        </w:rPr>
      </w:pPr>
      <w:r>
        <w:rPr>
          <w:rFonts w:hint="eastAsia" w:ascii="宋体" w:hAnsi="宋体" w:cs="宋体"/>
        </w:rPr>
        <w:t>市盈率＝每股市价/每股收益</w:t>
      </w:r>
    </w:p>
    <w:p w14:paraId="0EB163C0">
      <w:pPr>
        <w:jc w:val="left"/>
        <w:rPr>
          <w:rFonts w:ascii="宋体" w:hAnsi="宋体" w:cs="宋体"/>
          <w:color w:val="FF0000"/>
        </w:rPr>
      </w:pPr>
      <w:r>
        <w:rPr>
          <w:rFonts w:hint="eastAsia" w:ascii="宋体" w:hAnsi="宋体" w:cs="宋体"/>
          <w:color w:val="FF0000"/>
        </w:rPr>
        <w:t>【知识点4】每股净资产</w:t>
      </w:r>
    </w:p>
    <w:p w14:paraId="4D9BE912">
      <w:pPr>
        <w:jc w:val="left"/>
        <w:rPr>
          <w:rFonts w:ascii="宋体" w:hAnsi="宋体" w:cs="宋体"/>
        </w:rPr>
      </w:pPr>
      <w:r>
        <w:rPr>
          <w:rFonts w:hint="eastAsia" w:ascii="宋体" w:hAnsi="宋体" w:cs="宋体"/>
        </w:rPr>
        <w:t>每股净资产=期末普通股净资产/期末发行在外的普通股股数</w:t>
      </w:r>
    </w:p>
    <w:p w14:paraId="49D61F50">
      <w:pPr>
        <w:jc w:val="left"/>
        <w:rPr>
          <w:rFonts w:ascii="宋体" w:hAnsi="宋体" w:cs="宋体"/>
          <w:color w:val="FF0000"/>
        </w:rPr>
      </w:pPr>
      <w:r>
        <w:rPr>
          <w:rFonts w:hint="eastAsia" w:ascii="宋体" w:hAnsi="宋体" w:cs="宋体"/>
          <w:color w:val="FF0000"/>
        </w:rPr>
        <w:t>【知识点5】市净率</w:t>
      </w:r>
    </w:p>
    <w:p w14:paraId="6CFE689C">
      <w:pPr>
        <w:jc w:val="left"/>
        <w:rPr>
          <w:rFonts w:ascii="宋体" w:hAnsi="宋体" w:cs="宋体"/>
        </w:rPr>
      </w:pPr>
      <w:r>
        <w:rPr>
          <w:rFonts w:hint="eastAsia" w:ascii="宋体" w:hAnsi="宋体" w:cs="宋体"/>
        </w:rPr>
        <w:t>市净率＝每股市价/每股净资产</w:t>
      </w:r>
    </w:p>
    <w:p w14:paraId="1F72D5F4">
      <w:pPr>
        <w:jc w:val="left"/>
        <w:rPr>
          <w:rFonts w:ascii="宋体" w:hAnsi="宋体" w:cs="宋体"/>
          <w:color w:val="FF0000"/>
        </w:rPr>
      </w:pPr>
      <w:r>
        <w:rPr>
          <w:rFonts w:hint="eastAsia" w:ascii="宋体" w:hAnsi="宋体" w:cs="宋体"/>
          <w:color w:val="FF0000"/>
        </w:rPr>
        <w:t>【知识点6】上市公司管理层讨论与分析</w:t>
      </w:r>
    </w:p>
    <w:p w14:paraId="36183C3E">
      <w:pPr>
        <w:jc w:val="left"/>
        <w:rPr>
          <w:rFonts w:ascii="宋体" w:hAnsi="宋体" w:cs="宋体"/>
        </w:rPr>
      </w:pPr>
      <w:r>
        <w:rPr>
          <w:rFonts w:hint="eastAsia" w:ascii="宋体" w:hAnsi="宋体" w:cs="宋体"/>
        </w:rPr>
        <w:t>内部性较强的定性型软信息，强制与自愿相结合的披露原则，包括：</w:t>
      </w:r>
    </w:p>
    <w:p w14:paraId="63F79D41">
      <w:pPr>
        <w:jc w:val="left"/>
        <w:rPr>
          <w:rFonts w:ascii="宋体" w:hAnsi="宋体" w:cs="宋体"/>
        </w:rPr>
      </w:pPr>
      <w:r>
        <w:rPr>
          <w:rFonts w:hint="eastAsia" w:ascii="宋体" w:hAnsi="宋体" w:cs="宋体"/>
        </w:rPr>
        <w:t>1）报告期间经营业绩变动的解释；</w:t>
      </w:r>
    </w:p>
    <w:p w14:paraId="6EBA6D95">
      <w:pPr>
        <w:jc w:val="left"/>
        <w:rPr>
          <w:rFonts w:ascii="宋体" w:hAnsi="宋体" w:cs="宋体"/>
        </w:rPr>
      </w:pPr>
      <w:r>
        <w:rPr>
          <w:rFonts w:hint="eastAsia" w:ascii="宋体" w:hAnsi="宋体" w:cs="宋体"/>
        </w:rPr>
        <w:t>2）企业未来发展的前瞻性信息。</w:t>
      </w:r>
    </w:p>
    <w:p w14:paraId="35A145C1">
      <w:pPr>
        <w:jc w:val="left"/>
        <w:rPr>
          <w:rFonts w:ascii="宋体" w:hAnsi="宋体" w:cs="宋体"/>
        </w:rPr>
      </w:pPr>
    </w:p>
    <w:p w14:paraId="2B4E8CAB">
      <w:pPr>
        <w:jc w:val="center"/>
        <w:rPr>
          <w:rFonts w:ascii="宋体" w:hAnsi="宋体" w:cs="宋体"/>
          <w:b/>
          <w:bCs/>
        </w:rPr>
      </w:pPr>
      <w:r>
        <w:rPr>
          <w:rFonts w:hint="eastAsia" w:ascii="宋体" w:hAnsi="宋体" w:cs="宋体"/>
          <w:b/>
          <w:bCs/>
        </w:rPr>
        <w:t>第四节财务评价与考核</w:t>
      </w:r>
    </w:p>
    <w:p w14:paraId="1666C19D">
      <w:pPr>
        <w:jc w:val="left"/>
        <w:rPr>
          <w:rFonts w:ascii="宋体" w:hAnsi="宋体" w:cs="宋体"/>
          <w:color w:val="FF0000"/>
        </w:rPr>
      </w:pPr>
      <w:r>
        <w:rPr>
          <w:rFonts w:hint="eastAsia" w:ascii="宋体" w:hAnsi="宋体" w:cs="宋体"/>
          <w:color w:val="FF0000"/>
        </w:rPr>
        <w:t>【知识点1】杜邦分析法</w:t>
      </w:r>
    </w:p>
    <w:p w14:paraId="6300813E">
      <w:pPr>
        <w:jc w:val="left"/>
        <w:rPr>
          <w:rFonts w:ascii="宋体" w:hAnsi="宋体" w:cs="宋体"/>
        </w:rPr>
      </w:pPr>
      <w:r>
        <w:rPr>
          <w:rFonts w:hint="eastAsia" w:ascii="宋体" w:hAnsi="宋体" w:cs="宋体"/>
        </w:rPr>
        <w:t>净资产收益率=营业净利率×总资产周转率×权益乘数</w:t>
      </w:r>
    </w:p>
    <w:p w14:paraId="7DAA1FA6">
      <w:pPr>
        <w:jc w:val="left"/>
        <w:rPr>
          <w:rFonts w:ascii="宋体" w:hAnsi="宋体" w:cs="宋体"/>
          <w:color w:val="FF0000"/>
        </w:rPr>
      </w:pPr>
      <w:r>
        <w:rPr>
          <w:rFonts w:hint="eastAsia" w:ascii="宋体" w:hAnsi="宋体" w:cs="宋体"/>
          <w:color w:val="FF0000"/>
        </w:rPr>
        <w:t>【知识点2】经济增加值</w:t>
      </w:r>
    </w:p>
    <w:p w14:paraId="4F655E0C">
      <w:pPr>
        <w:jc w:val="left"/>
        <w:rPr>
          <w:rFonts w:ascii="宋体" w:hAnsi="宋体" w:cs="宋体"/>
        </w:rPr>
      </w:pPr>
      <w:r>
        <w:rPr>
          <w:rFonts w:hint="eastAsia" w:ascii="宋体" w:hAnsi="宋体" w:cs="宋体"/>
        </w:rPr>
        <w:t>经济增加值是从股东角度去评价企业经营者有效使用资本和为企业创造价值的业绩评价指标。</w:t>
      </w:r>
    </w:p>
    <w:p w14:paraId="56E3B454">
      <w:pPr>
        <w:jc w:val="left"/>
        <w:rPr>
          <w:rFonts w:ascii="宋体" w:hAnsi="宋体" w:cs="宋体"/>
        </w:rPr>
      </w:pPr>
      <w:r>
        <w:rPr>
          <w:rFonts w:hint="eastAsia" w:ascii="宋体" w:hAnsi="宋体" w:cs="宋体"/>
        </w:rPr>
        <w:t>经济增加值＝税后净营业利润-平均资本占用×加权平均资本成本</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7530"/>
      </w:tblGrid>
      <w:tr w14:paraId="5F4F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61B7F76D">
            <w:pPr>
              <w:jc w:val="left"/>
              <w:rPr>
                <w:rFonts w:ascii="宋体" w:hAnsi="宋体" w:cs="宋体"/>
              </w:rPr>
            </w:pPr>
            <w:r>
              <w:rPr>
                <w:rFonts w:hint="eastAsia" w:ascii="宋体" w:hAnsi="宋体" w:cs="宋体"/>
              </w:rPr>
              <w:t>税后净营业利润</w:t>
            </w:r>
          </w:p>
        </w:tc>
        <w:tc>
          <w:tcPr>
            <w:tcW w:w="3715" w:type="pct"/>
          </w:tcPr>
          <w:p w14:paraId="102B7E74">
            <w:pPr>
              <w:jc w:val="left"/>
              <w:rPr>
                <w:rFonts w:ascii="宋体" w:hAnsi="宋体" w:cs="宋体"/>
              </w:rPr>
            </w:pPr>
            <w:r>
              <w:rPr>
                <w:rFonts w:hint="eastAsia" w:ascii="宋体" w:hAnsi="宋体" w:cs="宋体"/>
              </w:rPr>
              <w:t>衡量企业经营盈利情况</w:t>
            </w:r>
          </w:p>
        </w:tc>
      </w:tr>
      <w:tr w14:paraId="1B6C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51192680">
            <w:pPr>
              <w:jc w:val="left"/>
              <w:rPr>
                <w:rFonts w:ascii="宋体" w:hAnsi="宋体" w:cs="宋体"/>
              </w:rPr>
            </w:pPr>
            <w:r>
              <w:rPr>
                <w:rFonts w:hint="eastAsia" w:ascii="宋体" w:hAnsi="宋体" w:cs="宋体"/>
              </w:rPr>
              <w:t>平均资本占用</w:t>
            </w:r>
          </w:p>
        </w:tc>
        <w:tc>
          <w:tcPr>
            <w:tcW w:w="3715" w:type="pct"/>
          </w:tcPr>
          <w:p w14:paraId="6DB503F6">
            <w:pPr>
              <w:jc w:val="left"/>
              <w:rPr>
                <w:rFonts w:ascii="宋体" w:hAnsi="宋体" w:cs="宋体"/>
              </w:rPr>
            </w:pPr>
            <w:r>
              <w:rPr>
                <w:rFonts w:hint="eastAsia" w:ascii="宋体" w:hAnsi="宋体" w:cs="宋体"/>
              </w:rPr>
              <w:t>反映企业持续投入的各种债务资本和股权资本</w:t>
            </w:r>
          </w:p>
        </w:tc>
      </w:tr>
      <w:tr w14:paraId="2BC0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665E7C25">
            <w:pPr>
              <w:jc w:val="left"/>
              <w:rPr>
                <w:rFonts w:ascii="宋体" w:hAnsi="宋体" w:cs="宋体"/>
              </w:rPr>
            </w:pPr>
            <w:r>
              <w:rPr>
                <w:rFonts w:hint="eastAsia" w:ascii="宋体" w:hAnsi="宋体" w:cs="宋体"/>
              </w:rPr>
              <w:t>加权平均资本成本</w:t>
            </w:r>
          </w:p>
        </w:tc>
        <w:tc>
          <w:tcPr>
            <w:tcW w:w="3715" w:type="pct"/>
          </w:tcPr>
          <w:p w14:paraId="0B866E5E">
            <w:pPr>
              <w:jc w:val="left"/>
              <w:rPr>
                <w:rFonts w:ascii="宋体" w:hAnsi="宋体" w:cs="宋体"/>
              </w:rPr>
            </w:pPr>
            <w:r>
              <w:rPr>
                <w:rFonts w:hint="eastAsia" w:ascii="宋体" w:hAnsi="宋体" w:cs="宋体"/>
              </w:rPr>
              <w:t>反映企业各种资本的平均成本率</w:t>
            </w:r>
          </w:p>
        </w:tc>
      </w:tr>
    </w:tbl>
    <w:p w14:paraId="658E2CE2">
      <w:pPr>
        <w:jc w:val="left"/>
        <w:rPr>
          <w:rFonts w:ascii="宋体" w:hAnsi="宋体" w:cs="宋体"/>
        </w:rPr>
      </w:pPr>
      <w:r>
        <w:rPr>
          <w:rFonts w:hint="eastAsia" w:ascii="宋体" w:hAnsi="宋体" w:cs="宋体"/>
        </w:rPr>
        <w:t>（1）在计算经济增加值时，需进行相应的会计科目调整，如营业外收支、递延税金等都要从税后净营业利润中扣除，以消除财务报表中不能准确反映企业价值创造的部分。</w:t>
      </w:r>
    </w:p>
    <w:p w14:paraId="04001A70">
      <w:pPr>
        <w:jc w:val="left"/>
        <w:rPr>
          <w:rFonts w:ascii="宋体" w:hAnsi="宋体" w:cs="宋体"/>
        </w:rPr>
      </w:pPr>
      <w:r>
        <w:rPr>
          <w:rFonts w:hint="eastAsia" w:ascii="宋体" w:hAnsi="宋体" w:cs="宋体"/>
        </w:rPr>
        <w:t>（2）经济增加值为正，表明经营者在为企业创造价值；经济增加值为负，表明经营者在损毁企业价值。</w:t>
      </w:r>
    </w:p>
    <w:p w14:paraId="0AC8EC8C">
      <w:pPr>
        <w:jc w:val="left"/>
        <w:rPr>
          <w:rFonts w:ascii="宋体" w:hAnsi="宋体" w:cs="宋体"/>
          <w:color w:val="FF0000"/>
        </w:rPr>
      </w:pPr>
      <w:r>
        <w:rPr>
          <w:rFonts w:hint="eastAsia" w:ascii="宋体" w:hAnsi="宋体" w:cs="宋体"/>
          <w:color w:val="FF0000"/>
        </w:rPr>
        <w:t>经济增加值的优缺点</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980"/>
      </w:tblGrid>
      <w:tr w14:paraId="7E88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30AD9B38">
            <w:pPr>
              <w:jc w:val="left"/>
              <w:rPr>
                <w:rFonts w:ascii="宋体" w:hAnsi="宋体" w:cs="宋体"/>
              </w:rPr>
            </w:pPr>
            <w:r>
              <w:rPr>
                <w:rFonts w:hint="eastAsia" w:ascii="宋体" w:hAnsi="宋体" w:cs="宋体"/>
              </w:rPr>
              <w:t>优点</w:t>
            </w:r>
          </w:p>
        </w:tc>
        <w:tc>
          <w:tcPr>
            <w:tcW w:w="4430" w:type="pct"/>
          </w:tcPr>
          <w:p w14:paraId="1E055907">
            <w:pPr>
              <w:jc w:val="left"/>
              <w:rPr>
                <w:rFonts w:ascii="宋体" w:hAnsi="宋体" w:cs="宋体"/>
              </w:rPr>
            </w:pPr>
            <w:r>
              <w:rPr>
                <w:rFonts w:hint="eastAsia" w:ascii="宋体" w:hAnsi="宋体" w:cs="宋体"/>
              </w:rPr>
              <w:t>考虑了所有资本的成本，能够更真实地反映企业的价值创造，且实现了企业利益、经营者利益和员工利益的统一。</w:t>
            </w:r>
          </w:p>
        </w:tc>
      </w:tr>
      <w:tr w14:paraId="5B0C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47E1D9EE">
            <w:pPr>
              <w:jc w:val="left"/>
              <w:rPr>
                <w:rFonts w:ascii="宋体" w:hAnsi="宋体" w:cs="宋体"/>
              </w:rPr>
            </w:pPr>
            <w:r>
              <w:rPr>
                <w:rFonts w:hint="eastAsia" w:ascii="宋体" w:hAnsi="宋体" w:cs="宋体"/>
              </w:rPr>
              <w:t>缺点</w:t>
            </w:r>
          </w:p>
        </w:tc>
        <w:tc>
          <w:tcPr>
            <w:tcW w:w="4430" w:type="pct"/>
          </w:tcPr>
          <w:p w14:paraId="0D4848F3">
            <w:pPr>
              <w:jc w:val="left"/>
              <w:rPr>
                <w:rFonts w:ascii="宋体" w:hAnsi="宋体" w:cs="宋体"/>
              </w:rPr>
            </w:pPr>
            <w:r>
              <w:rPr>
                <w:rFonts w:hint="eastAsia" w:ascii="宋体" w:hAnsi="宋体" w:cs="宋体"/>
              </w:rPr>
              <w:t>（1）无法衡量企业长远发展战略的价值创造；</w:t>
            </w:r>
            <w:r>
              <w:rPr>
                <w:rFonts w:hint="eastAsia" w:ascii="宋体" w:hAnsi="宋体" w:cs="宋体"/>
              </w:rPr>
              <w:br w:type="textWrapping"/>
            </w:r>
            <w:r>
              <w:rPr>
                <w:rFonts w:hint="eastAsia" w:ascii="宋体" w:hAnsi="宋体" w:cs="宋体"/>
              </w:rPr>
              <w:t>（2）计算主要基于财务指标，无法对企业进行综合评价；</w:t>
            </w:r>
            <w:r>
              <w:rPr>
                <w:rFonts w:hint="eastAsia" w:ascii="宋体" w:hAnsi="宋体" w:cs="宋体"/>
              </w:rPr>
              <w:br w:type="textWrapping"/>
            </w:r>
            <w:r>
              <w:rPr>
                <w:rFonts w:hint="eastAsia" w:ascii="宋体" w:hAnsi="宋体" w:cs="宋体"/>
              </w:rPr>
              <w:t>（3）不同行业、不同规模、不同成长阶段等的公司，其会计调整项和加权平均资本成本各不相同，导致经济增加值的可比性较差；</w:t>
            </w:r>
            <w:r>
              <w:rPr>
                <w:rFonts w:hint="eastAsia" w:ascii="宋体" w:hAnsi="宋体" w:cs="宋体"/>
              </w:rPr>
              <w:br w:type="textWrapping"/>
            </w:r>
            <w:r>
              <w:rPr>
                <w:rFonts w:hint="eastAsia" w:ascii="宋体" w:hAnsi="宋体" w:cs="宋体"/>
              </w:rPr>
              <w:t>（4）如何计算经济增加值尚存许多争议，不利于建立一个统一规范，使得该指标主要用于一个公司的历史分析以及内部评价。</w:t>
            </w:r>
          </w:p>
        </w:tc>
      </w:tr>
    </w:tbl>
    <w:p w14:paraId="158F4000">
      <w:pPr>
        <w:jc w:val="left"/>
        <w:rPr>
          <w:rFonts w:ascii="宋体" w:hAnsi="宋体" w:cs="宋体"/>
          <w:color w:val="FF0000"/>
        </w:rPr>
      </w:pPr>
      <w:r>
        <w:rPr>
          <w:rFonts w:hint="eastAsia" w:ascii="宋体" w:hAnsi="宋体" w:cs="宋体"/>
          <w:color w:val="FF0000"/>
        </w:rPr>
        <w:t>【知识点3】综合绩效评价</w:t>
      </w:r>
    </w:p>
    <w:p w14:paraId="5DA4F0DB">
      <w:pPr>
        <w:jc w:val="left"/>
        <w:rPr>
          <w:rFonts w:ascii="宋体" w:hAnsi="宋体" w:cs="宋体"/>
        </w:rPr>
      </w:pPr>
      <w:r>
        <w:rPr>
          <w:rFonts w:hint="eastAsia" w:ascii="宋体" w:hAnsi="宋体" w:cs="宋体"/>
        </w:rPr>
        <w:t>站在企业所有者（投资者）角度进行财务绩效定量和定性评价</w:t>
      </w:r>
    </w:p>
    <w:p w14:paraId="0F22126D">
      <w:pPr>
        <w:jc w:val="left"/>
        <w:rPr>
          <w:rFonts w:ascii="宋体" w:hAnsi="宋体" w:cs="宋体"/>
        </w:rPr>
      </w:pPr>
      <w:r>
        <w:rPr>
          <w:rFonts w:hint="eastAsia" w:ascii="宋体" w:hAnsi="宋体" w:cs="宋体"/>
          <w:color w:val="FF0000"/>
        </w:rPr>
        <w:t>1.财务绩效定量评价：</w:t>
      </w:r>
      <w:r>
        <w:rPr>
          <w:rFonts w:hint="eastAsia" w:ascii="宋体" w:hAnsi="宋体" w:cs="宋体"/>
        </w:rPr>
        <w:t>盈利能力、资产质量、债务风险、经营增长</w:t>
      </w:r>
    </w:p>
    <w:p w14:paraId="69CF9150">
      <w:pPr>
        <w:jc w:val="left"/>
        <w:rPr>
          <w:rFonts w:hint="eastAsia" w:ascii="宋体" w:hAnsi="宋体" w:cs="宋体"/>
        </w:rPr>
      </w:pPr>
      <w:r>
        <w:rPr>
          <w:rFonts w:hint="eastAsia" w:ascii="宋体" w:hAnsi="宋体" w:cs="宋体"/>
          <w:color w:val="FF0000"/>
        </w:rPr>
        <w:t>2.管理绩效定性评价：</w:t>
      </w:r>
      <w:r>
        <w:rPr>
          <w:rFonts w:hint="eastAsia" w:ascii="宋体" w:hAnsi="宋体" w:cs="宋体"/>
        </w:rPr>
        <w:t>战略管理、发展创新、经营决策、风险控制、基础管理、人力资源、行业影响、社会贡献</w:t>
      </w:r>
    </w:p>
    <w:p w14:paraId="1EC0DAEA">
      <w:pPr>
        <w:jc w:val="left"/>
        <w:rPr>
          <w:rFonts w:hint="eastAsia" w:ascii="宋体" w:hAnsi="宋体" w:cs="宋体"/>
        </w:rPr>
      </w:pPr>
    </w:p>
    <w:sectPr>
      <w:pgSz w:w="11906" w:h="16838"/>
      <w:pgMar w:top="851" w:right="851" w:bottom="851"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D1279E"/>
    <w:multiLevelType w:val="singleLevel"/>
    <w:tmpl w:val="E0D1279E"/>
    <w:lvl w:ilvl="0" w:tentative="0">
      <w:start w:val="1"/>
      <w:numFmt w:val="bullet"/>
      <w:lvlText w:val=""/>
      <w:lvlJc w:val="left"/>
      <w:pPr>
        <w:ind w:left="420" w:hanging="420"/>
      </w:pPr>
      <w:rPr>
        <w:rFonts w:hint="default" w:ascii="Wingdings" w:hAnsi="Wingdings"/>
      </w:rPr>
    </w:lvl>
  </w:abstractNum>
  <w:abstractNum w:abstractNumId="1">
    <w:nsid w:val="665F238D"/>
    <w:multiLevelType w:val="multilevel"/>
    <w:tmpl w:val="665F238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785AC858"/>
    <w:multiLevelType w:val="singleLevel"/>
    <w:tmpl w:val="785AC858"/>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4NjI5OTBmMDM1ODFlMDkzNDFlZTFiMWNhZWU5ZTMifQ=="/>
  </w:docVars>
  <w:rsids>
    <w:rsidRoot w:val="3BA743CF"/>
    <w:rsid w:val="00034AE5"/>
    <w:rsid w:val="00112FCC"/>
    <w:rsid w:val="0021530E"/>
    <w:rsid w:val="00230415"/>
    <w:rsid w:val="002E2AEE"/>
    <w:rsid w:val="00356255"/>
    <w:rsid w:val="003D1F74"/>
    <w:rsid w:val="00404C1F"/>
    <w:rsid w:val="00581074"/>
    <w:rsid w:val="00691E23"/>
    <w:rsid w:val="008125E8"/>
    <w:rsid w:val="00863A4B"/>
    <w:rsid w:val="00865928"/>
    <w:rsid w:val="00886950"/>
    <w:rsid w:val="00901D0A"/>
    <w:rsid w:val="00956372"/>
    <w:rsid w:val="009A7BB8"/>
    <w:rsid w:val="00A51127"/>
    <w:rsid w:val="00A55A5A"/>
    <w:rsid w:val="00A77BE2"/>
    <w:rsid w:val="00AE0D46"/>
    <w:rsid w:val="00B5081E"/>
    <w:rsid w:val="00C76C92"/>
    <w:rsid w:val="00D21AB1"/>
    <w:rsid w:val="00DC1247"/>
    <w:rsid w:val="00E05CBB"/>
    <w:rsid w:val="00E14BFC"/>
    <w:rsid w:val="00F15B95"/>
    <w:rsid w:val="0D18022F"/>
    <w:rsid w:val="173D2D97"/>
    <w:rsid w:val="214865AD"/>
    <w:rsid w:val="3BA743CF"/>
    <w:rsid w:val="4671F339"/>
    <w:rsid w:val="50551F0B"/>
    <w:rsid w:val="53B678F1"/>
    <w:rsid w:val="57FD99D4"/>
    <w:rsid w:val="5DBF0F5A"/>
    <w:rsid w:val="77010967"/>
    <w:rsid w:val="77EECAAE"/>
    <w:rsid w:val="7CBCB84F"/>
    <w:rsid w:val="7D7F64C7"/>
    <w:rsid w:val="7E1370A0"/>
    <w:rsid w:val="937EE8B8"/>
    <w:rsid w:val="F5776FD7"/>
    <w:rsid w:val="FEF6E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image" Target="media/image76.png"/><Relationship Id="rId8" Type="http://schemas.openxmlformats.org/officeDocument/2006/relationships/image" Target="media/image5.jpeg"/><Relationship Id="rId79" Type="http://schemas.openxmlformats.org/officeDocument/2006/relationships/image" Target="media/image75.png"/><Relationship Id="rId78" Type="http://schemas.openxmlformats.org/officeDocument/2006/relationships/image" Target="media/image74.png"/><Relationship Id="rId77" Type="http://schemas.microsoft.com/office/2007/relationships/hdphoto" Target="media/image73.wdp"/><Relationship Id="rId76" Type="http://schemas.openxmlformats.org/officeDocument/2006/relationships/image" Target="media/image72.png"/><Relationship Id="rId75" Type="http://schemas.microsoft.com/office/2007/relationships/hdphoto" Target="media/image71.wdp"/><Relationship Id="rId74" Type="http://schemas.openxmlformats.org/officeDocument/2006/relationships/image" Target="media/image70.png"/><Relationship Id="rId73" Type="http://schemas.microsoft.com/office/2007/relationships/hdphoto" Target="media/image69.wdp"/><Relationship Id="rId72" Type="http://schemas.openxmlformats.org/officeDocument/2006/relationships/image" Target="media/image68.png"/><Relationship Id="rId71" Type="http://schemas.microsoft.com/office/2007/relationships/hdphoto" Target="media/image67.wdp"/><Relationship Id="rId70" Type="http://schemas.openxmlformats.org/officeDocument/2006/relationships/image" Target="media/image66.png"/><Relationship Id="rId7" Type="http://schemas.openxmlformats.org/officeDocument/2006/relationships/image" Target="media/image4.jpeg"/><Relationship Id="rId69" Type="http://schemas.microsoft.com/office/2007/relationships/hdphoto" Target="media/image65.wdp"/><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3.jpeg"/><Relationship Id="rId59" Type="http://schemas.openxmlformats.org/officeDocument/2006/relationships/image" Target="media/image55.emf"/><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emf"/><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2.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microsoft.com/office/2007/relationships/hdphoto" Target="media/image41.wdp"/><Relationship Id="rId44" Type="http://schemas.openxmlformats.org/officeDocument/2006/relationships/image" Target="media/image40.png"/><Relationship Id="rId43" Type="http://schemas.microsoft.com/office/2007/relationships/hdphoto" Target="media/image39.wdp"/><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microsoft.com/office/2007/relationships/hdphoto" Target="media/image35.wdp"/><Relationship Id="rId38" Type="http://schemas.openxmlformats.org/officeDocument/2006/relationships/image" Target="media/image34.png"/><Relationship Id="rId37" Type="http://schemas.microsoft.com/office/2007/relationships/hdphoto" Target="media/image33.wdp"/><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microsoft.com/office/2007/relationships/hdphoto" Target="media/image29.wdp"/><Relationship Id="rId32" Type="http://schemas.openxmlformats.org/officeDocument/2006/relationships/image" Target="media/image28.png"/><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theme" Target="theme/theme1.xml"/><Relationship Id="rId29" Type="http://schemas.microsoft.com/office/2007/relationships/hdphoto" Target="media/image25.wdp"/><Relationship Id="rId28" Type="http://schemas.openxmlformats.org/officeDocument/2006/relationships/image" Target="media/image24.png"/><Relationship Id="rId27" Type="http://schemas.microsoft.com/office/2007/relationships/hdphoto" Target="media/image23.wdp"/><Relationship Id="rId26" Type="http://schemas.microsoft.com/office/2007/relationships/hdphoto" Target="media/image22.wdp"/><Relationship Id="rId25" Type="http://schemas.openxmlformats.org/officeDocument/2006/relationships/image" Target="media/image21.png"/><Relationship Id="rId24" Type="http://schemas.microsoft.com/office/2007/relationships/hdphoto" Target="media/image20.wdp"/><Relationship Id="rId23" Type="http://schemas.openxmlformats.org/officeDocument/2006/relationships/image" Target="NULL" TargetMode="External"/><Relationship Id="rId22" Type="http://schemas.openxmlformats.org/officeDocument/2006/relationships/image" Target="media/image19.png"/><Relationship Id="rId21" Type="http://schemas.openxmlformats.org/officeDocument/2006/relationships/image" Target="media/image18.png"/><Relationship Id="rId20" Type="http://schemas.microsoft.com/office/2007/relationships/hdphoto" Target="media/image17.wdp"/><Relationship Id="rId2" Type="http://schemas.openxmlformats.org/officeDocument/2006/relationships/settings" Target="settings.xml"/><Relationship Id="rId19" Type="http://schemas.openxmlformats.org/officeDocument/2006/relationships/image" Target="media/image16.png"/><Relationship Id="rId18" Type="http://schemas.microsoft.com/office/2007/relationships/hdphoto" Target="media/image15.wdp"/><Relationship Id="rId17" Type="http://schemas.openxmlformats.org/officeDocument/2006/relationships/image" Target="media/image14.png"/><Relationship Id="rId16" Type="http://schemas.openxmlformats.org/officeDocument/2006/relationships/image" Target="media/image13.png"/><Relationship Id="rId15" Type="http://schemas.microsoft.com/office/2007/relationships/hdphoto" Target="media/image12.wdp"/><Relationship Id="rId14" Type="http://schemas.openxmlformats.org/officeDocument/2006/relationships/image" Target="media/image11.png"/><Relationship Id="rId13" Type="http://schemas.openxmlformats.org/officeDocument/2006/relationships/image" Target="media/image10.png"/><Relationship Id="rId12" Type="http://schemas.microsoft.com/office/2007/relationships/hdphoto" Target="media/image9.wdp"/><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Pages>
  <Words>1465</Words>
  <Characters>1474</Characters>
  <Lines>13</Lines>
  <Paragraphs>3</Paragraphs>
  <TotalTime>2</TotalTime>
  <ScaleCrop>false</ScaleCrop>
  <LinksUpToDate>false</LinksUpToDate>
  <CharactersWithSpaces>1480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2024-01-26T07:48:00Z</dcterms:created>
  <dc:creator>WPS_1552366925</dc:creator>
  <cp:lastModifiedBy>万rui</cp:lastModifiedBy>
  <dcterms:modified xsi:type="dcterms:W3CDTF">2025-07-11T08:33:28Z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A318F4DAF9684F7FADCBA9BF11DD4FA6_11</vt:lpwstr>
  </property>
  <property fmtid="{D5CDD505-2E9C-101B-9397-08002B2CF9AE}" pid="4" name="KSOTemplateDocerSaveRecord">
    <vt:lpwstr>eyJoZGlkIjoiMDdmZTA1YTA4OTI5NmFhMzZlMzcxNDMxODgzNWVlNzAiLCJ1c2VySWQiOiIyMzc3NTM5ODgifQ==</vt:lpwstr>
  </property>
</Properties>
</file>