
<file path=[Content_Types].xml><?xml version="1.0" encoding="utf-8"?>
<Types xmlns="http://schemas.openxmlformats.org/package/2006/content-types">
  <Default Extension="png" ContentType="image/png"/>
  <Default Extension="wdp" ContentType="image/vnd.ms-photo"/>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D1F5FC">
      <w:pPr>
        <w:overflowPunct w:val="0"/>
        <w:jc w:val="center"/>
        <w:rPr>
          <w:rFonts w:ascii="宋体" w:hAnsi="宋体" w:cs="宋体"/>
          <w:b/>
          <w:bCs/>
          <w:sz w:val="32"/>
          <w:szCs w:val="32"/>
        </w:rPr>
      </w:pPr>
      <w:r>
        <w:rPr>
          <w:rFonts w:ascii="宋体" w:hAnsi="宋体" w:cs="宋体"/>
          <w:b/>
          <w:bCs/>
          <w:sz w:val="32"/>
          <w:szCs w:val="32"/>
        </w:rPr>
        <w:t>中级会计职称</w:t>
      </w:r>
    </w:p>
    <w:p w14:paraId="1361F5A4">
      <w:pPr>
        <w:overflowPunct w:val="0"/>
        <w:jc w:val="center"/>
        <w:rPr>
          <w:rFonts w:ascii="宋体" w:hAnsi="宋体" w:cs="宋体"/>
          <w:b/>
          <w:bCs/>
          <w:sz w:val="32"/>
          <w:szCs w:val="32"/>
        </w:rPr>
      </w:pPr>
      <w:r>
        <w:rPr>
          <w:rFonts w:ascii="宋体" w:hAnsi="宋体" w:cs="宋体"/>
          <w:b/>
          <w:bCs/>
          <w:sz w:val="32"/>
          <w:szCs w:val="32"/>
        </w:rPr>
        <w:t>中级会计实务</w:t>
      </w:r>
    </w:p>
    <w:p w14:paraId="109F66B4">
      <w:pPr>
        <w:jc w:val="left"/>
        <w:rPr>
          <w:rFonts w:hint="eastAsia" w:ascii="宋体" w:hAnsi="宋体" w:cs="宋体"/>
          <w:b/>
          <w:bCs/>
          <w:sz w:val="32"/>
          <w:szCs w:val="32"/>
          <w:lang w:val="en-US" w:eastAsia="zh-CN"/>
        </w:rPr>
      </w:pPr>
      <w:r>
        <w:rPr>
          <w:rFonts w:hint="eastAsia" w:ascii="宋体" w:hAnsi="宋体" w:cs="宋体"/>
          <w:b/>
          <w:bCs/>
          <w:sz w:val="32"/>
          <w:szCs w:val="32"/>
          <w:lang w:val="en-US" w:eastAsia="zh-CN"/>
        </w:rPr>
        <w:t>【晨读安排】</w:t>
      </w:r>
    </w:p>
    <w:p w14:paraId="3904323A">
      <w:pPr>
        <w:jc w:val="left"/>
        <w:rPr>
          <w:rFonts w:hint="eastAsia" w:ascii="宋体" w:hAnsi="宋体" w:cs="宋体"/>
          <w:b/>
          <w:bCs/>
          <w:sz w:val="32"/>
          <w:szCs w:val="32"/>
          <w:lang w:val="en-US" w:eastAsia="zh-CN"/>
        </w:rPr>
      </w:pPr>
      <w:r>
        <w:rPr>
          <w:rFonts w:hint="eastAsia" w:ascii="宋体" w:hAnsi="宋体" w:cs="宋体"/>
          <w:b/>
          <w:bCs/>
          <w:sz w:val="32"/>
          <w:szCs w:val="32"/>
          <w:lang w:val="en-US" w:eastAsia="zh-CN"/>
        </w:rPr>
        <w:t>7月14日——第一、二、三、四章</w:t>
      </w:r>
    </w:p>
    <w:p w14:paraId="78855E79">
      <w:pPr>
        <w:jc w:val="left"/>
        <w:rPr>
          <w:rFonts w:hint="eastAsia" w:ascii="宋体" w:hAnsi="宋体" w:cs="宋体"/>
          <w:b/>
          <w:bCs/>
          <w:sz w:val="32"/>
          <w:szCs w:val="32"/>
          <w:lang w:val="en-US" w:eastAsia="zh-CN"/>
        </w:rPr>
      </w:pPr>
      <w:r>
        <w:rPr>
          <w:rFonts w:hint="eastAsia" w:ascii="宋体" w:hAnsi="宋体" w:cs="宋体"/>
          <w:b/>
          <w:bCs/>
          <w:sz w:val="32"/>
          <w:szCs w:val="32"/>
          <w:lang w:val="en-US" w:eastAsia="zh-CN"/>
        </w:rPr>
        <w:t>7月21日——第五、七章</w:t>
      </w:r>
    </w:p>
    <w:p w14:paraId="4C96AD6F">
      <w:pPr>
        <w:jc w:val="left"/>
        <w:rPr>
          <w:rFonts w:hint="eastAsia" w:ascii="宋体" w:hAnsi="宋体" w:cs="宋体"/>
          <w:b/>
          <w:bCs/>
          <w:sz w:val="32"/>
          <w:szCs w:val="32"/>
          <w:lang w:val="en-US" w:eastAsia="zh-CN"/>
        </w:rPr>
      </w:pPr>
      <w:r>
        <w:rPr>
          <w:rFonts w:hint="eastAsia" w:ascii="宋体" w:hAnsi="宋体" w:cs="宋体"/>
          <w:b/>
          <w:bCs/>
          <w:sz w:val="32"/>
          <w:szCs w:val="32"/>
          <w:lang w:val="en-US" w:eastAsia="zh-CN"/>
        </w:rPr>
        <w:t>7月23日——第八章</w:t>
      </w:r>
    </w:p>
    <w:p w14:paraId="72A11FFA">
      <w:pPr>
        <w:jc w:val="left"/>
        <w:rPr>
          <w:rFonts w:hint="eastAsia" w:ascii="宋体" w:hAnsi="宋体" w:cs="宋体"/>
          <w:b/>
          <w:bCs/>
          <w:sz w:val="32"/>
          <w:szCs w:val="32"/>
          <w:lang w:val="en-US" w:eastAsia="zh-CN"/>
        </w:rPr>
      </w:pPr>
      <w:r>
        <w:rPr>
          <w:rFonts w:hint="eastAsia" w:ascii="宋体" w:hAnsi="宋体" w:cs="宋体"/>
          <w:b/>
          <w:bCs/>
          <w:sz w:val="32"/>
          <w:szCs w:val="32"/>
          <w:lang w:val="en-US" w:eastAsia="zh-CN"/>
        </w:rPr>
        <w:t>7月28日——第六章</w:t>
      </w:r>
    </w:p>
    <w:p w14:paraId="6E671CDE">
      <w:pPr>
        <w:jc w:val="left"/>
        <w:rPr>
          <w:rFonts w:hint="eastAsia" w:ascii="宋体" w:hAnsi="宋体" w:cs="宋体"/>
          <w:b/>
          <w:bCs/>
          <w:sz w:val="32"/>
          <w:szCs w:val="32"/>
          <w:lang w:val="en-US" w:eastAsia="zh-CN"/>
        </w:rPr>
      </w:pPr>
      <w:r>
        <w:rPr>
          <w:rFonts w:hint="eastAsia" w:ascii="宋体" w:hAnsi="宋体" w:cs="宋体"/>
          <w:b/>
          <w:bCs/>
          <w:sz w:val="32"/>
          <w:szCs w:val="32"/>
          <w:lang w:val="en-US" w:eastAsia="zh-CN"/>
        </w:rPr>
        <w:t>7月30日——第九、十章</w:t>
      </w:r>
    </w:p>
    <w:p w14:paraId="301950FE">
      <w:pPr>
        <w:jc w:val="left"/>
        <w:rPr>
          <w:rFonts w:hint="eastAsia" w:ascii="宋体" w:hAnsi="宋体" w:cs="宋体"/>
          <w:b/>
          <w:bCs/>
          <w:sz w:val="32"/>
          <w:szCs w:val="32"/>
          <w:lang w:val="en-US" w:eastAsia="zh-CN"/>
        </w:rPr>
      </w:pPr>
      <w:r>
        <w:rPr>
          <w:rFonts w:hint="eastAsia" w:ascii="宋体" w:hAnsi="宋体" w:cs="宋体"/>
          <w:b/>
          <w:bCs/>
          <w:sz w:val="32"/>
          <w:szCs w:val="32"/>
          <w:lang w:val="en-US" w:eastAsia="zh-CN"/>
        </w:rPr>
        <w:t>8月 4 日——第十一、十二章</w:t>
      </w:r>
    </w:p>
    <w:p w14:paraId="5617B054">
      <w:pPr>
        <w:jc w:val="left"/>
        <w:rPr>
          <w:rFonts w:hint="default" w:ascii="宋体" w:hAnsi="宋体" w:cs="宋体"/>
          <w:b/>
          <w:bCs/>
          <w:sz w:val="32"/>
          <w:szCs w:val="32"/>
          <w:lang w:val="en-US" w:eastAsia="zh-CN"/>
        </w:rPr>
      </w:pPr>
      <w:r>
        <w:rPr>
          <w:rFonts w:hint="eastAsia" w:ascii="宋体" w:hAnsi="宋体" w:cs="宋体"/>
          <w:b/>
          <w:bCs/>
          <w:sz w:val="32"/>
          <w:szCs w:val="32"/>
          <w:lang w:val="en-US" w:eastAsia="zh-CN"/>
        </w:rPr>
        <w:t>8月 6 日——第十三章</w:t>
      </w:r>
    </w:p>
    <w:p w14:paraId="60781FD1">
      <w:pPr>
        <w:jc w:val="left"/>
        <w:rPr>
          <w:rFonts w:hint="default" w:ascii="宋体" w:hAnsi="宋体" w:cs="宋体"/>
          <w:b/>
          <w:bCs/>
          <w:sz w:val="32"/>
          <w:szCs w:val="32"/>
          <w:lang w:val="en-US" w:eastAsia="zh-CN"/>
        </w:rPr>
      </w:pPr>
      <w:r>
        <w:rPr>
          <w:rFonts w:hint="eastAsia" w:ascii="宋体" w:hAnsi="宋体" w:cs="宋体"/>
          <w:b/>
          <w:bCs/>
          <w:sz w:val="32"/>
          <w:szCs w:val="32"/>
          <w:lang w:val="en-US" w:eastAsia="zh-CN"/>
        </w:rPr>
        <w:t>8月11日——第十四、十五、十六章</w:t>
      </w:r>
      <w:bookmarkStart w:id="0" w:name="_GoBack"/>
      <w:bookmarkEnd w:id="0"/>
    </w:p>
    <w:p w14:paraId="3A3C8B9E">
      <w:pPr>
        <w:jc w:val="left"/>
        <w:rPr>
          <w:rFonts w:hint="eastAsia" w:ascii="宋体" w:hAnsi="宋体" w:cs="宋体"/>
          <w:b/>
          <w:bCs/>
          <w:sz w:val="32"/>
          <w:szCs w:val="32"/>
          <w:lang w:val="en-US" w:eastAsia="zh-CN"/>
        </w:rPr>
      </w:pPr>
      <w:r>
        <w:rPr>
          <w:rFonts w:hint="eastAsia" w:ascii="宋体" w:hAnsi="宋体" w:cs="宋体"/>
          <w:b/>
          <w:bCs/>
          <w:sz w:val="32"/>
          <w:szCs w:val="32"/>
          <w:lang w:val="en-US" w:eastAsia="zh-CN"/>
        </w:rPr>
        <w:t>8月13日——第十七章</w:t>
      </w:r>
    </w:p>
    <w:p w14:paraId="0EC22D02">
      <w:pPr>
        <w:jc w:val="left"/>
        <w:rPr>
          <w:rFonts w:hint="eastAsia" w:ascii="宋体" w:hAnsi="宋体" w:cs="宋体"/>
          <w:b/>
          <w:bCs/>
          <w:sz w:val="32"/>
          <w:szCs w:val="32"/>
          <w:lang w:val="en-US" w:eastAsia="zh-CN"/>
        </w:rPr>
      </w:pPr>
      <w:r>
        <w:rPr>
          <w:rFonts w:hint="eastAsia" w:ascii="宋体" w:hAnsi="宋体" w:cs="宋体"/>
          <w:b/>
          <w:bCs/>
          <w:sz w:val="32"/>
          <w:szCs w:val="32"/>
          <w:lang w:val="en-US" w:eastAsia="zh-CN"/>
        </w:rPr>
        <w:t>8月18日——第十八、十九、二十章</w:t>
      </w:r>
    </w:p>
    <w:p w14:paraId="04B09EDD">
      <w:pPr>
        <w:jc w:val="left"/>
        <w:rPr>
          <w:rFonts w:hint="eastAsia" w:ascii="宋体" w:hAnsi="宋体" w:cs="宋体"/>
          <w:b/>
          <w:bCs/>
          <w:sz w:val="32"/>
          <w:szCs w:val="32"/>
          <w:lang w:val="en-US" w:eastAsia="zh-CN"/>
        </w:rPr>
      </w:pPr>
      <w:r>
        <w:rPr>
          <w:rFonts w:hint="eastAsia" w:ascii="宋体" w:hAnsi="宋体" w:cs="宋体"/>
          <w:b/>
          <w:bCs/>
          <w:sz w:val="32"/>
          <w:szCs w:val="32"/>
          <w:lang w:val="en-US" w:eastAsia="zh-CN"/>
        </w:rPr>
        <w:t>8月20日——第二十一章</w:t>
      </w:r>
    </w:p>
    <w:p w14:paraId="7D4F55E4">
      <w:pPr>
        <w:jc w:val="left"/>
        <w:rPr>
          <w:rFonts w:hint="eastAsia" w:ascii="宋体" w:hAnsi="宋体" w:cs="宋体"/>
          <w:b/>
          <w:bCs/>
          <w:sz w:val="32"/>
          <w:szCs w:val="32"/>
          <w:lang w:val="en-US" w:eastAsia="zh-CN"/>
        </w:rPr>
      </w:pPr>
      <w:r>
        <w:rPr>
          <w:rFonts w:hint="eastAsia" w:ascii="宋体" w:hAnsi="宋体" w:cs="宋体"/>
          <w:b/>
          <w:bCs/>
          <w:sz w:val="32"/>
          <w:szCs w:val="32"/>
          <w:lang w:val="en-US" w:eastAsia="zh-CN"/>
        </w:rPr>
        <w:t>8月25日——第二十二、二十三章</w:t>
      </w:r>
    </w:p>
    <w:p w14:paraId="1BCD8080">
      <w:pPr>
        <w:jc w:val="left"/>
        <w:rPr>
          <w:rFonts w:hint="eastAsia" w:ascii="宋体" w:hAnsi="宋体" w:cs="宋体"/>
          <w:b/>
          <w:bCs/>
          <w:sz w:val="32"/>
          <w:szCs w:val="32"/>
          <w:lang w:val="en-US" w:eastAsia="zh-CN"/>
        </w:rPr>
      </w:pPr>
      <w:r>
        <w:rPr>
          <w:rFonts w:hint="eastAsia" w:ascii="宋体" w:hAnsi="宋体" w:cs="宋体"/>
          <w:b/>
          <w:bCs/>
          <w:sz w:val="32"/>
          <w:szCs w:val="32"/>
          <w:lang w:val="en-US" w:eastAsia="zh-CN"/>
        </w:rPr>
        <w:t>8月27日——第二十四、二十五章</w:t>
      </w:r>
    </w:p>
    <w:p w14:paraId="3A444B3B">
      <w:pPr>
        <w:jc w:val="left"/>
        <w:rPr>
          <w:rFonts w:hint="default" w:ascii="宋体" w:hAnsi="宋体" w:cs="宋体"/>
          <w:b/>
          <w:bCs/>
          <w:sz w:val="32"/>
          <w:szCs w:val="32"/>
          <w:lang w:val="en-US" w:eastAsia="zh-CN"/>
        </w:rPr>
      </w:pPr>
    </w:p>
    <w:p w14:paraId="62E2B246">
      <w:pPr>
        <w:jc w:val="left"/>
        <w:rPr>
          <w:rFonts w:hint="default" w:ascii="宋体" w:hAnsi="宋体" w:cs="宋体"/>
          <w:b/>
          <w:bCs/>
          <w:sz w:val="32"/>
          <w:szCs w:val="32"/>
          <w:lang w:val="en-US" w:eastAsia="zh-CN"/>
        </w:rPr>
      </w:pPr>
      <w:r>
        <w:rPr>
          <w:rFonts w:hint="eastAsia" w:ascii="宋体" w:hAnsi="宋体" w:cs="宋体"/>
          <w:b/>
          <w:bCs/>
          <w:sz w:val="32"/>
          <w:szCs w:val="32"/>
          <w:lang w:val="en-US" w:eastAsia="zh-CN"/>
        </w:rPr>
        <w:t>注意：务必在晚上直播课前完成~</w:t>
      </w:r>
    </w:p>
    <w:p w14:paraId="745BD89B">
      <w:pPr>
        <w:overflowPunct w:val="0"/>
        <w:jc w:val="center"/>
        <w:rPr>
          <w:rFonts w:ascii="宋体" w:hAnsi="宋体" w:cs="宋体"/>
          <w:b/>
          <w:bCs/>
          <w:sz w:val="32"/>
          <w:szCs w:val="32"/>
        </w:rPr>
      </w:pPr>
    </w:p>
    <w:p w14:paraId="1EB3FFE9">
      <w:pPr>
        <w:overflowPunct w:val="0"/>
        <w:jc w:val="center"/>
        <w:rPr>
          <w:rFonts w:ascii="宋体" w:hAnsi="宋体" w:cs="宋体"/>
          <w:b/>
          <w:bCs/>
          <w:sz w:val="32"/>
          <w:szCs w:val="32"/>
        </w:rPr>
      </w:pPr>
    </w:p>
    <w:p w14:paraId="65B4DADF">
      <w:pPr>
        <w:overflowPunct w:val="0"/>
        <w:jc w:val="center"/>
        <w:rPr>
          <w:rFonts w:ascii="宋体" w:hAnsi="宋体" w:cs="宋体"/>
          <w:b/>
          <w:bCs/>
          <w:sz w:val="32"/>
          <w:szCs w:val="32"/>
        </w:rPr>
      </w:pPr>
    </w:p>
    <w:p w14:paraId="23BC17BD">
      <w:pPr>
        <w:overflowPunct w:val="0"/>
        <w:jc w:val="center"/>
        <w:rPr>
          <w:rFonts w:ascii="宋体" w:hAnsi="宋体" w:cs="宋体"/>
          <w:b/>
          <w:bCs/>
          <w:sz w:val="32"/>
          <w:szCs w:val="32"/>
        </w:rPr>
      </w:pPr>
    </w:p>
    <w:p w14:paraId="37D6EF34">
      <w:pPr>
        <w:overflowPunct w:val="0"/>
        <w:jc w:val="center"/>
        <w:rPr>
          <w:rFonts w:ascii="宋体" w:hAnsi="宋体" w:cs="宋体"/>
          <w:b/>
          <w:bCs/>
          <w:sz w:val="32"/>
          <w:szCs w:val="32"/>
        </w:rPr>
      </w:pPr>
    </w:p>
    <w:p w14:paraId="04CF088C">
      <w:pPr>
        <w:overflowPunct w:val="0"/>
        <w:jc w:val="center"/>
        <w:rPr>
          <w:rFonts w:ascii="宋体" w:hAnsi="宋体" w:cs="宋体"/>
          <w:b/>
          <w:bCs/>
          <w:sz w:val="32"/>
          <w:szCs w:val="32"/>
        </w:rPr>
      </w:pPr>
    </w:p>
    <w:p w14:paraId="24217BD9">
      <w:pPr>
        <w:jc w:val="left"/>
        <w:rPr>
          <w:rFonts w:ascii="宋体" w:hAnsi="宋体" w:cs="宋体"/>
        </w:rPr>
      </w:pPr>
    </w:p>
    <w:p w14:paraId="66AFED87">
      <w:pPr>
        <w:overflowPunct w:val="0"/>
        <w:jc w:val="center"/>
        <w:rPr>
          <w:rFonts w:ascii="宋体" w:hAnsi="宋体" w:cs="宋体"/>
          <w:b/>
          <w:bCs/>
        </w:rPr>
      </w:pPr>
      <w:r>
        <w:rPr>
          <w:rFonts w:hint="eastAsia" w:ascii="宋体" w:hAnsi="宋体" w:cs="宋体"/>
          <w:b/>
          <w:bCs/>
        </w:rPr>
        <w:t>第一章  总论</w:t>
      </w:r>
    </w:p>
    <w:p w14:paraId="5983AED3">
      <w:pPr>
        <w:jc w:val="left"/>
        <w:rPr>
          <w:rFonts w:ascii="宋体" w:hAnsi="宋体" w:cs="宋体"/>
          <w:color w:val="FF0000"/>
        </w:rPr>
      </w:pPr>
      <w:r>
        <w:rPr>
          <w:rFonts w:hint="eastAsia" w:ascii="宋体" w:hAnsi="宋体" w:cs="宋体"/>
          <w:color w:val="FF0000"/>
        </w:rPr>
        <w:t>预计今年考核2道客观题，分值为2分。</w:t>
      </w:r>
    </w:p>
    <w:p w14:paraId="35AAF681">
      <w:pPr>
        <w:jc w:val="left"/>
        <w:rPr>
          <w:rFonts w:ascii="宋体" w:hAnsi="宋体" w:cs="宋体"/>
        </w:rPr>
      </w:pPr>
      <w:r>
        <w:rPr>
          <w:rFonts w:hint="eastAsia" w:ascii="宋体" w:hAnsi="宋体" w:cs="宋体"/>
          <w:color w:val="FF0000"/>
        </w:rPr>
        <w:t>【考点】</w:t>
      </w:r>
      <w:r>
        <w:rPr>
          <w:rFonts w:hint="eastAsia" w:ascii="宋体" w:hAnsi="宋体" w:cs="宋体"/>
        </w:rPr>
        <w:t>会计人员从事会计工作的基本要求</w:t>
      </w:r>
    </w:p>
    <w:p w14:paraId="3E72FE71">
      <w:pPr>
        <w:jc w:val="left"/>
        <w:rPr>
          <w:rFonts w:ascii="宋体" w:hAnsi="宋体" w:cs="宋体"/>
          <w:color w:val="FF0000"/>
        </w:rPr>
      </w:pPr>
      <w:r>
        <w:rPr>
          <w:rFonts w:hint="eastAsia" w:ascii="宋体" w:hAnsi="宋体" w:cs="宋体"/>
          <w:color w:val="FF0000"/>
        </w:rPr>
        <w:t>（一）会计人员从事会计工作应当符合的基本要求</w:t>
      </w:r>
    </w:p>
    <w:p w14:paraId="7D7812D2">
      <w:pPr>
        <w:jc w:val="left"/>
        <w:rPr>
          <w:rFonts w:ascii="宋体" w:hAnsi="宋体" w:cs="宋体"/>
        </w:rPr>
      </w:pPr>
      <w:r>
        <w:rPr>
          <w:rFonts w:hint="eastAsia" w:ascii="宋体" w:hAnsi="宋体" w:cs="宋体"/>
        </w:rPr>
        <w:t>（1）遵守《会计法》和国家统一的会计制度等法律法规；</w:t>
      </w:r>
    </w:p>
    <w:p w14:paraId="679EFA27">
      <w:pPr>
        <w:jc w:val="left"/>
        <w:rPr>
          <w:rFonts w:ascii="宋体" w:hAnsi="宋体" w:cs="宋体"/>
        </w:rPr>
      </w:pPr>
      <w:r>
        <w:rPr>
          <w:rFonts w:hint="eastAsia" w:ascii="宋体" w:hAnsi="宋体" w:cs="宋体"/>
        </w:rPr>
        <w:t>（2）具备良好的职业道德；</w:t>
      </w:r>
    </w:p>
    <w:p w14:paraId="4DBCFE2C">
      <w:pPr>
        <w:jc w:val="left"/>
        <w:rPr>
          <w:rFonts w:ascii="宋体" w:hAnsi="宋体" w:cs="宋体"/>
        </w:rPr>
      </w:pPr>
      <w:r>
        <w:rPr>
          <w:rFonts w:hint="eastAsia" w:ascii="宋体" w:hAnsi="宋体" w:cs="宋体"/>
        </w:rPr>
        <w:t>（3）按照国家有关规定参加继续教育；</w:t>
      </w:r>
    </w:p>
    <w:p w14:paraId="5BCB365D">
      <w:pPr>
        <w:jc w:val="left"/>
        <w:rPr>
          <w:rFonts w:ascii="宋体" w:hAnsi="宋体" w:cs="宋体"/>
        </w:rPr>
      </w:pPr>
      <w:r>
        <w:rPr>
          <w:rFonts w:hint="eastAsia" w:ascii="宋体" w:hAnsi="宋体" w:cs="宋体"/>
        </w:rPr>
        <w:t>（4）具备从事会计工作所需要的专业能力。</w:t>
      </w:r>
    </w:p>
    <w:p w14:paraId="59AB52F0">
      <w:pPr>
        <w:jc w:val="left"/>
        <w:rPr>
          <w:rFonts w:ascii="宋体" w:hAnsi="宋体" w:cs="宋体"/>
          <w:color w:val="FF0000"/>
        </w:rPr>
      </w:pPr>
      <w:r>
        <w:rPr>
          <w:rFonts w:hint="eastAsia" w:ascii="宋体" w:hAnsi="宋体" w:cs="宋体"/>
          <w:color w:val="FF0000"/>
        </w:rPr>
        <w:t>（二）会计机构负责人（会计主管人员）和总会计师应当具备的基本条件</w:t>
      </w:r>
    </w:p>
    <w:p w14:paraId="7C2A5411">
      <w:pPr>
        <w:jc w:val="left"/>
        <w:rPr>
          <w:rFonts w:ascii="宋体" w:hAnsi="宋体" w:cs="宋体"/>
        </w:rPr>
      </w:pPr>
      <w:r>
        <w:rPr>
          <w:rFonts w:hint="eastAsia" w:ascii="宋体" w:hAnsi="宋体" w:cs="宋体"/>
        </w:rPr>
        <w:t>1.会计机构负责人（会计主管人员）应当具备下列基本条件：</w:t>
      </w:r>
    </w:p>
    <w:p w14:paraId="3DBB6188">
      <w:pPr>
        <w:jc w:val="left"/>
        <w:rPr>
          <w:rFonts w:ascii="宋体" w:hAnsi="宋体" w:cs="宋体"/>
        </w:rPr>
      </w:pPr>
      <w:r>
        <w:rPr>
          <w:rFonts w:hint="eastAsia" w:ascii="宋体" w:hAnsi="宋体" w:cs="宋体"/>
        </w:rPr>
        <w:t>（1）坚持原则，廉洁奉公；</w:t>
      </w:r>
    </w:p>
    <w:p w14:paraId="39564DA8">
      <w:pPr>
        <w:jc w:val="left"/>
        <w:rPr>
          <w:rFonts w:ascii="宋体" w:hAnsi="宋体" w:cs="宋体"/>
        </w:rPr>
      </w:pPr>
      <w:r>
        <w:rPr>
          <w:rFonts w:hint="eastAsia" w:ascii="宋体" w:hAnsi="宋体" w:cs="宋体"/>
        </w:rPr>
        <w:t>（2）★具备会计师以上专业技术职务资格或者从事会计工作不少于3年；</w:t>
      </w:r>
    </w:p>
    <w:p w14:paraId="6388D7C8">
      <w:pPr>
        <w:jc w:val="left"/>
        <w:rPr>
          <w:rFonts w:ascii="宋体" w:hAnsi="宋体" w:cs="宋体"/>
        </w:rPr>
      </w:pPr>
      <w:r>
        <w:rPr>
          <w:rFonts w:hint="eastAsia" w:ascii="宋体" w:hAnsi="宋体" w:cs="宋体"/>
        </w:rPr>
        <w:t>（3）熟悉国家财经法律、法规、规章和方针、政策，掌握本行业业务管理的有关知识；</w:t>
      </w:r>
    </w:p>
    <w:p w14:paraId="735932D8">
      <w:pPr>
        <w:jc w:val="left"/>
        <w:rPr>
          <w:rFonts w:ascii="宋体" w:hAnsi="宋体" w:cs="宋体"/>
        </w:rPr>
      </w:pPr>
      <w:r>
        <w:rPr>
          <w:rFonts w:hint="eastAsia" w:ascii="宋体" w:hAnsi="宋体" w:cs="宋体"/>
        </w:rPr>
        <w:t>（4）有较强的组织能力；</w:t>
      </w:r>
    </w:p>
    <w:p w14:paraId="752615A6">
      <w:pPr>
        <w:jc w:val="left"/>
        <w:rPr>
          <w:rFonts w:ascii="宋体" w:hAnsi="宋体" w:cs="宋体"/>
        </w:rPr>
      </w:pPr>
      <w:r>
        <w:rPr>
          <w:rFonts w:hint="eastAsia" w:ascii="宋体" w:hAnsi="宋体" w:cs="宋体"/>
        </w:rPr>
        <w:t>（5）身体状况能够适应本职工作的要求。</w:t>
      </w:r>
    </w:p>
    <w:p w14:paraId="07E24382">
      <w:pPr>
        <w:jc w:val="left"/>
        <w:rPr>
          <w:rFonts w:ascii="宋体" w:hAnsi="宋体" w:cs="宋体"/>
        </w:rPr>
      </w:pPr>
      <w:r>
        <w:rPr>
          <w:rFonts w:hint="eastAsia" w:ascii="宋体" w:hAnsi="宋体" w:cs="宋体"/>
        </w:rPr>
        <w:t>2.大、中型企业，事业单位，业务主管部门应当根据法律和国家有关规定设置总会计师。</w:t>
      </w:r>
    </w:p>
    <w:p w14:paraId="1E86B108">
      <w:pPr>
        <w:jc w:val="left"/>
        <w:rPr>
          <w:rFonts w:ascii="宋体" w:hAnsi="宋体" w:cs="宋体"/>
          <w:color w:val="FF0000"/>
        </w:rPr>
      </w:pPr>
      <w:r>
        <w:rPr>
          <w:rFonts w:hint="eastAsia" w:ascii="宋体" w:hAnsi="宋体" w:cs="宋体"/>
          <w:color w:val="FF0000"/>
        </w:rPr>
        <w:t>（三）会计人员任用（聘用）管理相关规定</w:t>
      </w:r>
    </w:p>
    <w:p w14:paraId="6C3EA0EC">
      <w:pPr>
        <w:jc w:val="left"/>
        <w:rPr>
          <w:rFonts w:ascii="宋体" w:hAnsi="宋体" w:cs="宋体"/>
        </w:rPr>
      </w:pPr>
      <w:r>
        <w:rPr>
          <w:rFonts w:hint="eastAsia" w:ascii="宋体" w:hAnsi="宋体" w:cs="宋体"/>
        </w:rPr>
        <w:t>1.★单位负责人对本单位的会计工作和会计资料的真实性、完整性负责。</w:t>
      </w:r>
    </w:p>
    <w:p w14:paraId="5B3D534A">
      <w:pPr>
        <w:jc w:val="left"/>
        <w:rPr>
          <w:rFonts w:ascii="宋体" w:hAnsi="宋体" w:cs="宋体"/>
        </w:rPr>
      </w:pPr>
      <w:r>
        <w:rPr>
          <w:rFonts w:hint="eastAsia" w:ascii="宋体" w:hAnsi="宋体" w:cs="宋体"/>
        </w:rPr>
        <w:t>2.★因发生与会计职务有关的违法行为被依法追究刑事责任的人员，单位不得任用（聘用）其从事会计工作。</w:t>
      </w:r>
    </w:p>
    <w:p w14:paraId="6AF6D586">
      <w:pPr>
        <w:jc w:val="left"/>
        <w:rPr>
          <w:rFonts w:ascii="宋体" w:hAnsi="宋体" w:cs="宋体"/>
        </w:rPr>
      </w:pPr>
      <w:r>
        <w:rPr>
          <w:rFonts w:hint="eastAsia" w:ascii="宋体" w:hAnsi="宋体" w:cs="宋体"/>
        </w:rPr>
        <w:t>★因违反《会计法》有关规定受到行政处罚五年内不得从事会计工作的人员，处罚期届满前，单位不得任用（聘用）其从事会计工作。</w:t>
      </w:r>
    </w:p>
    <w:p w14:paraId="1DAD357E">
      <w:pPr>
        <w:jc w:val="left"/>
        <w:rPr>
          <w:rFonts w:ascii="宋体" w:hAnsi="宋体" w:cs="宋体"/>
        </w:rPr>
      </w:pPr>
      <w:r>
        <w:rPr>
          <w:rFonts w:hint="eastAsia" w:ascii="宋体" w:hAnsi="宋体" w:cs="宋体"/>
          <w:color w:val="FF0000"/>
        </w:rPr>
        <w:t>【考点】</w:t>
      </w:r>
      <w:r>
        <w:rPr>
          <w:rFonts w:hint="eastAsia" w:ascii="宋体" w:hAnsi="宋体" w:cs="宋体"/>
        </w:rPr>
        <w:t>会计人员职业道德规范</w:t>
      </w:r>
    </w:p>
    <w:p w14:paraId="7C512E9F">
      <w:pPr>
        <w:jc w:val="left"/>
        <w:rPr>
          <w:rFonts w:ascii="宋体" w:hAnsi="宋体" w:cs="宋体"/>
        </w:rPr>
      </w:pPr>
      <w:r>
        <w:rPr>
          <w:rFonts w:hint="eastAsia" w:ascii="宋体" w:hAnsi="宋体" w:cs="宋体"/>
        </w:rPr>
        <w:t>会计人员职业道德直接影响会计工作和会计信息质量。</w:t>
      </w:r>
    </w:p>
    <w:p w14:paraId="3C818662">
      <w:pPr>
        <w:jc w:val="left"/>
        <w:rPr>
          <w:rFonts w:ascii="宋体" w:hAnsi="宋体" w:cs="宋体"/>
        </w:rPr>
      </w:pPr>
      <w:r>
        <w:rPr>
          <w:rFonts w:hint="eastAsia" w:ascii="宋体" w:hAnsi="宋体" w:cs="宋体"/>
        </w:rPr>
        <w:t>★《会计人员职业道德规范》的规定</w:t>
      </w:r>
    </w:p>
    <w:p w14:paraId="755A8E0D">
      <w:pPr>
        <w:jc w:val="left"/>
        <w:rPr>
          <w:rFonts w:ascii="宋体" w:hAnsi="宋体" w:cs="宋体"/>
        </w:rPr>
      </w:pPr>
      <w:r>
        <w:rPr>
          <w:rFonts w:hint="eastAsia" w:ascii="宋体" w:hAnsi="宋体" w:cs="宋体"/>
        </w:rPr>
        <w:t>财政部于2023年1月12日制定印发了《会计人员职业道德规范》，这是我国首次制定全国性的会计人员职业道德规范，它将新时代会计人员职业道德要求总结提炼为三条核心表述，具体内容如下：</w:t>
      </w:r>
    </w:p>
    <w:p w14:paraId="0A6A1F7C">
      <w:pPr>
        <w:jc w:val="left"/>
        <w:rPr>
          <w:rFonts w:ascii="宋体" w:hAnsi="宋体" w:cs="宋体"/>
        </w:rPr>
      </w:pPr>
      <w:r>
        <w:rPr>
          <w:rFonts w:hint="eastAsia" w:ascii="宋体" w:hAnsi="宋体" w:cs="宋体"/>
        </w:rPr>
        <w:t>（1）坚持诚信，守法奉公。这是对会计人员的自律要求；</w:t>
      </w:r>
    </w:p>
    <w:p w14:paraId="1312D2ED">
      <w:pPr>
        <w:jc w:val="left"/>
        <w:rPr>
          <w:rFonts w:ascii="宋体" w:hAnsi="宋体" w:cs="宋体"/>
        </w:rPr>
      </w:pPr>
      <w:r>
        <w:rPr>
          <w:rFonts w:hint="eastAsia" w:ascii="宋体" w:hAnsi="宋体" w:cs="宋体"/>
        </w:rPr>
        <w:t>（2）坚持准则，守责敬业。这是对会计人员的履职要求；</w:t>
      </w:r>
    </w:p>
    <w:p w14:paraId="07F0BC2C">
      <w:pPr>
        <w:jc w:val="left"/>
        <w:rPr>
          <w:rFonts w:ascii="宋体" w:hAnsi="宋体" w:cs="宋体"/>
        </w:rPr>
      </w:pPr>
      <w:r>
        <w:rPr>
          <w:rFonts w:hint="eastAsia" w:ascii="宋体" w:hAnsi="宋体" w:cs="宋体"/>
        </w:rPr>
        <w:t>（3）坚持学习，守正创新。这是对会计人员的发展要求。</w:t>
      </w:r>
    </w:p>
    <w:p w14:paraId="6EF75E61">
      <w:pPr>
        <w:jc w:val="left"/>
        <w:rPr>
          <w:rFonts w:ascii="宋体" w:hAnsi="宋体" w:cs="宋体"/>
        </w:rPr>
      </w:pPr>
      <w:r>
        <w:rPr>
          <w:rFonts w:hint="eastAsia" w:ascii="宋体" w:hAnsi="宋体" w:cs="宋体"/>
          <w:color w:val="FF0000"/>
        </w:rPr>
        <w:t>【考点】</w:t>
      </w:r>
      <w:r>
        <w:rPr>
          <w:rFonts w:hint="eastAsia" w:ascii="宋体" w:hAnsi="宋体" w:cs="宋体"/>
        </w:rPr>
        <w:t>会计法规制度体系的构成</w:t>
      </w:r>
    </w:p>
    <w:p w14:paraId="1F80FCE7">
      <w:pPr>
        <w:jc w:val="left"/>
        <w:rPr>
          <w:rFonts w:ascii="宋体" w:hAnsi="宋体" w:cs="宋体"/>
        </w:rPr>
      </w:pPr>
      <w:r>
        <w:rPr>
          <w:rFonts w:hint="eastAsia" w:ascii="宋体" w:hAnsi="宋体" w:cs="宋体"/>
        </w:rPr>
        <w:t>★我国已经形成了以《会计法》为主体，由会计法律、会计行政法规、会计部门规章和规范性文件有机构成的会计法规制度体系。</w:t>
      </w:r>
    </w:p>
    <w:p w14:paraId="1C09F374">
      <w:pPr>
        <w:jc w:val="left"/>
        <w:rPr>
          <w:rFonts w:ascii="宋体" w:hAnsi="宋体" w:cs="宋体"/>
          <w:color w:val="FF0000"/>
        </w:rPr>
      </w:pPr>
      <w:r>
        <w:rPr>
          <w:rFonts w:hint="eastAsia" w:ascii="宋体" w:hAnsi="宋体" w:cs="宋体"/>
          <w:color w:val="FF0000"/>
        </w:rPr>
        <w:t>（一）会计法律</w:t>
      </w:r>
    </w:p>
    <w:p w14:paraId="281C9132">
      <w:pPr>
        <w:jc w:val="left"/>
        <w:rPr>
          <w:rFonts w:ascii="宋体" w:hAnsi="宋体" w:cs="宋体"/>
        </w:rPr>
      </w:pPr>
      <w:r>
        <w:rPr>
          <w:rFonts w:hint="eastAsia" w:ascii="宋体" w:hAnsi="宋体" w:cs="宋体"/>
        </w:rPr>
        <w:t>1.★会计法律是指由全国人民代表大会及其常务委员会经过一定立法程序制定的有关会计工作的法律，属于会计法律制度中层次最高的法律规范，是制定其他会计法规的依据，也是指导会计工作的最高准则。</w:t>
      </w:r>
    </w:p>
    <w:p w14:paraId="7E165434">
      <w:pPr>
        <w:jc w:val="left"/>
        <w:rPr>
          <w:rFonts w:ascii="宋体" w:hAnsi="宋体" w:cs="宋体"/>
        </w:rPr>
      </w:pPr>
      <w:r>
        <w:rPr>
          <w:rFonts w:hint="eastAsia" w:ascii="宋体" w:hAnsi="宋体" w:cs="宋体"/>
        </w:rPr>
        <w:t>2.★会计领域最基本的法律是《会计法》，其立法宗旨是为了规范会计行为，保证会计资料真实、完整，加强经济管理和财务管理，提高经济效益，维护社会主义市场经济秩序。</w:t>
      </w:r>
    </w:p>
    <w:p w14:paraId="18BBB4F7">
      <w:pPr>
        <w:jc w:val="left"/>
        <w:rPr>
          <w:rFonts w:ascii="宋体" w:hAnsi="宋体" w:cs="宋体"/>
          <w:color w:val="FF0000"/>
        </w:rPr>
      </w:pPr>
      <w:r>
        <w:rPr>
          <w:rFonts w:hint="eastAsia" w:ascii="宋体" w:hAnsi="宋体" w:cs="宋体"/>
          <w:color w:val="FF0000"/>
        </w:rPr>
        <w:t>（二）会计行政法规</w:t>
      </w:r>
    </w:p>
    <w:p w14:paraId="37488C6C">
      <w:pPr>
        <w:jc w:val="left"/>
        <w:rPr>
          <w:rFonts w:ascii="宋体" w:hAnsi="宋体" w:cs="宋体"/>
        </w:rPr>
      </w:pPr>
      <w:r>
        <w:rPr>
          <w:rFonts w:hint="eastAsia" w:ascii="宋体" w:hAnsi="宋体" w:cs="宋体"/>
        </w:rPr>
        <w:t>1.会计行政法规是指由国务院制定并发布，或者国务院有关部门拟定并经国务院批准发布，调整经济生活中某些方面会计关系的法律规范。</w:t>
      </w:r>
    </w:p>
    <w:p w14:paraId="786CB5E4">
      <w:pPr>
        <w:jc w:val="left"/>
        <w:rPr>
          <w:rFonts w:ascii="宋体" w:hAnsi="宋体" w:cs="宋体"/>
        </w:rPr>
      </w:pPr>
      <w:r>
        <w:rPr>
          <w:rFonts w:hint="eastAsia" w:ascii="宋体" w:hAnsi="宋体" w:cs="宋体"/>
        </w:rPr>
        <w:t>2.会计行政法规主要包括《总会计师条例》和《企业财务会计报告条例》。</w:t>
      </w:r>
    </w:p>
    <w:p w14:paraId="564E63F7">
      <w:pPr>
        <w:jc w:val="left"/>
        <w:rPr>
          <w:rFonts w:ascii="宋体" w:hAnsi="宋体" w:cs="宋体"/>
          <w:color w:val="FF0000"/>
        </w:rPr>
      </w:pPr>
      <w:r>
        <w:rPr>
          <w:rFonts w:hint="eastAsia" w:ascii="宋体" w:hAnsi="宋体" w:cs="宋体"/>
          <w:color w:val="FF0000"/>
        </w:rPr>
        <w:t>（三）会计部门规章</w:t>
      </w:r>
    </w:p>
    <w:p w14:paraId="5F2DCB37">
      <w:pPr>
        <w:jc w:val="left"/>
        <w:rPr>
          <w:rFonts w:ascii="宋体" w:hAnsi="宋体" w:cs="宋体"/>
        </w:rPr>
      </w:pPr>
      <w:r>
        <w:rPr>
          <w:rFonts w:hint="eastAsia" w:ascii="宋体" w:hAnsi="宋体" w:cs="宋体"/>
        </w:rPr>
        <w:t>1.会计部门规章是指由国家主管会计工作的行政部门即财政部以及其他相关部委制定的、调整会计工作中某些方面内容的法律规范，通常以部令的形式公布。</w:t>
      </w:r>
    </w:p>
    <w:p w14:paraId="77554924">
      <w:pPr>
        <w:jc w:val="left"/>
        <w:rPr>
          <w:rFonts w:ascii="宋体" w:hAnsi="宋体" w:cs="宋体"/>
        </w:rPr>
      </w:pPr>
      <w:r>
        <w:rPr>
          <w:rFonts w:hint="eastAsia" w:ascii="宋体" w:hAnsi="宋体" w:cs="宋体"/>
        </w:rPr>
        <w:t>2.会计部门规章主要包括《会计基础工作规范》、《企业会计准则——基本准则》。</w:t>
      </w:r>
    </w:p>
    <w:p w14:paraId="148713FE">
      <w:pPr>
        <w:jc w:val="left"/>
        <w:rPr>
          <w:rFonts w:ascii="宋体" w:hAnsi="宋体" w:cs="宋体"/>
        </w:rPr>
      </w:pPr>
      <w:r>
        <w:rPr>
          <w:rFonts w:hint="eastAsia" w:ascii="宋体" w:hAnsi="宋体" w:cs="宋体"/>
          <w:color w:val="FF0000"/>
        </w:rPr>
        <w:t>【考点】</w:t>
      </w:r>
      <w:r>
        <w:rPr>
          <w:rFonts w:hint="eastAsia" w:ascii="宋体" w:hAnsi="宋体" w:cs="宋体"/>
        </w:rPr>
        <w:t>企业财务状况会计要素及其确认条件</w:t>
      </w:r>
    </w:p>
    <w:p w14:paraId="32B697F8">
      <w:pPr>
        <w:jc w:val="left"/>
        <w:rPr>
          <w:rFonts w:ascii="宋体" w:hAnsi="宋体" w:cs="宋体"/>
        </w:rPr>
      </w:pPr>
      <w:r>
        <w:rPr>
          <w:rFonts w:hint="eastAsia" w:ascii="宋体" w:hAnsi="宋体" w:cs="宋体"/>
        </w:rPr>
        <w:t>财务状况：资产＝负债＋所有者权益</w:t>
      </w:r>
    </w:p>
    <w:p w14:paraId="46EF6935">
      <w:pPr>
        <w:jc w:val="left"/>
        <w:rPr>
          <w:rFonts w:hint="eastAsia" w:ascii="宋体" w:hAnsi="宋体" w:cs="宋体"/>
        </w:rPr>
      </w:pPr>
      <w:r>
        <w:rPr>
          <w:rFonts w:hint="eastAsia" w:ascii="宋体" w:hAnsi="宋体" w:cs="宋体"/>
        </w:rPr>
        <w:t xml:space="preserve">经营成果：收入－费用＝利润 </w:t>
      </w:r>
    </w:p>
    <w:tbl>
      <w:tblPr>
        <w:tblStyle w:val="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6"/>
        <w:gridCol w:w="2611"/>
        <w:gridCol w:w="6369"/>
      </w:tblGrid>
      <w:tr w14:paraId="2788E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pct"/>
            <w:vMerge w:val="restart"/>
          </w:tcPr>
          <w:p w14:paraId="054A5CA6">
            <w:pPr>
              <w:jc w:val="center"/>
              <w:rPr>
                <w:rFonts w:ascii="宋体" w:hAnsi="宋体" w:cs="宋体"/>
              </w:rPr>
            </w:pPr>
            <w:r>
              <w:rPr>
                <w:rFonts w:hint="eastAsia" w:ascii="宋体" w:hAnsi="宋体" w:cs="宋体"/>
              </w:rPr>
              <w:t>★资产</w:t>
            </w:r>
          </w:p>
        </w:tc>
        <w:tc>
          <w:tcPr>
            <w:tcW w:w="1288" w:type="pct"/>
          </w:tcPr>
          <w:p w14:paraId="2FF7020A">
            <w:pPr>
              <w:jc w:val="center"/>
              <w:rPr>
                <w:rFonts w:ascii="宋体" w:hAnsi="宋体" w:cs="宋体"/>
              </w:rPr>
            </w:pPr>
            <w:r>
              <w:rPr>
                <w:rFonts w:hint="eastAsia" w:ascii="宋体" w:hAnsi="宋体" w:cs="宋体"/>
              </w:rPr>
              <w:t>定义</w:t>
            </w:r>
          </w:p>
          <w:p w14:paraId="31D38B06">
            <w:pPr>
              <w:jc w:val="center"/>
              <w:rPr>
                <w:rFonts w:ascii="宋体" w:hAnsi="宋体" w:cs="宋体"/>
              </w:rPr>
            </w:pPr>
            <w:r>
              <w:rPr>
                <w:rFonts w:hint="eastAsia" w:ascii="宋体" w:hAnsi="宋体" w:cs="宋体"/>
              </w:rPr>
              <w:t>（既3个特征）</w:t>
            </w:r>
          </w:p>
        </w:tc>
        <w:tc>
          <w:tcPr>
            <w:tcW w:w="3142" w:type="pct"/>
          </w:tcPr>
          <w:p w14:paraId="1269D4E6">
            <w:pPr>
              <w:jc w:val="left"/>
              <w:rPr>
                <w:rFonts w:ascii="宋体" w:hAnsi="宋体" w:cs="宋体"/>
              </w:rPr>
            </w:pPr>
            <w:r>
              <w:rPr>
                <w:rFonts w:hint="eastAsia" w:ascii="宋体" w:hAnsi="宋体" w:cs="宋体"/>
              </w:rPr>
              <w:t>资产是指企业过去的交易或者事项形成的、由企业</w:t>
            </w:r>
            <w:r>
              <w:rPr>
                <w:rFonts w:hint="eastAsia" w:ascii="宋体" w:hAnsi="宋体" w:cs="宋体"/>
                <w:color w:val="FF0000"/>
              </w:rPr>
              <w:t>拥有或者控制</w:t>
            </w:r>
            <w:r>
              <w:rPr>
                <w:rFonts w:hint="eastAsia" w:ascii="宋体" w:hAnsi="宋体" w:cs="宋体"/>
              </w:rPr>
              <w:t>的、预期会给企业带来</w:t>
            </w:r>
            <w:r>
              <w:rPr>
                <w:rFonts w:hint="eastAsia" w:ascii="宋体" w:hAnsi="宋体" w:cs="宋体"/>
                <w:color w:val="FF0000"/>
              </w:rPr>
              <w:t>经济利益的资源。</w:t>
            </w:r>
          </w:p>
        </w:tc>
      </w:tr>
      <w:tr w14:paraId="60087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pct"/>
            <w:vMerge w:val="continue"/>
          </w:tcPr>
          <w:p w14:paraId="5A6AE72A">
            <w:pPr>
              <w:overflowPunct w:val="0"/>
              <w:jc w:val="left"/>
              <w:rPr>
                <w:rFonts w:ascii="宋体" w:hAnsi="宋体" w:cs="宋体"/>
              </w:rPr>
            </w:pPr>
          </w:p>
        </w:tc>
        <w:tc>
          <w:tcPr>
            <w:tcW w:w="1288" w:type="pct"/>
          </w:tcPr>
          <w:p w14:paraId="11FD7E70">
            <w:pPr>
              <w:jc w:val="center"/>
              <w:rPr>
                <w:rFonts w:ascii="宋体" w:hAnsi="宋体" w:cs="宋体"/>
              </w:rPr>
            </w:pPr>
            <w:r>
              <w:rPr>
                <w:rFonts w:hint="eastAsia" w:ascii="宋体" w:hAnsi="宋体" w:cs="宋体"/>
              </w:rPr>
              <w:t xml:space="preserve">确认条件 </w:t>
            </w:r>
          </w:p>
          <w:p w14:paraId="0E2C95A4">
            <w:pPr>
              <w:jc w:val="left"/>
              <w:rPr>
                <w:rFonts w:ascii="宋体" w:hAnsi="宋体" w:cs="宋体"/>
              </w:rPr>
            </w:pPr>
            <w:r>
              <w:rPr>
                <w:rFonts w:hint="eastAsia" w:ascii="宋体" w:hAnsi="宋体" w:cs="宋体"/>
              </w:rPr>
              <w:t>（上述3个＋下述2个）</w:t>
            </w:r>
          </w:p>
        </w:tc>
        <w:tc>
          <w:tcPr>
            <w:tcW w:w="3142" w:type="pct"/>
          </w:tcPr>
          <w:p w14:paraId="521E68B4">
            <w:pPr>
              <w:jc w:val="left"/>
              <w:rPr>
                <w:rFonts w:ascii="宋体" w:hAnsi="宋体" w:cs="宋体"/>
              </w:rPr>
            </w:pPr>
            <w:r>
              <w:rPr>
                <w:rFonts w:hint="eastAsia" w:ascii="宋体" w:hAnsi="宋体" w:cs="宋体"/>
              </w:rPr>
              <w:t>1.与该资源有关的经济利益</w:t>
            </w:r>
            <w:r>
              <w:rPr>
                <w:rFonts w:hint="eastAsia" w:ascii="宋体" w:hAnsi="宋体" w:cs="宋体"/>
                <w:color w:val="FF0000"/>
              </w:rPr>
              <w:t>很可能</w:t>
            </w:r>
            <w:r>
              <w:rPr>
                <w:rFonts w:hint="eastAsia" w:ascii="宋体" w:hAnsi="宋体" w:cs="宋体"/>
              </w:rPr>
              <w:t>流入企业；</w:t>
            </w:r>
          </w:p>
          <w:p w14:paraId="03A3D9C6">
            <w:pPr>
              <w:jc w:val="left"/>
              <w:rPr>
                <w:rFonts w:ascii="宋体" w:hAnsi="宋体" w:cs="宋体"/>
              </w:rPr>
            </w:pPr>
            <w:r>
              <w:rPr>
                <w:rFonts w:hint="eastAsia" w:ascii="宋体" w:hAnsi="宋体" w:cs="宋体"/>
              </w:rPr>
              <w:t>2.该资源的成本或者价值能够</w:t>
            </w:r>
            <w:r>
              <w:rPr>
                <w:rFonts w:hint="eastAsia" w:ascii="宋体" w:hAnsi="宋体" w:cs="宋体"/>
                <w:color w:val="FF0000"/>
              </w:rPr>
              <w:t>可靠地</w:t>
            </w:r>
            <w:r>
              <w:rPr>
                <w:rFonts w:hint="eastAsia" w:ascii="宋体" w:hAnsi="宋体" w:cs="宋体"/>
              </w:rPr>
              <w:t>计量。</w:t>
            </w:r>
          </w:p>
        </w:tc>
      </w:tr>
      <w:tr w14:paraId="21A00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pct"/>
            <w:vMerge w:val="restart"/>
          </w:tcPr>
          <w:p w14:paraId="6C0C6044">
            <w:pPr>
              <w:jc w:val="center"/>
              <w:rPr>
                <w:rFonts w:ascii="宋体" w:hAnsi="宋体" w:cs="宋体"/>
              </w:rPr>
            </w:pPr>
            <w:r>
              <w:rPr>
                <w:rFonts w:hint="eastAsia" w:ascii="宋体" w:hAnsi="宋体" w:cs="宋体"/>
              </w:rPr>
              <w:t>★负债</w:t>
            </w:r>
          </w:p>
        </w:tc>
        <w:tc>
          <w:tcPr>
            <w:tcW w:w="1288" w:type="pct"/>
          </w:tcPr>
          <w:p w14:paraId="422C09FE">
            <w:pPr>
              <w:jc w:val="center"/>
              <w:rPr>
                <w:rFonts w:ascii="宋体" w:hAnsi="宋体" w:cs="宋体"/>
              </w:rPr>
            </w:pPr>
            <w:r>
              <w:rPr>
                <w:rFonts w:hint="eastAsia" w:ascii="宋体" w:hAnsi="宋体" w:cs="宋体"/>
              </w:rPr>
              <w:t xml:space="preserve">定义 </w:t>
            </w:r>
          </w:p>
          <w:p w14:paraId="0E9153CB">
            <w:pPr>
              <w:jc w:val="center"/>
              <w:rPr>
                <w:rFonts w:ascii="宋体" w:hAnsi="宋体" w:cs="宋体"/>
              </w:rPr>
            </w:pPr>
            <w:r>
              <w:rPr>
                <w:rFonts w:hint="eastAsia" w:ascii="宋体" w:hAnsi="宋体" w:cs="宋体"/>
              </w:rPr>
              <w:t>（既3个特征）</w:t>
            </w:r>
          </w:p>
        </w:tc>
        <w:tc>
          <w:tcPr>
            <w:tcW w:w="3142" w:type="pct"/>
          </w:tcPr>
          <w:p w14:paraId="0DF277B5">
            <w:pPr>
              <w:jc w:val="left"/>
              <w:rPr>
                <w:rFonts w:ascii="宋体" w:hAnsi="宋体" w:cs="宋体"/>
              </w:rPr>
            </w:pPr>
            <w:r>
              <w:rPr>
                <w:rFonts w:hint="eastAsia" w:ascii="宋体" w:hAnsi="宋体" w:cs="宋体"/>
              </w:rPr>
              <w:t>负债是指企业过去的交易或者事项形成的、预期会导致经济利益流出企业的</w:t>
            </w:r>
            <w:r>
              <w:rPr>
                <w:rFonts w:hint="eastAsia" w:ascii="宋体" w:hAnsi="宋体" w:cs="宋体"/>
                <w:color w:val="FF0000"/>
              </w:rPr>
              <w:t>现时义务</w:t>
            </w:r>
            <w:r>
              <w:rPr>
                <w:rFonts w:hint="eastAsia" w:ascii="宋体" w:hAnsi="宋体" w:cs="宋体"/>
              </w:rPr>
              <w:t xml:space="preserve">。 现时义务包括法定义务（法律法规合同形成）和推定义务（如售后保修）。 </w:t>
            </w:r>
          </w:p>
        </w:tc>
      </w:tr>
      <w:tr w14:paraId="284ED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pct"/>
            <w:vMerge w:val="continue"/>
          </w:tcPr>
          <w:p w14:paraId="45F709C3">
            <w:pPr>
              <w:overflowPunct w:val="0"/>
              <w:jc w:val="left"/>
              <w:rPr>
                <w:rFonts w:ascii="宋体" w:hAnsi="宋体" w:cs="宋体"/>
              </w:rPr>
            </w:pPr>
          </w:p>
        </w:tc>
        <w:tc>
          <w:tcPr>
            <w:tcW w:w="1288" w:type="pct"/>
          </w:tcPr>
          <w:p w14:paraId="1B7CC92B">
            <w:pPr>
              <w:jc w:val="center"/>
              <w:rPr>
                <w:rFonts w:ascii="宋体" w:hAnsi="宋体" w:cs="宋体"/>
              </w:rPr>
            </w:pPr>
            <w:r>
              <w:rPr>
                <w:rFonts w:hint="eastAsia" w:ascii="宋体" w:hAnsi="宋体" w:cs="宋体"/>
              </w:rPr>
              <w:t xml:space="preserve">确认条件 </w:t>
            </w:r>
          </w:p>
          <w:p w14:paraId="0A78376F">
            <w:pPr>
              <w:jc w:val="center"/>
              <w:rPr>
                <w:rFonts w:ascii="宋体" w:hAnsi="宋体" w:cs="宋体"/>
              </w:rPr>
            </w:pPr>
            <w:r>
              <w:rPr>
                <w:rFonts w:hint="eastAsia" w:ascii="宋体" w:hAnsi="宋体" w:cs="宋体"/>
              </w:rPr>
              <w:t>（上述3个＋下述2个）</w:t>
            </w:r>
          </w:p>
        </w:tc>
        <w:tc>
          <w:tcPr>
            <w:tcW w:w="3142" w:type="pct"/>
          </w:tcPr>
          <w:p w14:paraId="796D1540">
            <w:pPr>
              <w:jc w:val="left"/>
              <w:rPr>
                <w:rFonts w:ascii="宋体" w:hAnsi="宋体" w:cs="宋体"/>
              </w:rPr>
            </w:pPr>
            <w:r>
              <w:rPr>
                <w:rFonts w:hint="eastAsia" w:ascii="宋体" w:hAnsi="宋体" w:cs="宋体"/>
              </w:rPr>
              <w:t>1.与该义务有关的经济利益</w:t>
            </w:r>
            <w:r>
              <w:rPr>
                <w:rFonts w:hint="eastAsia" w:ascii="宋体" w:hAnsi="宋体" w:cs="宋体"/>
                <w:color w:val="FF0000"/>
              </w:rPr>
              <w:t>很可能</w:t>
            </w:r>
            <w:r>
              <w:rPr>
                <w:rFonts w:hint="eastAsia" w:ascii="宋体" w:hAnsi="宋体" w:cs="宋体"/>
              </w:rPr>
              <w:t>流出企业；</w:t>
            </w:r>
          </w:p>
          <w:p w14:paraId="20019A6A">
            <w:pPr>
              <w:jc w:val="left"/>
              <w:rPr>
                <w:rFonts w:ascii="宋体" w:hAnsi="宋体" w:cs="宋体"/>
              </w:rPr>
            </w:pPr>
            <w:r>
              <w:rPr>
                <w:rFonts w:hint="eastAsia" w:ascii="宋体" w:hAnsi="宋体" w:cs="宋体"/>
              </w:rPr>
              <w:t>2.未来流出的经济利益的金额能够</w:t>
            </w:r>
            <w:r>
              <w:rPr>
                <w:rFonts w:hint="eastAsia" w:ascii="宋体" w:hAnsi="宋体" w:cs="宋体"/>
                <w:color w:val="FF0000"/>
              </w:rPr>
              <w:t>可靠地计量。</w:t>
            </w:r>
          </w:p>
        </w:tc>
      </w:tr>
      <w:tr w14:paraId="12F4B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pct"/>
            <w:vMerge w:val="restart"/>
          </w:tcPr>
          <w:p w14:paraId="3C080C43">
            <w:pPr>
              <w:jc w:val="center"/>
              <w:rPr>
                <w:rFonts w:ascii="宋体" w:hAnsi="宋体" w:cs="宋体"/>
              </w:rPr>
            </w:pPr>
            <w:r>
              <w:rPr>
                <w:rFonts w:hint="eastAsia" w:ascii="宋体" w:hAnsi="宋体" w:cs="宋体"/>
              </w:rPr>
              <w:t>★所有者权益</w:t>
            </w:r>
          </w:p>
        </w:tc>
        <w:tc>
          <w:tcPr>
            <w:tcW w:w="1287" w:type="pct"/>
          </w:tcPr>
          <w:p w14:paraId="49D1810A">
            <w:pPr>
              <w:jc w:val="center"/>
              <w:rPr>
                <w:rFonts w:ascii="宋体" w:hAnsi="宋体" w:cs="宋体"/>
              </w:rPr>
            </w:pPr>
            <w:r>
              <w:rPr>
                <w:rFonts w:hint="eastAsia" w:ascii="宋体" w:hAnsi="宋体" w:cs="宋体"/>
              </w:rPr>
              <w:t>定义</w:t>
            </w:r>
          </w:p>
        </w:tc>
        <w:tc>
          <w:tcPr>
            <w:tcW w:w="3143" w:type="pct"/>
          </w:tcPr>
          <w:p w14:paraId="2EF042AD">
            <w:pPr>
              <w:jc w:val="left"/>
              <w:rPr>
                <w:rFonts w:ascii="宋体" w:hAnsi="宋体" w:cs="宋体"/>
              </w:rPr>
            </w:pPr>
            <w:r>
              <w:rPr>
                <w:rFonts w:hint="eastAsia" w:ascii="宋体" w:hAnsi="宋体" w:cs="宋体"/>
              </w:rPr>
              <w:t>所有者权益，是指企业资产扣除负债后，由所有者享有的剩余权益。所有者权益的确认主要依赖于其他会计要素，尤其是资产和负债的确认</w:t>
            </w:r>
          </w:p>
        </w:tc>
      </w:tr>
      <w:tr w14:paraId="28860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pct"/>
            <w:vMerge w:val="continue"/>
          </w:tcPr>
          <w:p w14:paraId="64C8C512">
            <w:pPr>
              <w:overflowPunct w:val="0"/>
              <w:jc w:val="left"/>
              <w:rPr>
                <w:rFonts w:ascii="宋体" w:hAnsi="宋体" w:cs="宋体"/>
              </w:rPr>
            </w:pPr>
          </w:p>
        </w:tc>
        <w:tc>
          <w:tcPr>
            <w:tcW w:w="1287" w:type="pct"/>
            <w:vMerge w:val="restart"/>
          </w:tcPr>
          <w:p w14:paraId="48301D08">
            <w:pPr>
              <w:jc w:val="center"/>
              <w:rPr>
                <w:rFonts w:ascii="宋体" w:hAnsi="宋体" w:cs="宋体"/>
              </w:rPr>
            </w:pPr>
            <w:r>
              <w:rPr>
                <w:rFonts w:hint="eastAsia" w:ascii="宋体" w:hAnsi="宋体" w:cs="宋体"/>
              </w:rPr>
              <w:t>来源构成</w:t>
            </w:r>
          </w:p>
        </w:tc>
        <w:tc>
          <w:tcPr>
            <w:tcW w:w="3143" w:type="pct"/>
          </w:tcPr>
          <w:p w14:paraId="52A5891B">
            <w:pPr>
              <w:jc w:val="left"/>
              <w:rPr>
                <w:rFonts w:ascii="宋体" w:hAnsi="宋体" w:cs="宋体"/>
              </w:rPr>
            </w:pPr>
            <w:r>
              <w:rPr>
                <w:rFonts w:hint="eastAsia" w:ascii="宋体" w:hAnsi="宋体" w:cs="宋体"/>
              </w:rPr>
              <w:t>所有者投入的资本：实收资本、资本公积—股本（资本）溢价</w:t>
            </w:r>
          </w:p>
        </w:tc>
      </w:tr>
      <w:tr w14:paraId="7A2A7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pct"/>
            <w:vMerge w:val="continue"/>
          </w:tcPr>
          <w:p w14:paraId="0B259DCD">
            <w:pPr>
              <w:overflowPunct w:val="0"/>
              <w:jc w:val="left"/>
              <w:rPr>
                <w:rFonts w:ascii="宋体" w:hAnsi="宋体" w:cs="宋体"/>
              </w:rPr>
            </w:pPr>
          </w:p>
        </w:tc>
        <w:tc>
          <w:tcPr>
            <w:tcW w:w="1287" w:type="pct"/>
            <w:vMerge w:val="continue"/>
          </w:tcPr>
          <w:p w14:paraId="35DE4E20">
            <w:pPr>
              <w:overflowPunct w:val="0"/>
              <w:jc w:val="left"/>
              <w:rPr>
                <w:rFonts w:ascii="宋体" w:hAnsi="宋体" w:cs="宋体"/>
              </w:rPr>
            </w:pPr>
          </w:p>
        </w:tc>
        <w:tc>
          <w:tcPr>
            <w:tcW w:w="3143" w:type="pct"/>
          </w:tcPr>
          <w:p w14:paraId="4517D15B">
            <w:pPr>
              <w:jc w:val="left"/>
              <w:rPr>
                <w:rFonts w:ascii="宋体" w:hAnsi="宋体" w:cs="宋体"/>
              </w:rPr>
            </w:pPr>
            <w:r>
              <w:rPr>
                <w:rFonts w:hint="eastAsia" w:ascii="宋体" w:hAnsi="宋体" w:cs="宋体"/>
              </w:rPr>
              <w:t>直接计入所有者权益的利得和损失：其他综合收益</w:t>
            </w:r>
          </w:p>
        </w:tc>
      </w:tr>
      <w:tr w14:paraId="20B0D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pct"/>
            <w:vMerge w:val="continue"/>
          </w:tcPr>
          <w:p w14:paraId="3E47244E">
            <w:pPr>
              <w:overflowPunct w:val="0"/>
              <w:jc w:val="left"/>
              <w:rPr>
                <w:rFonts w:ascii="宋体" w:hAnsi="宋体" w:cs="宋体"/>
              </w:rPr>
            </w:pPr>
          </w:p>
        </w:tc>
        <w:tc>
          <w:tcPr>
            <w:tcW w:w="1287" w:type="pct"/>
            <w:vMerge w:val="continue"/>
          </w:tcPr>
          <w:p w14:paraId="748FD0DB">
            <w:pPr>
              <w:overflowPunct w:val="0"/>
              <w:jc w:val="left"/>
              <w:rPr>
                <w:rFonts w:ascii="宋体" w:hAnsi="宋体" w:cs="宋体"/>
              </w:rPr>
            </w:pPr>
          </w:p>
        </w:tc>
        <w:tc>
          <w:tcPr>
            <w:tcW w:w="3143" w:type="pct"/>
          </w:tcPr>
          <w:p w14:paraId="1AD41730">
            <w:pPr>
              <w:jc w:val="left"/>
              <w:rPr>
                <w:rFonts w:ascii="宋体" w:hAnsi="宋体" w:cs="宋体"/>
              </w:rPr>
            </w:pPr>
            <w:r>
              <w:rPr>
                <w:rFonts w:hint="eastAsia" w:ascii="宋体" w:hAnsi="宋体" w:cs="宋体"/>
              </w:rPr>
              <w:t>留存收益：盈余公积、未分配利润</w:t>
            </w:r>
          </w:p>
        </w:tc>
      </w:tr>
    </w:tbl>
    <w:p w14:paraId="6D09541C">
      <w:pPr>
        <w:jc w:val="left"/>
        <w:rPr>
          <w:rFonts w:ascii="宋体" w:hAnsi="宋体" w:cs="宋体"/>
        </w:rPr>
      </w:pPr>
      <w:r>
        <w:rPr>
          <w:rFonts w:hint="eastAsia" w:ascii="宋体" w:hAnsi="宋体" w:cs="宋体"/>
          <w:color w:val="FF0000"/>
        </w:rPr>
        <w:t>【考点】</w:t>
      </w:r>
      <w:r>
        <w:rPr>
          <w:rFonts w:hint="eastAsia" w:ascii="宋体" w:hAnsi="宋体" w:cs="宋体"/>
        </w:rPr>
        <w:t>企业经营成果会计要素及其确认条件</w:t>
      </w:r>
    </w:p>
    <w:p w14:paraId="54B6D998">
      <w:pPr>
        <w:jc w:val="left"/>
        <w:rPr>
          <w:rFonts w:ascii="宋体" w:hAnsi="宋体" w:cs="宋体"/>
        </w:rPr>
      </w:pPr>
      <w:r>
        <w:rPr>
          <w:rFonts w:hint="eastAsia" w:ascii="宋体" w:hAnsi="宋体" w:cs="宋体"/>
        </w:rPr>
        <w:t>收入－费用＋利得－损失＝利润</w:t>
      </w:r>
    </w:p>
    <w:p w14:paraId="21923411">
      <w:pPr>
        <w:jc w:val="left"/>
        <w:rPr>
          <w:rFonts w:ascii="宋体" w:hAnsi="宋体" w:cs="宋体"/>
        </w:rPr>
      </w:pPr>
      <w:r>
        <w:rPr>
          <w:rFonts w:hint="eastAsia" w:ascii="宋体" w:hAnsi="宋体" w:cs="宋体"/>
        </w:rPr>
        <w:t>（一）收入</w:t>
      </w:r>
    </w:p>
    <w:p w14:paraId="253B5097">
      <w:pPr>
        <w:jc w:val="left"/>
        <w:rPr>
          <w:rFonts w:hint="eastAsia" w:ascii="宋体" w:hAnsi="宋体" w:cs="宋体"/>
        </w:rPr>
      </w:pPr>
      <w:r>
        <w:rPr>
          <w:rFonts w:ascii="宋体" w:hAnsi="宋体" w:cs="宋体"/>
        </w:rPr>
        <w:drawing>
          <wp:inline distT="0" distB="0" distL="0" distR="0">
            <wp:extent cx="4097655" cy="1131570"/>
            <wp:effectExtent l="0" t="0" r="4445" b="0"/>
            <wp:docPr id="153543120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431202" name="图片 1"/>
                    <pic:cNvPicPr>
                      <a:picLocks noChangeAspect="1"/>
                    </pic:cNvPicPr>
                  </pic:nvPicPr>
                  <pic:blipFill>
                    <a:blip r:embed="rId4" cstate="print">
                      <a:extLst>
                        <a:ext uri="{BEBA8EAE-BF5A-486C-A8C5-ECC9F3942E4B}">
                          <a14:imgProps xmlns:a14="http://schemas.microsoft.com/office/drawing/2010/main">
                            <a14:imgLayer r:embed="rId5">
                              <a14:imgEffect>
                                <a14:brightnessContrast bright="-99000"/>
                              </a14:imgEffect>
                            </a14:imgLayer>
                          </a14:imgProps>
                        </a:ext>
                        <a:ext uri="{28A0092B-C50C-407E-A947-70E740481C1C}">
                          <a14:useLocalDpi xmlns:a14="http://schemas.microsoft.com/office/drawing/2010/main" val="0"/>
                        </a:ext>
                      </a:extLst>
                    </a:blip>
                    <a:stretch>
                      <a:fillRect/>
                    </a:stretch>
                  </pic:blipFill>
                  <pic:spPr>
                    <a:xfrm>
                      <a:off x="0" y="0"/>
                      <a:ext cx="4170284" cy="1152061"/>
                    </a:xfrm>
                    <a:prstGeom prst="rect">
                      <a:avLst/>
                    </a:prstGeom>
                  </pic:spPr>
                </pic:pic>
              </a:graphicData>
            </a:graphic>
          </wp:inline>
        </w:drawing>
      </w:r>
    </w:p>
    <w:p w14:paraId="5448F1B1">
      <w:pPr>
        <w:jc w:val="left"/>
        <w:rPr>
          <w:rFonts w:ascii="宋体" w:hAnsi="宋体" w:cs="宋体"/>
        </w:rPr>
      </w:pPr>
      <w:r>
        <w:rPr>
          <w:rFonts w:hint="eastAsia" w:ascii="宋体" w:hAnsi="宋体" w:cs="宋体"/>
        </w:rPr>
        <w:t>（二）费用</w:t>
      </w:r>
    </w:p>
    <w:p w14:paraId="7BE7CB13">
      <w:pPr>
        <w:jc w:val="left"/>
        <w:rPr>
          <w:rFonts w:ascii="宋体" w:hAnsi="宋体" w:cs="宋体"/>
        </w:rPr>
      </w:pPr>
      <w:r>
        <w:rPr>
          <w:rFonts w:hint="eastAsia" w:ascii="宋体" w:hAnsi="宋体" w:cs="宋体"/>
        </w:rPr>
        <w:t xml:space="preserve">是指企业在日常活动中发生的、会导致所有者权益减少、与向所有者分配利润无关的经济利益的总流出。 </w:t>
      </w:r>
    </w:p>
    <w:p w14:paraId="6D2FE4C4">
      <w:pPr>
        <w:jc w:val="left"/>
        <w:rPr>
          <w:rFonts w:ascii="宋体" w:hAnsi="宋体" w:cs="宋体"/>
        </w:rPr>
      </w:pPr>
      <w:r>
        <w:rPr>
          <w:rFonts w:hint="eastAsia" w:ascii="宋体" w:hAnsi="宋体" w:cs="宋体"/>
        </w:rPr>
        <w:t xml:space="preserve">费用的确认条件： </w:t>
      </w:r>
    </w:p>
    <w:p w14:paraId="2AD51A35">
      <w:pPr>
        <w:jc w:val="left"/>
        <w:rPr>
          <w:rFonts w:ascii="宋体" w:hAnsi="宋体" w:cs="宋体"/>
        </w:rPr>
      </w:pPr>
      <w:r>
        <w:rPr>
          <w:rFonts w:hint="eastAsia" w:ascii="宋体" w:hAnsi="宋体" w:cs="宋体"/>
        </w:rPr>
        <w:t xml:space="preserve">①与费用相关的经济利益应当很可能流出企业； </w:t>
      </w:r>
    </w:p>
    <w:p w14:paraId="51119890">
      <w:pPr>
        <w:jc w:val="left"/>
        <w:rPr>
          <w:rFonts w:ascii="宋体" w:hAnsi="宋体" w:cs="宋体"/>
        </w:rPr>
      </w:pPr>
      <w:r>
        <w:rPr>
          <w:rFonts w:hint="eastAsia" w:ascii="宋体" w:hAnsi="宋体" w:cs="宋体"/>
        </w:rPr>
        <w:t xml:space="preserve">②会导致企业资产减少或者负债增加； </w:t>
      </w:r>
    </w:p>
    <w:p w14:paraId="18BC282B">
      <w:pPr>
        <w:jc w:val="left"/>
        <w:rPr>
          <w:rFonts w:ascii="宋体" w:hAnsi="宋体" w:cs="宋体"/>
        </w:rPr>
      </w:pPr>
      <w:r>
        <w:rPr>
          <w:rFonts w:hint="eastAsia" w:ascii="宋体" w:hAnsi="宋体" w:cs="宋体"/>
        </w:rPr>
        <w:t>③流出额能够可靠计量。</w:t>
      </w:r>
    </w:p>
    <w:p w14:paraId="1CAD19C9">
      <w:pPr>
        <w:jc w:val="left"/>
        <w:rPr>
          <w:rFonts w:ascii="宋体" w:hAnsi="宋体" w:cs="宋体"/>
        </w:rPr>
      </w:pPr>
      <w:r>
        <w:rPr>
          <w:rFonts w:hint="eastAsia" w:ascii="宋体" w:hAnsi="宋体" w:cs="宋体"/>
        </w:rPr>
        <w:t>（三）利润</w:t>
      </w:r>
    </w:p>
    <w:p w14:paraId="40FFAFE3">
      <w:pPr>
        <w:jc w:val="left"/>
        <w:rPr>
          <w:rFonts w:ascii="宋体" w:hAnsi="宋体" w:cs="宋体"/>
        </w:rPr>
      </w:pPr>
      <w:r>
        <w:rPr>
          <w:rFonts w:hint="eastAsia" w:ascii="宋体" w:hAnsi="宋体" w:cs="宋体"/>
        </w:rPr>
        <w:t>利润是指企业在一定会计期间的经营成果。</w:t>
      </w:r>
    </w:p>
    <w:p w14:paraId="68F701E8">
      <w:pPr>
        <w:jc w:val="left"/>
        <w:rPr>
          <w:rFonts w:ascii="宋体" w:hAnsi="宋体" w:cs="宋体"/>
        </w:rPr>
      </w:pPr>
      <w:r>
        <w:rPr>
          <w:rFonts w:hint="eastAsia" w:ascii="宋体" w:hAnsi="宋体" w:cs="宋体"/>
        </w:rPr>
        <w:t xml:space="preserve">收入－费用＋利得－损失＝利润 </w:t>
      </w:r>
    </w:p>
    <w:p w14:paraId="1B6EE448">
      <w:pPr>
        <w:jc w:val="left"/>
        <w:rPr>
          <w:rFonts w:ascii="宋体" w:hAnsi="宋体" w:cs="宋体"/>
        </w:rPr>
      </w:pPr>
      <w:r>
        <w:rPr>
          <w:rFonts w:hint="eastAsia" w:ascii="宋体" w:hAnsi="宋体" w:cs="宋体"/>
        </w:rPr>
        <w:t>链接：</w:t>
      </w:r>
    </w:p>
    <w:p w14:paraId="6B9A87F2">
      <w:pPr>
        <w:jc w:val="left"/>
        <w:rPr>
          <w:rFonts w:ascii="宋体" w:hAnsi="宋体" w:cs="宋体"/>
        </w:rPr>
      </w:pPr>
      <w:r>
        <w:rPr>
          <w:rFonts w:hint="eastAsia" w:ascii="宋体" w:hAnsi="宋体" w:cs="宋体"/>
        </w:rPr>
        <w:t>日常活动：收入（主营业务收入、其他业务收入）－费用</w:t>
      </w:r>
    </w:p>
    <w:p w14:paraId="169056A4">
      <w:pPr>
        <w:jc w:val="left"/>
        <w:rPr>
          <w:rFonts w:ascii="宋体" w:hAnsi="宋体" w:cs="宋体"/>
        </w:rPr>
      </w:pPr>
      <w:r>
        <w:rPr>
          <w:rFonts w:hint="eastAsia" w:ascii="宋体" w:hAnsi="宋体" w:cs="宋体"/>
        </w:rPr>
        <w:t>非日常活动：利得（营业外收入）－损失（营业外支出）</w:t>
      </w:r>
    </w:p>
    <w:p w14:paraId="3E80DD97">
      <w:pPr>
        <w:jc w:val="left"/>
        <w:rPr>
          <w:rFonts w:ascii="宋体" w:hAnsi="宋体" w:cs="宋体"/>
        </w:rPr>
      </w:pPr>
      <w:r>
        <w:rPr>
          <w:rFonts w:hint="eastAsia" w:ascii="宋体" w:hAnsi="宋体" w:cs="宋体"/>
        </w:rPr>
        <w:t>资产处置损益（贷方为利得、借方为损失）</w:t>
      </w:r>
    </w:p>
    <w:p w14:paraId="6F8E0433">
      <w:pPr>
        <w:jc w:val="left"/>
        <w:rPr>
          <w:rFonts w:ascii="宋体" w:hAnsi="宋体" w:cs="宋体"/>
        </w:rPr>
      </w:pPr>
      <w:r>
        <w:rPr>
          <w:rFonts w:hint="eastAsia" w:ascii="宋体" w:hAnsi="宋体" w:cs="宋体"/>
        </w:rPr>
        <w:t xml:space="preserve">【注意】营业外收入不属于“收入”，营业外支出不属于“费用”。 </w:t>
      </w:r>
    </w:p>
    <w:p w14:paraId="6124C9E6">
      <w:pPr>
        <w:jc w:val="left"/>
        <w:rPr>
          <w:rFonts w:ascii="宋体" w:hAnsi="宋体" w:cs="宋体"/>
        </w:rPr>
      </w:pPr>
      <w:r>
        <w:rPr>
          <w:rFonts w:hint="eastAsia" w:ascii="宋体" w:hAnsi="宋体" w:cs="宋体"/>
          <w:color w:val="FF0000"/>
        </w:rPr>
        <w:t>【考点】</w:t>
      </w:r>
      <w:r>
        <w:rPr>
          <w:rFonts w:hint="eastAsia" w:ascii="宋体" w:hAnsi="宋体" w:cs="宋体"/>
        </w:rPr>
        <w:t xml:space="preserve">会计信息质量要求 </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0"/>
        <w:gridCol w:w="7968"/>
      </w:tblGrid>
      <w:tr w14:paraId="7C936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pct"/>
          </w:tcPr>
          <w:p w14:paraId="7AA273CD">
            <w:pPr>
              <w:jc w:val="center"/>
              <w:rPr>
                <w:rFonts w:ascii="宋体" w:hAnsi="宋体" w:cs="宋体"/>
              </w:rPr>
            </w:pPr>
            <w:r>
              <w:rPr>
                <w:rFonts w:hint="eastAsia" w:ascii="宋体" w:hAnsi="宋体" w:cs="宋体"/>
              </w:rPr>
              <w:t>内容</w:t>
            </w:r>
          </w:p>
        </w:tc>
        <w:tc>
          <w:tcPr>
            <w:tcW w:w="3930" w:type="pct"/>
          </w:tcPr>
          <w:p w14:paraId="4DBD93AF">
            <w:pPr>
              <w:jc w:val="left"/>
              <w:rPr>
                <w:rFonts w:ascii="宋体" w:hAnsi="宋体" w:cs="宋体"/>
              </w:rPr>
            </w:pPr>
            <w:r>
              <w:rPr>
                <w:rFonts w:hint="eastAsia" w:ascii="宋体" w:hAnsi="宋体" w:cs="宋体"/>
              </w:rPr>
              <w:t>包括可靠性、相关性、可理解性、可比性、实质重于形式、重要性、谨慎性和及时性等。</w:t>
            </w:r>
          </w:p>
        </w:tc>
      </w:tr>
      <w:tr w14:paraId="11B3E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pct"/>
          </w:tcPr>
          <w:p w14:paraId="143F9D94">
            <w:pPr>
              <w:jc w:val="center"/>
              <w:rPr>
                <w:rFonts w:ascii="宋体" w:hAnsi="宋体" w:cs="宋体"/>
              </w:rPr>
            </w:pPr>
            <w:r>
              <w:rPr>
                <w:rFonts w:hint="eastAsia" w:ascii="宋体" w:hAnsi="宋体" w:cs="宋体"/>
              </w:rPr>
              <w:t>可靠性</w:t>
            </w:r>
          </w:p>
        </w:tc>
        <w:tc>
          <w:tcPr>
            <w:tcW w:w="3930" w:type="pct"/>
          </w:tcPr>
          <w:p w14:paraId="39194E25">
            <w:pPr>
              <w:jc w:val="left"/>
              <w:rPr>
                <w:rFonts w:ascii="宋体" w:hAnsi="宋体" w:cs="宋体"/>
              </w:rPr>
            </w:pPr>
            <w:r>
              <w:rPr>
                <w:rFonts w:hint="eastAsia" w:ascii="宋体" w:hAnsi="宋体" w:cs="宋体"/>
              </w:rPr>
              <w:t>可靠性要求企业应当以</w:t>
            </w:r>
            <w:r>
              <w:rPr>
                <w:rFonts w:hint="eastAsia" w:ascii="宋体" w:hAnsi="宋体" w:cs="宋体"/>
                <w:color w:val="FF0000"/>
              </w:rPr>
              <w:t>实际发生</w:t>
            </w:r>
            <w:r>
              <w:rPr>
                <w:rFonts w:hint="eastAsia" w:ascii="宋体" w:hAnsi="宋体" w:cs="宋体"/>
              </w:rPr>
              <w:t>的交易或者事项为依据进行会计确认、计量和报告，保证会计信息</w:t>
            </w:r>
            <w:r>
              <w:rPr>
                <w:rFonts w:hint="eastAsia" w:ascii="宋体" w:hAnsi="宋体" w:cs="宋体"/>
                <w:color w:val="FF0000"/>
              </w:rPr>
              <w:t>真实可靠、内容完整。</w:t>
            </w:r>
          </w:p>
        </w:tc>
      </w:tr>
      <w:tr w14:paraId="6DBDE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pct"/>
          </w:tcPr>
          <w:p w14:paraId="163E8DDF">
            <w:pPr>
              <w:jc w:val="center"/>
              <w:rPr>
                <w:rFonts w:ascii="宋体" w:hAnsi="宋体" w:cs="宋体"/>
              </w:rPr>
            </w:pPr>
            <w:r>
              <w:rPr>
                <w:rFonts w:hint="eastAsia" w:ascii="宋体" w:hAnsi="宋体" w:cs="宋体"/>
              </w:rPr>
              <w:t>相关性 （有用性）</w:t>
            </w:r>
          </w:p>
        </w:tc>
        <w:tc>
          <w:tcPr>
            <w:tcW w:w="3930" w:type="pct"/>
          </w:tcPr>
          <w:p w14:paraId="369A45F2">
            <w:pPr>
              <w:jc w:val="left"/>
              <w:rPr>
                <w:rFonts w:ascii="宋体" w:hAnsi="宋体" w:cs="宋体"/>
              </w:rPr>
            </w:pPr>
            <w:r>
              <w:rPr>
                <w:rFonts w:hint="eastAsia" w:ascii="宋体" w:hAnsi="宋体" w:cs="宋体"/>
              </w:rPr>
              <w:t>会计信息应当与投资者等财务报告使用者的经济决策需要相关。</w:t>
            </w:r>
          </w:p>
        </w:tc>
      </w:tr>
      <w:tr w14:paraId="6C791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pct"/>
          </w:tcPr>
          <w:p w14:paraId="47BB33CE">
            <w:pPr>
              <w:jc w:val="center"/>
              <w:rPr>
                <w:rFonts w:ascii="宋体" w:hAnsi="宋体" w:cs="宋体"/>
              </w:rPr>
            </w:pPr>
            <w:r>
              <w:rPr>
                <w:rFonts w:hint="eastAsia" w:ascii="宋体" w:hAnsi="宋体" w:cs="宋体"/>
              </w:rPr>
              <w:t>可理解性</w:t>
            </w:r>
          </w:p>
        </w:tc>
        <w:tc>
          <w:tcPr>
            <w:tcW w:w="3930" w:type="pct"/>
          </w:tcPr>
          <w:p w14:paraId="74A7DFD7">
            <w:pPr>
              <w:jc w:val="left"/>
              <w:rPr>
                <w:rFonts w:ascii="宋体" w:hAnsi="宋体" w:cs="宋体"/>
              </w:rPr>
            </w:pPr>
            <w:r>
              <w:rPr>
                <w:rFonts w:hint="eastAsia" w:ascii="宋体" w:hAnsi="宋体" w:cs="宋体"/>
              </w:rPr>
              <w:t>可理解性要求企业提供的会计信息应当</w:t>
            </w:r>
            <w:r>
              <w:rPr>
                <w:rFonts w:hint="eastAsia" w:ascii="宋体" w:hAnsi="宋体" w:cs="宋体"/>
                <w:color w:val="FF0000"/>
              </w:rPr>
              <w:t>清晰明了</w:t>
            </w:r>
            <w:r>
              <w:rPr>
                <w:rFonts w:hint="eastAsia" w:ascii="宋体" w:hAnsi="宋体" w:cs="宋体"/>
              </w:rPr>
              <w:t>，便于投资人等财务报告使用者理解和使用。</w:t>
            </w:r>
          </w:p>
        </w:tc>
      </w:tr>
      <w:tr w14:paraId="0BC0C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pct"/>
            <w:vMerge w:val="restart"/>
          </w:tcPr>
          <w:p w14:paraId="2CC444B3">
            <w:pPr>
              <w:jc w:val="center"/>
              <w:rPr>
                <w:rFonts w:ascii="宋体" w:hAnsi="宋体" w:cs="宋体"/>
              </w:rPr>
            </w:pPr>
            <w:r>
              <w:rPr>
                <w:rFonts w:hint="eastAsia" w:ascii="宋体" w:hAnsi="宋体" w:cs="宋体"/>
              </w:rPr>
              <w:t xml:space="preserve">可比性 </w:t>
            </w:r>
          </w:p>
        </w:tc>
        <w:tc>
          <w:tcPr>
            <w:tcW w:w="3930" w:type="pct"/>
          </w:tcPr>
          <w:p w14:paraId="22998600">
            <w:pPr>
              <w:jc w:val="left"/>
              <w:rPr>
                <w:rFonts w:ascii="宋体" w:hAnsi="宋体" w:cs="宋体"/>
              </w:rPr>
            </w:pPr>
            <w:r>
              <w:rPr>
                <w:rFonts w:hint="eastAsia" w:ascii="宋体" w:hAnsi="宋体" w:cs="宋体"/>
              </w:rPr>
              <w:t>纵向可比：</w:t>
            </w:r>
            <w:r>
              <w:rPr>
                <w:rFonts w:hint="eastAsia" w:ascii="宋体" w:hAnsi="宋体" w:cs="宋体"/>
                <w:color w:val="FF0000"/>
              </w:rPr>
              <w:t xml:space="preserve">同一企业不同时期 </w:t>
            </w:r>
          </w:p>
        </w:tc>
      </w:tr>
      <w:tr w14:paraId="2CEA5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pct"/>
            <w:vMerge w:val="continue"/>
          </w:tcPr>
          <w:p w14:paraId="6CF60F70">
            <w:pPr>
              <w:jc w:val="left"/>
              <w:rPr>
                <w:rFonts w:ascii="宋体" w:hAnsi="宋体" w:cs="宋体"/>
              </w:rPr>
            </w:pPr>
          </w:p>
        </w:tc>
        <w:tc>
          <w:tcPr>
            <w:tcW w:w="3930" w:type="pct"/>
          </w:tcPr>
          <w:p w14:paraId="5A366A67">
            <w:pPr>
              <w:jc w:val="left"/>
              <w:rPr>
                <w:rFonts w:ascii="宋体" w:hAnsi="宋体" w:cs="宋体"/>
              </w:rPr>
            </w:pPr>
            <w:r>
              <w:rPr>
                <w:rFonts w:hint="eastAsia" w:ascii="宋体" w:hAnsi="宋体" w:cs="宋体"/>
              </w:rPr>
              <w:t>横向可比：</w:t>
            </w:r>
            <w:r>
              <w:rPr>
                <w:rFonts w:hint="eastAsia" w:ascii="宋体" w:hAnsi="宋体" w:cs="宋体"/>
                <w:color w:val="FF0000"/>
              </w:rPr>
              <w:t>同一时期不同企业</w:t>
            </w:r>
          </w:p>
        </w:tc>
      </w:tr>
    </w:tbl>
    <w:p w14:paraId="344403B6">
      <w:pPr>
        <w:overflowPunct w:val="0"/>
        <w:jc w:val="left"/>
        <w:rPr>
          <w:rFonts w:ascii="宋体" w:hAnsi="宋体" w:cs="宋体"/>
        </w:rPr>
      </w:pP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0"/>
        <w:gridCol w:w="7968"/>
      </w:tblGrid>
      <w:tr w14:paraId="405B7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pct"/>
          </w:tcPr>
          <w:p w14:paraId="0E05113D">
            <w:pPr>
              <w:jc w:val="center"/>
              <w:rPr>
                <w:rFonts w:ascii="宋体" w:hAnsi="宋体" w:cs="宋体"/>
              </w:rPr>
            </w:pPr>
            <w:r>
              <w:rPr>
                <w:rFonts w:hint="eastAsia" w:ascii="宋体" w:hAnsi="宋体" w:cs="宋体"/>
                <w:color w:val="FF0000"/>
              </w:rPr>
              <w:t>★</w:t>
            </w:r>
            <w:r>
              <w:rPr>
                <w:rFonts w:hint="eastAsia" w:ascii="宋体" w:hAnsi="宋体" w:cs="宋体"/>
              </w:rPr>
              <w:t xml:space="preserve">实质重于形式 </w:t>
            </w:r>
          </w:p>
        </w:tc>
        <w:tc>
          <w:tcPr>
            <w:tcW w:w="3930" w:type="pct"/>
          </w:tcPr>
          <w:p w14:paraId="66FC6667">
            <w:pPr>
              <w:jc w:val="left"/>
              <w:rPr>
                <w:rFonts w:ascii="宋体" w:hAnsi="宋体" w:cs="宋体"/>
              </w:rPr>
            </w:pPr>
            <w:r>
              <w:rPr>
                <w:rFonts w:hint="eastAsia" w:ascii="宋体" w:hAnsi="宋体" w:cs="宋体"/>
              </w:rPr>
              <w:t>案例：1.企业已经售出商品，</w:t>
            </w:r>
            <w:r>
              <w:rPr>
                <w:rFonts w:hint="eastAsia" w:ascii="宋体" w:hAnsi="宋体" w:cs="宋体"/>
                <w:color w:val="FF0000"/>
              </w:rPr>
              <w:t>客户已经取得对该商品的控制权</w:t>
            </w:r>
            <w:r>
              <w:rPr>
                <w:rFonts w:hint="eastAsia" w:ascii="宋体" w:hAnsi="宋体" w:cs="宋体"/>
              </w:rPr>
              <w:t>，但企业为确保到期收回货款而暂时保留商品的法定所有权时，企业应当确认相应的收入。（表面未转移控制权实质上已转移）</w:t>
            </w:r>
          </w:p>
          <w:p w14:paraId="5B6413F9">
            <w:pPr>
              <w:jc w:val="left"/>
              <w:rPr>
                <w:rFonts w:ascii="宋体" w:hAnsi="宋体" w:cs="宋体"/>
              </w:rPr>
            </w:pPr>
            <w:r>
              <w:rPr>
                <w:rFonts w:hint="eastAsia" w:ascii="宋体" w:hAnsi="宋体" w:cs="宋体"/>
              </w:rPr>
              <w:t>2.投资者虽然只拥有被投资企业50%或50%以下股份，但是它通过协议等方式足以主导被投资方相关活动的表决权，从而拥有对被投资方的权力（表面不控制实质控制）。</w:t>
            </w:r>
          </w:p>
          <w:p w14:paraId="58FE92A2">
            <w:pPr>
              <w:jc w:val="left"/>
              <w:rPr>
                <w:rFonts w:ascii="宋体" w:hAnsi="宋体" w:cs="宋体"/>
              </w:rPr>
            </w:pPr>
            <w:r>
              <w:rPr>
                <w:rFonts w:hint="eastAsia" w:ascii="宋体" w:hAnsi="宋体" w:cs="宋体"/>
              </w:rPr>
              <w:t>3.关联交易中，交易价格有可能不公允，虽然这个交易的法律形式没有问题，但从交易的实质来看，可能会出现关联方之间转移利益或操纵利润的行为，损害会计信息质量。</w:t>
            </w:r>
          </w:p>
        </w:tc>
      </w:tr>
    </w:tbl>
    <w:p w14:paraId="2EA3A204">
      <w:pPr>
        <w:overflowPunct w:val="0"/>
        <w:jc w:val="left"/>
        <w:rPr>
          <w:rFonts w:ascii="宋体" w:hAnsi="宋体" w:cs="宋体"/>
        </w:rPr>
      </w:pP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0"/>
        <w:gridCol w:w="7968"/>
      </w:tblGrid>
      <w:tr w14:paraId="48EC9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pct"/>
          </w:tcPr>
          <w:p w14:paraId="7F0853DB">
            <w:pPr>
              <w:jc w:val="center"/>
              <w:rPr>
                <w:rFonts w:ascii="宋体" w:hAnsi="宋体" w:cs="宋体"/>
              </w:rPr>
            </w:pPr>
            <w:r>
              <w:rPr>
                <w:rFonts w:hint="eastAsia" w:ascii="宋体" w:hAnsi="宋体" w:cs="宋体"/>
              </w:rPr>
              <w:t>重要性</w:t>
            </w:r>
          </w:p>
        </w:tc>
        <w:tc>
          <w:tcPr>
            <w:tcW w:w="3930" w:type="pct"/>
          </w:tcPr>
          <w:p w14:paraId="62C5B641">
            <w:pPr>
              <w:jc w:val="left"/>
              <w:rPr>
                <w:rFonts w:ascii="宋体" w:hAnsi="宋体" w:cs="宋体"/>
              </w:rPr>
            </w:pPr>
            <w:r>
              <w:rPr>
                <w:rFonts w:hint="eastAsia" w:ascii="宋体" w:hAnsi="宋体" w:cs="宋体"/>
              </w:rPr>
              <w:t>重要性要求企业提供的会计信息应当反映与企业财务状况、经营成果和现金流量有关的所有重要交易或者事项。 从</w:t>
            </w:r>
            <w:r>
              <w:rPr>
                <w:rFonts w:hint="eastAsia" w:ascii="宋体" w:hAnsi="宋体" w:cs="宋体"/>
                <w:color w:val="FF0000"/>
              </w:rPr>
              <w:t>项目的性质和金额大小</w:t>
            </w:r>
            <w:r>
              <w:rPr>
                <w:rFonts w:hint="eastAsia" w:ascii="宋体" w:hAnsi="宋体" w:cs="宋体"/>
              </w:rPr>
              <w:t xml:space="preserve">判断。 </w:t>
            </w:r>
          </w:p>
        </w:tc>
      </w:tr>
    </w:tbl>
    <w:p w14:paraId="387C1663">
      <w:pPr>
        <w:overflowPunct w:val="0"/>
        <w:jc w:val="left"/>
        <w:rPr>
          <w:rFonts w:ascii="宋体" w:hAnsi="宋体" w:cs="宋体"/>
        </w:rPr>
      </w:pP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0"/>
        <w:gridCol w:w="7968"/>
      </w:tblGrid>
      <w:tr w14:paraId="444D9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pct"/>
            <w:vMerge w:val="restart"/>
          </w:tcPr>
          <w:p w14:paraId="3E1B9BC2">
            <w:pPr>
              <w:jc w:val="center"/>
              <w:rPr>
                <w:rFonts w:ascii="宋体" w:hAnsi="宋体" w:cs="宋体"/>
              </w:rPr>
            </w:pPr>
            <w:r>
              <w:rPr>
                <w:rFonts w:hint="eastAsia" w:ascii="宋体" w:hAnsi="宋体" w:cs="宋体"/>
              </w:rPr>
              <w:t>★谨慎性</w:t>
            </w:r>
          </w:p>
        </w:tc>
        <w:tc>
          <w:tcPr>
            <w:tcW w:w="3930" w:type="pct"/>
          </w:tcPr>
          <w:p w14:paraId="17F933E4">
            <w:pPr>
              <w:jc w:val="left"/>
              <w:rPr>
                <w:rFonts w:ascii="宋体" w:hAnsi="宋体" w:cs="宋体"/>
              </w:rPr>
            </w:pPr>
            <w:r>
              <w:rPr>
                <w:rFonts w:hint="eastAsia" w:ascii="宋体" w:hAnsi="宋体" w:cs="宋体"/>
                <w:color w:val="FF0000"/>
              </w:rPr>
              <w:t xml:space="preserve">不应高估资产或者收益，不应低估负债或者费用。 </w:t>
            </w:r>
          </w:p>
        </w:tc>
      </w:tr>
      <w:tr w14:paraId="7629F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pct"/>
            <w:vMerge w:val="continue"/>
          </w:tcPr>
          <w:p w14:paraId="0BA5C77E">
            <w:pPr>
              <w:overflowPunct w:val="0"/>
              <w:jc w:val="center"/>
              <w:rPr>
                <w:rFonts w:ascii="宋体" w:hAnsi="宋体" w:cs="宋体"/>
              </w:rPr>
            </w:pPr>
          </w:p>
        </w:tc>
        <w:tc>
          <w:tcPr>
            <w:tcW w:w="3930" w:type="pct"/>
          </w:tcPr>
          <w:p w14:paraId="7DA67BDF">
            <w:pPr>
              <w:jc w:val="left"/>
              <w:rPr>
                <w:rFonts w:ascii="宋体" w:hAnsi="宋体" w:cs="宋体"/>
              </w:rPr>
            </w:pPr>
            <w:r>
              <w:rPr>
                <w:rFonts w:hint="eastAsia" w:ascii="宋体" w:hAnsi="宋体" w:cs="宋体"/>
              </w:rPr>
              <w:t>案例：</w:t>
            </w:r>
          </w:p>
          <w:p w14:paraId="7FB0D516">
            <w:pPr>
              <w:jc w:val="left"/>
              <w:rPr>
                <w:rFonts w:ascii="宋体" w:hAnsi="宋体" w:cs="宋体"/>
              </w:rPr>
            </w:pPr>
            <w:r>
              <w:rPr>
                <w:rFonts w:hint="eastAsia" w:ascii="宋体" w:hAnsi="宋体" w:cs="宋体"/>
              </w:rPr>
              <w:t xml:space="preserve"> 1.资产减值准备的计提； 2.加速折旧法； 3.或有事项的处理； 4.企业内部研究开发项目的研究阶段支出，应当于发生时计入当期损益； 5.在物价持续下降的情况下，发出存货采用先进先出法计价； </w:t>
            </w:r>
          </w:p>
        </w:tc>
      </w:tr>
      <w:tr w14:paraId="38B16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pct"/>
          </w:tcPr>
          <w:p w14:paraId="75BBFD5C">
            <w:pPr>
              <w:jc w:val="center"/>
              <w:rPr>
                <w:rFonts w:ascii="宋体" w:hAnsi="宋体" w:cs="宋体"/>
              </w:rPr>
            </w:pPr>
            <w:r>
              <w:rPr>
                <w:rFonts w:hint="eastAsia" w:ascii="宋体" w:hAnsi="宋体" w:cs="宋体"/>
              </w:rPr>
              <w:t>及时性</w:t>
            </w:r>
          </w:p>
        </w:tc>
        <w:tc>
          <w:tcPr>
            <w:tcW w:w="3930" w:type="pct"/>
          </w:tcPr>
          <w:p w14:paraId="3EB9D3E8">
            <w:pPr>
              <w:jc w:val="left"/>
              <w:rPr>
                <w:rFonts w:ascii="宋体" w:hAnsi="宋体" w:cs="宋体"/>
              </w:rPr>
            </w:pPr>
            <w:r>
              <w:rPr>
                <w:rFonts w:hint="eastAsia" w:ascii="宋体" w:hAnsi="宋体" w:cs="宋体"/>
              </w:rPr>
              <w:t xml:space="preserve">企业对于已经发生的交易或者事项，应当及时进行确认、计量和报告，不得提前或者延后。 满足及时性会计信息质量要求，可能会影响会计信息的可靠性。 </w:t>
            </w:r>
          </w:p>
        </w:tc>
      </w:tr>
    </w:tbl>
    <w:p w14:paraId="2604FBD5">
      <w:pPr>
        <w:overflowPunct w:val="0"/>
        <w:jc w:val="center"/>
        <w:rPr>
          <w:rFonts w:ascii="宋体" w:hAnsi="宋体" w:cs="宋体"/>
          <w:b/>
          <w:bCs/>
        </w:rPr>
      </w:pPr>
      <w:r>
        <w:rPr>
          <w:rFonts w:hint="eastAsia" w:ascii="宋体" w:hAnsi="宋体" w:cs="宋体"/>
          <w:b/>
          <w:bCs/>
        </w:rPr>
        <w:t>第二章  存货</w:t>
      </w:r>
    </w:p>
    <w:p w14:paraId="237ACF02">
      <w:pPr>
        <w:jc w:val="left"/>
        <w:rPr>
          <w:rFonts w:ascii="宋体" w:hAnsi="宋体" w:cs="宋体"/>
        </w:rPr>
      </w:pPr>
      <w:r>
        <w:rPr>
          <w:rFonts w:hint="eastAsia" w:ascii="宋体" w:hAnsi="宋体" w:cs="宋体"/>
        </w:rPr>
        <w:t>预计</w:t>
      </w:r>
      <w:r>
        <w:rPr>
          <w:rFonts w:hint="eastAsia" w:ascii="宋体" w:hAnsi="宋体" w:cs="宋体"/>
          <w:color w:val="FF0000"/>
        </w:rPr>
        <w:t>今年大概率</w:t>
      </w:r>
      <w:r>
        <w:rPr>
          <w:rFonts w:hint="eastAsia" w:ascii="宋体" w:hAnsi="宋体" w:cs="宋体"/>
        </w:rPr>
        <w:t>考核客观题，分值为2-3分。</w:t>
      </w:r>
    </w:p>
    <w:p w14:paraId="64489285">
      <w:pPr>
        <w:jc w:val="left"/>
        <w:rPr>
          <w:rFonts w:ascii="宋体" w:hAnsi="宋体" w:cs="宋体"/>
          <w:color w:val="FF0000"/>
        </w:rPr>
      </w:pPr>
      <w:r>
        <w:rPr>
          <w:rFonts w:hint="eastAsia" w:ascii="宋体" w:hAnsi="宋体" w:cs="宋体"/>
          <w:color w:val="FF0000"/>
        </w:rPr>
        <w:t>【考点】需要交纳消费税的委托加工物资：</w:t>
      </w:r>
    </w:p>
    <w:p w14:paraId="58D8292E">
      <w:pPr>
        <w:jc w:val="left"/>
        <w:rPr>
          <w:rFonts w:ascii="宋体" w:hAnsi="宋体" w:cs="宋体"/>
        </w:rPr>
      </w:pPr>
      <w:r>
        <w:rPr>
          <w:rFonts w:hint="eastAsia" w:ascii="宋体" w:hAnsi="宋体" w:cs="宋体"/>
        </w:rPr>
        <w:t>以实际耗用的原材料或者半成品、加工费、运输费、装卸费和保险费等费用以及按规定应计入成本的税金，作为实际成本。</w:t>
      </w:r>
    </w:p>
    <w:p w14:paraId="3E7A73FE">
      <w:pPr>
        <w:jc w:val="left"/>
        <w:rPr>
          <w:rFonts w:ascii="宋体" w:hAnsi="宋体" w:cs="宋体"/>
        </w:rPr>
      </w:pPr>
      <w:r>
        <w:rPr>
          <w:rFonts w:hint="eastAsia" w:ascii="宋体" w:hAnsi="宋体" w:cs="宋体"/>
        </w:rPr>
        <w:t>　　　委托方                                  受托方</w:t>
      </w:r>
    </w:p>
    <w:p w14:paraId="1EE4CA37">
      <w:pPr>
        <w:jc w:val="left"/>
        <w:rPr>
          <w:rFonts w:ascii="宋体" w:hAnsi="宋体" w:cs="宋体"/>
        </w:rPr>
      </w:pPr>
      <w:r>
        <w:rPr>
          <w:rFonts w:hint="eastAsia" w:ascii="宋体" w:hAnsi="宋体" w:cs="宋体"/>
        </w:rPr>
        <w:t>（1）发出材料   （2）运费   （3）加工费   （4）增值税</w:t>
      </w:r>
    </w:p>
    <w:p w14:paraId="1E5124EC">
      <w:pPr>
        <w:jc w:val="left"/>
        <w:rPr>
          <w:rFonts w:ascii="宋体" w:hAnsi="宋体" w:cs="宋体"/>
        </w:rPr>
      </w:pPr>
      <w:r>
        <w:rPr>
          <w:rFonts w:hint="eastAsia" w:ascii="宋体" w:hAnsi="宋体" w:cs="宋体"/>
        </w:rPr>
        <w:t>（5）消费税（继续加工、直接出售）</w:t>
      </w:r>
    </w:p>
    <w:p w14:paraId="1CDA6CCF">
      <w:pPr>
        <w:jc w:val="left"/>
        <w:rPr>
          <w:rFonts w:hint="eastAsia" w:ascii="宋体" w:hAnsi="宋体" w:cs="宋体"/>
        </w:rPr>
      </w:pPr>
      <w:r>
        <w:rPr>
          <w:rFonts w:hint="eastAsia" w:ascii="宋体" w:hAnsi="宋体" w:cs="宋体"/>
        </w:rPr>
        <w:t>（6）入库（继续加工、直接出售）　</w:t>
      </w:r>
    </w:p>
    <w:tbl>
      <w:tblPr>
        <w:tblStyle w:val="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1"/>
        <w:gridCol w:w="2609"/>
        <w:gridCol w:w="2822"/>
        <w:gridCol w:w="2534"/>
      </w:tblGrid>
      <w:tr w14:paraId="74A19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pct"/>
          </w:tcPr>
          <w:p w14:paraId="607F4F43">
            <w:pPr>
              <w:jc w:val="center"/>
              <w:rPr>
                <w:rFonts w:ascii="宋体" w:hAnsi="宋体" w:cs="宋体"/>
              </w:rPr>
            </w:pPr>
            <w:r>
              <w:rPr>
                <w:rFonts w:hint="eastAsia" w:ascii="宋体" w:hAnsi="宋体" w:cs="宋体"/>
              </w:rPr>
              <w:t>成本组成</w:t>
            </w:r>
          </w:p>
        </w:tc>
        <w:tc>
          <w:tcPr>
            <w:tcW w:w="3929" w:type="pct"/>
            <w:gridSpan w:val="3"/>
          </w:tcPr>
          <w:p w14:paraId="4F772C56">
            <w:pPr>
              <w:overflowPunct w:val="0"/>
              <w:jc w:val="left"/>
              <w:rPr>
                <w:rFonts w:ascii="宋体" w:hAnsi="宋体" w:cs="宋体"/>
              </w:rPr>
            </w:pPr>
            <w:r>
              <w:rPr>
                <w:rFonts w:hint="eastAsia" w:ascii="宋体" w:hAnsi="宋体" w:cs="宋体"/>
              </w:rPr>
              <w:t>会计处理</w:t>
            </w:r>
          </w:p>
        </w:tc>
      </w:tr>
      <w:tr w14:paraId="66473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pct"/>
            <w:vMerge w:val="restart"/>
          </w:tcPr>
          <w:p w14:paraId="4022B0DB">
            <w:pPr>
              <w:jc w:val="left"/>
              <w:rPr>
                <w:rFonts w:ascii="宋体" w:hAnsi="宋体" w:cs="宋体"/>
              </w:rPr>
            </w:pPr>
            <w:r>
              <w:rPr>
                <w:rFonts w:hint="eastAsia" w:ascii="宋体" w:hAnsi="宋体" w:cs="宋体"/>
              </w:rPr>
              <w:t xml:space="preserve">支付的税金，包括委托加工物资所应负担的消费税 </w:t>
            </w:r>
          </w:p>
        </w:tc>
        <w:tc>
          <w:tcPr>
            <w:tcW w:w="1287" w:type="pct"/>
          </w:tcPr>
          <w:p w14:paraId="6D1F417F">
            <w:pPr>
              <w:jc w:val="left"/>
              <w:rPr>
                <w:rFonts w:ascii="宋体" w:hAnsi="宋体" w:cs="宋体"/>
              </w:rPr>
            </w:pPr>
            <w:r>
              <w:rPr>
                <w:rFonts w:hint="eastAsia" w:ascii="宋体" w:hAnsi="宋体" w:cs="宋体"/>
              </w:rPr>
              <w:t xml:space="preserve">支付应当交纳的可以抵扣的增值税 </w:t>
            </w:r>
          </w:p>
        </w:tc>
        <w:tc>
          <w:tcPr>
            <w:tcW w:w="2642" w:type="pct"/>
            <w:gridSpan w:val="2"/>
          </w:tcPr>
          <w:p w14:paraId="70CC9D44">
            <w:pPr>
              <w:jc w:val="left"/>
              <w:rPr>
                <w:rFonts w:ascii="宋体" w:hAnsi="宋体" w:cs="宋体"/>
              </w:rPr>
            </w:pPr>
            <w:r>
              <w:rPr>
                <w:rFonts w:hint="eastAsia" w:ascii="宋体" w:hAnsi="宋体" w:cs="宋体"/>
              </w:rPr>
              <w:t xml:space="preserve">借：应交税费——应交增值税（进项税额）　　　　 </w:t>
            </w:r>
          </w:p>
          <w:p w14:paraId="7B8D8B00">
            <w:pPr>
              <w:overflowPunct w:val="0"/>
              <w:jc w:val="left"/>
              <w:rPr>
                <w:rFonts w:ascii="宋体" w:hAnsi="宋体" w:cs="宋体"/>
              </w:rPr>
            </w:pPr>
            <w:r>
              <w:rPr>
                <w:rFonts w:hint="eastAsia" w:ascii="宋体" w:hAnsi="宋体" w:cs="宋体"/>
              </w:rPr>
              <w:t xml:space="preserve">　　贷：银行存款 </w:t>
            </w:r>
          </w:p>
        </w:tc>
      </w:tr>
      <w:tr w14:paraId="61EEA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pct"/>
            <w:vMerge w:val="continue"/>
          </w:tcPr>
          <w:p w14:paraId="101F35EE">
            <w:pPr>
              <w:overflowPunct w:val="0"/>
              <w:jc w:val="left"/>
              <w:rPr>
                <w:rFonts w:ascii="宋体" w:hAnsi="宋体" w:cs="宋体"/>
              </w:rPr>
            </w:pPr>
          </w:p>
        </w:tc>
        <w:tc>
          <w:tcPr>
            <w:tcW w:w="1287" w:type="pct"/>
          </w:tcPr>
          <w:p w14:paraId="153B5120">
            <w:pPr>
              <w:jc w:val="left"/>
              <w:rPr>
                <w:rFonts w:ascii="宋体" w:hAnsi="宋体" w:cs="宋体"/>
              </w:rPr>
            </w:pPr>
            <w:r>
              <w:rPr>
                <w:rFonts w:hint="eastAsia" w:ascii="宋体" w:hAnsi="宋体" w:cs="宋体"/>
              </w:rPr>
              <w:t xml:space="preserve">支付应当交纳的消费税 </w:t>
            </w:r>
          </w:p>
        </w:tc>
        <w:tc>
          <w:tcPr>
            <w:tcW w:w="1392" w:type="pct"/>
          </w:tcPr>
          <w:p w14:paraId="6540815D">
            <w:pPr>
              <w:jc w:val="left"/>
              <w:rPr>
                <w:rFonts w:ascii="宋体" w:hAnsi="宋体" w:cs="宋体"/>
              </w:rPr>
            </w:pPr>
            <w:r>
              <w:rPr>
                <w:rFonts w:hint="eastAsia" w:ascii="宋体" w:hAnsi="宋体" w:cs="宋体"/>
              </w:rPr>
              <w:t xml:space="preserve">收回后用于连续生产应税消费品 </w:t>
            </w:r>
          </w:p>
        </w:tc>
        <w:tc>
          <w:tcPr>
            <w:tcW w:w="1251" w:type="pct"/>
          </w:tcPr>
          <w:p w14:paraId="1A4BCAB8">
            <w:pPr>
              <w:jc w:val="left"/>
              <w:rPr>
                <w:rFonts w:ascii="宋体" w:hAnsi="宋体" w:cs="宋体"/>
              </w:rPr>
            </w:pPr>
            <w:r>
              <w:rPr>
                <w:rFonts w:hint="eastAsia" w:ascii="宋体" w:hAnsi="宋体" w:cs="宋体"/>
              </w:rPr>
              <w:t>借：应交税费——应交消费税</w:t>
            </w:r>
            <w:r>
              <w:rPr>
                <w:rFonts w:hint="eastAsia" w:ascii="宋体" w:hAnsi="宋体" w:cs="宋体"/>
              </w:rPr>
              <w:br w:type="textWrapping"/>
            </w:r>
            <w:r>
              <w:rPr>
                <w:rFonts w:hint="eastAsia" w:ascii="宋体" w:hAnsi="宋体" w:cs="宋体"/>
              </w:rPr>
              <w:t xml:space="preserve">　　贷：银行存款 </w:t>
            </w:r>
          </w:p>
        </w:tc>
      </w:tr>
      <w:tr w14:paraId="5EF40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pct"/>
            <w:vMerge w:val="continue"/>
          </w:tcPr>
          <w:p w14:paraId="63E9A599">
            <w:pPr>
              <w:overflowPunct w:val="0"/>
              <w:jc w:val="left"/>
              <w:rPr>
                <w:rFonts w:ascii="宋体" w:hAnsi="宋体" w:cs="宋体"/>
              </w:rPr>
            </w:pPr>
          </w:p>
        </w:tc>
        <w:tc>
          <w:tcPr>
            <w:tcW w:w="1287" w:type="pct"/>
            <w:vMerge w:val="restart"/>
          </w:tcPr>
          <w:p w14:paraId="1A7DEE2F">
            <w:pPr>
              <w:jc w:val="left"/>
              <w:rPr>
                <w:rFonts w:ascii="宋体" w:hAnsi="宋体" w:cs="宋体"/>
              </w:rPr>
            </w:pPr>
            <w:r>
              <w:rPr>
                <w:rFonts w:hint="eastAsia" w:ascii="宋体" w:hAnsi="宋体" w:cs="宋体"/>
              </w:rPr>
              <w:t>消费税＝消费税组成计税价格×消费税税率</w:t>
            </w:r>
          </w:p>
        </w:tc>
        <w:tc>
          <w:tcPr>
            <w:tcW w:w="1392" w:type="pct"/>
          </w:tcPr>
          <w:p w14:paraId="4BD875E9">
            <w:pPr>
              <w:jc w:val="left"/>
              <w:rPr>
                <w:rFonts w:ascii="宋体" w:hAnsi="宋体" w:cs="宋体"/>
              </w:rPr>
            </w:pPr>
            <w:r>
              <w:rPr>
                <w:rFonts w:hint="eastAsia" w:ascii="宋体" w:hAnsi="宋体" w:cs="宋体"/>
              </w:rPr>
              <w:t xml:space="preserve">收回后直接销售 </w:t>
            </w:r>
          </w:p>
        </w:tc>
        <w:tc>
          <w:tcPr>
            <w:tcW w:w="1251" w:type="pct"/>
          </w:tcPr>
          <w:p w14:paraId="71F03925">
            <w:pPr>
              <w:jc w:val="left"/>
              <w:rPr>
                <w:rFonts w:ascii="宋体" w:hAnsi="宋体" w:cs="宋体"/>
              </w:rPr>
            </w:pPr>
            <w:r>
              <w:rPr>
                <w:rFonts w:hint="eastAsia" w:ascii="宋体" w:hAnsi="宋体" w:cs="宋体"/>
              </w:rPr>
              <w:t xml:space="preserve">借：委托加工物资 </w:t>
            </w:r>
          </w:p>
          <w:p w14:paraId="3160FD3C">
            <w:pPr>
              <w:jc w:val="left"/>
              <w:rPr>
                <w:rFonts w:ascii="宋体" w:hAnsi="宋体" w:cs="宋体"/>
              </w:rPr>
            </w:pPr>
            <w:r>
              <w:rPr>
                <w:rFonts w:hint="eastAsia" w:ascii="宋体" w:hAnsi="宋体" w:cs="宋体"/>
              </w:rPr>
              <w:t xml:space="preserve">　　贷：银行存款 </w:t>
            </w:r>
          </w:p>
        </w:tc>
      </w:tr>
      <w:tr w14:paraId="3207B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pct"/>
            <w:vMerge w:val="continue"/>
          </w:tcPr>
          <w:p w14:paraId="0E75EC3E">
            <w:pPr>
              <w:overflowPunct w:val="0"/>
              <w:jc w:val="left"/>
              <w:rPr>
                <w:rFonts w:ascii="宋体" w:hAnsi="宋体" w:cs="宋体"/>
              </w:rPr>
            </w:pPr>
          </w:p>
        </w:tc>
        <w:tc>
          <w:tcPr>
            <w:tcW w:w="1287" w:type="pct"/>
            <w:vMerge w:val="continue"/>
          </w:tcPr>
          <w:p w14:paraId="792A4200">
            <w:pPr>
              <w:overflowPunct w:val="0"/>
              <w:jc w:val="left"/>
              <w:rPr>
                <w:rFonts w:ascii="宋体" w:hAnsi="宋体" w:cs="宋体"/>
              </w:rPr>
            </w:pPr>
          </w:p>
        </w:tc>
        <w:tc>
          <w:tcPr>
            <w:tcW w:w="2642" w:type="pct"/>
            <w:gridSpan w:val="2"/>
          </w:tcPr>
          <w:p w14:paraId="020D7234">
            <w:pPr>
              <w:overflowPunct w:val="0"/>
              <w:jc w:val="left"/>
              <w:rPr>
                <w:rFonts w:ascii="宋体" w:hAnsi="宋体" w:cs="宋体"/>
              </w:rPr>
            </w:pPr>
            <w:r>
              <w:rPr>
                <w:rFonts w:hint="eastAsia" w:ascii="宋体" w:hAnsi="宋体" w:cs="宋体"/>
              </w:rPr>
              <w:t xml:space="preserve">消费税组成计税价格＝材料实际成本＋加工费＋消费税＝（材料实际成本＋加工费）/（1－消费税税率） </w:t>
            </w:r>
          </w:p>
        </w:tc>
      </w:tr>
    </w:tbl>
    <w:p w14:paraId="1237DCC8">
      <w:pPr>
        <w:jc w:val="left"/>
        <w:rPr>
          <w:rFonts w:hint="eastAsia" w:ascii="宋体" w:hAnsi="宋体" w:cs="宋体"/>
        </w:rPr>
      </w:pPr>
      <w:r>
        <w:rPr>
          <w:rFonts w:hint="eastAsia" w:ascii="宋体" w:hAnsi="宋体" w:cs="宋体"/>
          <w:color w:val="FF0000"/>
        </w:rPr>
        <w:t>【考点】</w:t>
      </w:r>
      <w:r>
        <w:rPr>
          <w:rFonts w:hint="eastAsia" w:ascii="宋体" w:hAnsi="宋体" w:cs="宋体"/>
        </w:rPr>
        <w:t>★★★存货的初始计量：采购成本（价＋税＋费）、进一步的加工成本、其他成本、劳务成本</w:t>
      </w:r>
    </w:p>
    <w:tbl>
      <w:tblPr>
        <w:tblStyle w:val="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75"/>
        <w:gridCol w:w="4060"/>
        <w:gridCol w:w="2601"/>
      </w:tblGrid>
      <w:tr w14:paraId="672E8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4" w:type="pct"/>
          </w:tcPr>
          <w:p w14:paraId="0644FB01">
            <w:pPr>
              <w:jc w:val="center"/>
              <w:rPr>
                <w:rFonts w:ascii="宋体" w:hAnsi="宋体" w:cs="宋体"/>
              </w:rPr>
            </w:pPr>
            <w:r>
              <w:rPr>
                <w:rFonts w:hint="eastAsia" w:ascii="宋体" w:hAnsi="宋体" w:cs="宋体"/>
              </w:rPr>
              <w:t>计入成本</w:t>
            </w:r>
          </w:p>
        </w:tc>
        <w:tc>
          <w:tcPr>
            <w:tcW w:w="2003" w:type="pct"/>
          </w:tcPr>
          <w:p w14:paraId="3AD0E547">
            <w:pPr>
              <w:jc w:val="center"/>
              <w:rPr>
                <w:rFonts w:ascii="宋体" w:hAnsi="宋体" w:cs="宋体"/>
              </w:rPr>
            </w:pPr>
            <w:r>
              <w:rPr>
                <w:rFonts w:hint="eastAsia" w:ascii="宋体" w:hAnsi="宋体" w:cs="宋体"/>
              </w:rPr>
              <w:t>不计入成本</w:t>
            </w:r>
          </w:p>
        </w:tc>
        <w:tc>
          <w:tcPr>
            <w:tcW w:w="1284" w:type="pct"/>
          </w:tcPr>
          <w:p w14:paraId="150DB64B">
            <w:pPr>
              <w:jc w:val="center"/>
              <w:rPr>
                <w:rFonts w:ascii="宋体" w:hAnsi="宋体" w:cs="宋体"/>
              </w:rPr>
            </w:pPr>
            <w:r>
              <w:rPr>
                <w:rFonts w:hint="eastAsia" w:ascii="宋体" w:hAnsi="宋体" w:cs="宋体"/>
              </w:rPr>
              <w:t>计入哪里</w:t>
            </w:r>
          </w:p>
        </w:tc>
      </w:tr>
      <w:tr w14:paraId="13495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4" w:type="pct"/>
          </w:tcPr>
          <w:p w14:paraId="55AEC3FE">
            <w:pPr>
              <w:jc w:val="center"/>
              <w:rPr>
                <w:rFonts w:ascii="宋体" w:hAnsi="宋体" w:cs="宋体"/>
              </w:rPr>
            </w:pPr>
            <w:r>
              <w:rPr>
                <w:rFonts w:hint="eastAsia" w:ascii="宋体" w:hAnsi="宋体" w:cs="宋体"/>
              </w:rPr>
              <w:t>买价</w:t>
            </w:r>
          </w:p>
        </w:tc>
        <w:tc>
          <w:tcPr>
            <w:tcW w:w="2003" w:type="pct"/>
          </w:tcPr>
          <w:p w14:paraId="7F66F39C">
            <w:pPr>
              <w:jc w:val="center"/>
              <w:rPr>
                <w:rFonts w:ascii="宋体" w:hAnsi="宋体" w:cs="宋体"/>
              </w:rPr>
            </w:pPr>
            <w:r>
              <w:rPr>
                <w:rFonts w:hint="eastAsia" w:ascii="宋体" w:hAnsi="宋体" w:cs="宋体"/>
              </w:rPr>
              <w:t>一般纳税人可以抵扣的增值税</w:t>
            </w:r>
          </w:p>
        </w:tc>
        <w:tc>
          <w:tcPr>
            <w:tcW w:w="1284" w:type="pct"/>
          </w:tcPr>
          <w:p w14:paraId="6C61023E">
            <w:pPr>
              <w:jc w:val="center"/>
              <w:rPr>
                <w:rFonts w:ascii="宋体" w:hAnsi="宋体" w:cs="宋体"/>
              </w:rPr>
            </w:pPr>
            <w:r>
              <w:rPr>
                <w:rFonts w:hint="eastAsia" w:ascii="宋体" w:hAnsi="宋体" w:cs="宋体"/>
              </w:rPr>
              <w:t>单独列示</w:t>
            </w:r>
          </w:p>
        </w:tc>
      </w:tr>
      <w:tr w14:paraId="6F597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4" w:type="pct"/>
          </w:tcPr>
          <w:p w14:paraId="2EF5C7C4">
            <w:pPr>
              <w:jc w:val="center"/>
              <w:rPr>
                <w:rFonts w:ascii="宋体" w:hAnsi="宋体" w:cs="宋体"/>
              </w:rPr>
            </w:pPr>
            <w:r>
              <w:rPr>
                <w:rFonts w:hint="eastAsia" w:ascii="宋体" w:hAnsi="宋体" w:cs="宋体"/>
              </w:rPr>
              <w:t>关税、资源税、消费税、小规模纳税人不可以抵扣的增值税</w:t>
            </w:r>
          </w:p>
        </w:tc>
        <w:tc>
          <w:tcPr>
            <w:tcW w:w="2003" w:type="pct"/>
          </w:tcPr>
          <w:p w14:paraId="5C964FF7">
            <w:pPr>
              <w:jc w:val="center"/>
              <w:rPr>
                <w:rFonts w:ascii="宋体" w:hAnsi="宋体" w:cs="宋体"/>
              </w:rPr>
            </w:pPr>
            <w:r>
              <w:rPr>
                <w:rFonts w:hint="eastAsia" w:ascii="宋体" w:hAnsi="宋体" w:cs="宋体"/>
              </w:rPr>
              <w:t>非正常消耗的直接材料、直接人工和制造费用</w:t>
            </w:r>
          </w:p>
        </w:tc>
        <w:tc>
          <w:tcPr>
            <w:tcW w:w="1284" w:type="pct"/>
          </w:tcPr>
          <w:p w14:paraId="55FDDFEB">
            <w:pPr>
              <w:jc w:val="center"/>
              <w:rPr>
                <w:rFonts w:ascii="宋体" w:hAnsi="宋体" w:cs="宋体"/>
              </w:rPr>
            </w:pPr>
            <w:r>
              <w:rPr>
                <w:rFonts w:hint="eastAsia" w:ascii="宋体" w:hAnsi="宋体" w:cs="宋体"/>
              </w:rPr>
              <w:t>当期损益</w:t>
            </w:r>
          </w:p>
        </w:tc>
      </w:tr>
      <w:tr w14:paraId="21265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4" w:type="pct"/>
          </w:tcPr>
          <w:p w14:paraId="6699FA6B">
            <w:pPr>
              <w:jc w:val="center"/>
              <w:rPr>
                <w:rFonts w:ascii="宋体" w:hAnsi="宋体" w:cs="宋体"/>
              </w:rPr>
            </w:pPr>
            <w:r>
              <w:rPr>
                <w:rFonts w:hint="eastAsia" w:ascii="宋体" w:hAnsi="宋体" w:cs="宋体"/>
              </w:rPr>
              <w:t>包装费、运杂费</w:t>
            </w:r>
          </w:p>
        </w:tc>
        <w:tc>
          <w:tcPr>
            <w:tcW w:w="3286" w:type="pct"/>
            <w:gridSpan w:val="2"/>
          </w:tcPr>
          <w:p w14:paraId="27360358">
            <w:pPr>
              <w:overflowPunct w:val="0"/>
              <w:jc w:val="left"/>
              <w:rPr>
                <w:rFonts w:ascii="宋体" w:hAnsi="宋体" w:cs="宋体"/>
              </w:rPr>
            </w:pPr>
            <w:r>
              <w:rPr>
                <w:rFonts w:hint="eastAsia" w:ascii="宋体" w:hAnsi="宋体" w:cs="宋体"/>
              </w:rPr>
              <w:t>销售方：销售货物运费计入销售费用</w:t>
            </w:r>
          </w:p>
        </w:tc>
      </w:tr>
      <w:tr w14:paraId="046E6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4" w:type="pct"/>
          </w:tcPr>
          <w:p w14:paraId="5504BDD2">
            <w:pPr>
              <w:jc w:val="center"/>
              <w:rPr>
                <w:rFonts w:ascii="宋体" w:hAnsi="宋体" w:cs="宋体"/>
              </w:rPr>
            </w:pPr>
            <w:r>
              <w:rPr>
                <w:rFonts w:hint="eastAsia" w:ascii="宋体" w:hAnsi="宋体" w:cs="宋体"/>
              </w:rPr>
              <w:t>运输途中的</w:t>
            </w:r>
            <w:r>
              <w:rPr>
                <w:rFonts w:hint="eastAsia" w:ascii="宋体" w:hAnsi="宋体" w:cs="宋体"/>
                <w:color w:val="FF0000"/>
              </w:rPr>
              <w:t>合理</w:t>
            </w:r>
            <w:r>
              <w:rPr>
                <w:rFonts w:hint="eastAsia" w:ascii="宋体" w:hAnsi="宋体" w:cs="宋体"/>
              </w:rPr>
              <w:t>损耗</w:t>
            </w:r>
          </w:p>
        </w:tc>
        <w:tc>
          <w:tcPr>
            <w:tcW w:w="2003" w:type="pct"/>
          </w:tcPr>
          <w:p w14:paraId="6CA67B85">
            <w:pPr>
              <w:jc w:val="center"/>
              <w:rPr>
                <w:rFonts w:ascii="宋体" w:hAnsi="宋体" w:cs="宋体"/>
              </w:rPr>
            </w:pPr>
            <w:r>
              <w:rPr>
                <w:rFonts w:hint="eastAsia" w:ascii="宋体" w:hAnsi="宋体" w:cs="宋体"/>
              </w:rPr>
              <w:t>运输途中的不合理损耗</w:t>
            </w:r>
          </w:p>
        </w:tc>
        <w:tc>
          <w:tcPr>
            <w:tcW w:w="1284" w:type="pct"/>
          </w:tcPr>
          <w:p w14:paraId="3AB61E6F">
            <w:pPr>
              <w:jc w:val="center"/>
              <w:rPr>
                <w:rFonts w:ascii="宋体" w:hAnsi="宋体" w:cs="宋体"/>
              </w:rPr>
            </w:pPr>
            <w:r>
              <w:rPr>
                <w:rFonts w:hint="eastAsia" w:ascii="宋体" w:hAnsi="宋体" w:cs="宋体"/>
              </w:rPr>
              <w:t>冲减成本</w:t>
            </w:r>
          </w:p>
        </w:tc>
      </w:tr>
      <w:tr w14:paraId="462E8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4" w:type="pct"/>
          </w:tcPr>
          <w:p w14:paraId="767EE908">
            <w:pPr>
              <w:jc w:val="center"/>
              <w:rPr>
                <w:rFonts w:ascii="宋体" w:hAnsi="宋体" w:cs="宋体"/>
              </w:rPr>
            </w:pPr>
            <w:r>
              <w:rPr>
                <w:rFonts w:hint="eastAsia" w:ascii="宋体" w:hAnsi="宋体" w:cs="宋体"/>
              </w:rPr>
              <w:t>入库</w:t>
            </w:r>
            <w:r>
              <w:rPr>
                <w:rFonts w:hint="eastAsia" w:ascii="宋体" w:hAnsi="宋体" w:cs="宋体"/>
                <w:color w:val="FF0000"/>
              </w:rPr>
              <w:t>前</w:t>
            </w:r>
            <w:r>
              <w:rPr>
                <w:rFonts w:hint="eastAsia" w:ascii="宋体" w:hAnsi="宋体" w:cs="宋体"/>
              </w:rPr>
              <w:t>的挑选整理费</w:t>
            </w:r>
          </w:p>
        </w:tc>
        <w:tc>
          <w:tcPr>
            <w:tcW w:w="2003" w:type="pct"/>
          </w:tcPr>
          <w:p w14:paraId="3FDD27BC">
            <w:pPr>
              <w:jc w:val="center"/>
              <w:rPr>
                <w:rFonts w:ascii="宋体" w:hAnsi="宋体" w:cs="宋体"/>
              </w:rPr>
            </w:pPr>
            <w:r>
              <w:rPr>
                <w:rFonts w:hint="eastAsia" w:ascii="宋体" w:hAnsi="宋体" w:cs="宋体"/>
              </w:rPr>
              <w:t>入库后的挑选整理费</w:t>
            </w:r>
          </w:p>
        </w:tc>
        <w:tc>
          <w:tcPr>
            <w:tcW w:w="1284" w:type="pct"/>
          </w:tcPr>
          <w:p w14:paraId="529395ED">
            <w:pPr>
              <w:jc w:val="center"/>
              <w:rPr>
                <w:rFonts w:ascii="宋体" w:hAnsi="宋体" w:cs="宋体"/>
              </w:rPr>
            </w:pPr>
            <w:r>
              <w:rPr>
                <w:rFonts w:hint="eastAsia" w:ascii="宋体" w:hAnsi="宋体" w:cs="宋体"/>
              </w:rPr>
              <w:t>当期损益</w:t>
            </w:r>
          </w:p>
        </w:tc>
      </w:tr>
      <w:tr w14:paraId="5735A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4" w:type="pct"/>
          </w:tcPr>
          <w:p w14:paraId="23BEEE62">
            <w:pPr>
              <w:jc w:val="center"/>
              <w:rPr>
                <w:rFonts w:ascii="宋体" w:hAnsi="宋体" w:cs="宋体"/>
              </w:rPr>
            </w:pPr>
            <w:r>
              <w:rPr>
                <w:rFonts w:hint="eastAsia" w:ascii="宋体" w:hAnsi="宋体" w:cs="宋体"/>
              </w:rPr>
              <w:t>为</w:t>
            </w:r>
            <w:r>
              <w:rPr>
                <w:rFonts w:hint="eastAsia" w:ascii="宋体" w:hAnsi="宋体" w:cs="宋体"/>
                <w:color w:val="FF0000"/>
              </w:rPr>
              <w:t>特定客户的设计费用</w:t>
            </w:r>
          </w:p>
        </w:tc>
        <w:tc>
          <w:tcPr>
            <w:tcW w:w="2003" w:type="pct"/>
          </w:tcPr>
          <w:p w14:paraId="68C84FF1">
            <w:pPr>
              <w:jc w:val="center"/>
              <w:rPr>
                <w:rFonts w:ascii="宋体" w:hAnsi="宋体" w:cs="宋体"/>
              </w:rPr>
            </w:pPr>
            <w:r>
              <w:rPr>
                <w:rFonts w:hint="eastAsia" w:ascii="宋体" w:hAnsi="宋体" w:cs="宋体"/>
              </w:rPr>
              <w:t>一般的设计费用</w:t>
            </w:r>
          </w:p>
        </w:tc>
        <w:tc>
          <w:tcPr>
            <w:tcW w:w="1284" w:type="pct"/>
          </w:tcPr>
          <w:p w14:paraId="29C01F65">
            <w:pPr>
              <w:jc w:val="center"/>
              <w:rPr>
                <w:rFonts w:ascii="宋体" w:hAnsi="宋体" w:cs="宋体"/>
              </w:rPr>
            </w:pPr>
            <w:r>
              <w:rPr>
                <w:rFonts w:hint="eastAsia" w:ascii="宋体" w:hAnsi="宋体" w:cs="宋体"/>
              </w:rPr>
              <w:t>当期损益</w:t>
            </w:r>
          </w:p>
        </w:tc>
      </w:tr>
      <w:tr w14:paraId="30E3A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4" w:type="pct"/>
          </w:tcPr>
          <w:p w14:paraId="5BC4C3EA">
            <w:pPr>
              <w:jc w:val="center"/>
              <w:rPr>
                <w:rFonts w:ascii="宋体" w:hAnsi="宋体" w:cs="宋体"/>
              </w:rPr>
            </w:pPr>
            <w:r>
              <w:rPr>
                <w:rFonts w:hint="eastAsia" w:ascii="宋体" w:hAnsi="宋体" w:cs="宋体"/>
              </w:rPr>
              <w:t>生产过程中为下一阶段的储存费用</w:t>
            </w:r>
          </w:p>
        </w:tc>
        <w:tc>
          <w:tcPr>
            <w:tcW w:w="2003" w:type="pct"/>
          </w:tcPr>
          <w:p w14:paraId="0B3A1795">
            <w:pPr>
              <w:jc w:val="center"/>
              <w:rPr>
                <w:rFonts w:ascii="宋体" w:hAnsi="宋体" w:cs="宋体"/>
              </w:rPr>
            </w:pPr>
            <w:r>
              <w:rPr>
                <w:rFonts w:hint="eastAsia" w:ascii="宋体" w:hAnsi="宋体" w:cs="宋体"/>
              </w:rPr>
              <w:t>入库后存储费用</w:t>
            </w:r>
          </w:p>
        </w:tc>
        <w:tc>
          <w:tcPr>
            <w:tcW w:w="1284" w:type="pct"/>
          </w:tcPr>
          <w:p w14:paraId="2F0ACC78">
            <w:pPr>
              <w:jc w:val="center"/>
              <w:rPr>
                <w:rFonts w:ascii="宋体" w:hAnsi="宋体" w:cs="宋体"/>
              </w:rPr>
            </w:pPr>
            <w:r>
              <w:rPr>
                <w:rFonts w:hint="eastAsia" w:ascii="宋体" w:hAnsi="宋体" w:cs="宋体"/>
              </w:rPr>
              <w:t>当期损益（管理费用）</w:t>
            </w:r>
          </w:p>
        </w:tc>
      </w:tr>
      <w:tr w14:paraId="0A48B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4" w:type="pct"/>
          </w:tcPr>
          <w:p w14:paraId="24A640F5">
            <w:pPr>
              <w:jc w:val="center"/>
              <w:rPr>
                <w:rFonts w:ascii="宋体" w:hAnsi="宋体" w:cs="宋体"/>
              </w:rPr>
            </w:pPr>
            <w:r>
              <w:rPr>
                <w:rFonts w:hint="eastAsia" w:ascii="宋体" w:hAnsi="宋体" w:cs="宋体"/>
              </w:rPr>
              <w:t>生产过程中发生的直接材料、直接人工和制造费用计入成本</w:t>
            </w:r>
          </w:p>
        </w:tc>
        <w:tc>
          <w:tcPr>
            <w:tcW w:w="2003" w:type="pct"/>
          </w:tcPr>
          <w:p w14:paraId="4B9E31CA">
            <w:pPr>
              <w:jc w:val="center"/>
              <w:rPr>
                <w:rFonts w:ascii="宋体" w:hAnsi="宋体" w:cs="宋体"/>
              </w:rPr>
            </w:pPr>
            <w:r>
              <w:rPr>
                <w:rFonts w:hint="eastAsia" w:ascii="宋体" w:hAnsi="宋体" w:cs="宋体"/>
              </w:rPr>
              <w:t>商品流通企业采购商品进货费用较小的</w:t>
            </w:r>
          </w:p>
        </w:tc>
        <w:tc>
          <w:tcPr>
            <w:tcW w:w="1284" w:type="pct"/>
          </w:tcPr>
          <w:p w14:paraId="0B896B55">
            <w:pPr>
              <w:jc w:val="center"/>
              <w:rPr>
                <w:rFonts w:ascii="宋体" w:hAnsi="宋体" w:cs="宋体"/>
              </w:rPr>
            </w:pPr>
            <w:r>
              <w:rPr>
                <w:rFonts w:hint="eastAsia" w:ascii="宋体" w:hAnsi="宋体" w:cs="宋体"/>
              </w:rPr>
              <w:t>可以直接计入当期损益</w:t>
            </w:r>
          </w:p>
        </w:tc>
      </w:tr>
      <w:tr w14:paraId="1E486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4" w:type="pct"/>
          </w:tcPr>
          <w:p w14:paraId="25C9604E">
            <w:pPr>
              <w:jc w:val="center"/>
              <w:rPr>
                <w:rFonts w:ascii="宋体" w:hAnsi="宋体" w:cs="宋体"/>
              </w:rPr>
            </w:pPr>
            <w:r>
              <w:rPr>
                <w:rFonts w:hint="eastAsia" w:ascii="宋体" w:hAnsi="宋体" w:cs="宋体"/>
              </w:rPr>
              <w:t>季节性和修理期间的停工损失计入“制造费用”</w:t>
            </w:r>
          </w:p>
        </w:tc>
        <w:tc>
          <w:tcPr>
            <w:tcW w:w="2003" w:type="pct"/>
          </w:tcPr>
          <w:p w14:paraId="6D71B2BB">
            <w:pPr>
              <w:jc w:val="center"/>
              <w:rPr>
                <w:rFonts w:ascii="宋体" w:hAnsi="宋体" w:cs="宋体"/>
              </w:rPr>
            </w:pPr>
            <w:r>
              <w:rPr>
                <w:rFonts w:hint="eastAsia" w:ascii="宋体" w:hAnsi="宋体" w:cs="宋体"/>
              </w:rPr>
              <w:t>自然灾害造成的存货净损失</w:t>
            </w:r>
          </w:p>
        </w:tc>
        <w:tc>
          <w:tcPr>
            <w:tcW w:w="1284" w:type="pct"/>
          </w:tcPr>
          <w:p w14:paraId="02CD04E9">
            <w:pPr>
              <w:jc w:val="center"/>
              <w:rPr>
                <w:rFonts w:ascii="宋体" w:hAnsi="宋体" w:cs="宋体"/>
              </w:rPr>
            </w:pPr>
            <w:r>
              <w:rPr>
                <w:rFonts w:hint="eastAsia" w:ascii="宋体" w:hAnsi="宋体" w:cs="宋体"/>
              </w:rPr>
              <w:t>营业外支出</w:t>
            </w:r>
          </w:p>
        </w:tc>
      </w:tr>
      <w:tr w14:paraId="22CD8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3"/>
          </w:tcPr>
          <w:p w14:paraId="13F60670">
            <w:pPr>
              <w:overflowPunct w:val="0"/>
              <w:jc w:val="left"/>
              <w:rPr>
                <w:rFonts w:ascii="宋体" w:hAnsi="宋体" w:cs="宋体"/>
              </w:rPr>
            </w:pPr>
            <w:r>
              <w:rPr>
                <w:rFonts w:hint="eastAsia" w:ascii="宋体" w:hAnsi="宋体" w:cs="宋体"/>
              </w:rPr>
              <w:t>为生产产品发生的符合资本化条件的借款费用计入制造费用</w:t>
            </w:r>
          </w:p>
        </w:tc>
      </w:tr>
    </w:tbl>
    <w:p w14:paraId="10EAFE61">
      <w:pPr>
        <w:jc w:val="left"/>
        <w:rPr>
          <w:rFonts w:ascii="宋体" w:hAnsi="宋体" w:cs="宋体"/>
        </w:rPr>
      </w:pPr>
      <w:r>
        <w:rPr>
          <w:rFonts w:hint="eastAsia" w:ascii="宋体" w:hAnsi="宋体" w:cs="宋体"/>
          <w:color w:val="FF0000"/>
        </w:rPr>
        <w:t>【考点】</w:t>
      </w:r>
      <w:r>
        <w:rPr>
          <w:rFonts w:hint="eastAsia" w:ascii="宋体" w:hAnsi="宋体" w:cs="宋体"/>
        </w:rPr>
        <w:t>★★★存货的期末计量　</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75"/>
        <w:gridCol w:w="6663"/>
      </w:tblGrid>
      <w:tr w14:paraId="3332F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tcPr>
          <w:p w14:paraId="620473D6">
            <w:pPr>
              <w:jc w:val="left"/>
              <w:rPr>
                <w:rFonts w:ascii="宋体" w:hAnsi="宋体" w:cs="宋体"/>
              </w:rPr>
            </w:pPr>
            <w:r>
              <w:rPr>
                <w:rFonts w:hint="eastAsia" w:ascii="宋体" w:hAnsi="宋体" w:cs="宋体"/>
              </w:rPr>
              <w:t xml:space="preserve">资产负债表日，存货应当按照成本与可变现净值孰低计量。 </w:t>
            </w:r>
          </w:p>
        </w:tc>
      </w:tr>
      <w:tr w14:paraId="30AB5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4" w:type="pct"/>
          </w:tcPr>
          <w:p w14:paraId="163F7FF2">
            <w:pPr>
              <w:jc w:val="left"/>
              <w:rPr>
                <w:rFonts w:ascii="宋体" w:hAnsi="宋体" w:cs="宋体"/>
              </w:rPr>
            </w:pPr>
            <w:r>
              <w:rPr>
                <w:rFonts w:hint="eastAsia" w:ascii="宋体" w:hAnsi="宋体" w:cs="宋体"/>
              </w:rPr>
              <w:t xml:space="preserve">产品的可变现净值 </w:t>
            </w:r>
          </w:p>
        </w:tc>
        <w:tc>
          <w:tcPr>
            <w:tcW w:w="3286" w:type="pct"/>
          </w:tcPr>
          <w:p w14:paraId="5A7A50DE">
            <w:pPr>
              <w:jc w:val="left"/>
              <w:rPr>
                <w:rFonts w:ascii="宋体" w:hAnsi="宋体" w:cs="宋体"/>
              </w:rPr>
            </w:pPr>
            <w:r>
              <w:rPr>
                <w:rFonts w:hint="eastAsia" w:ascii="宋体" w:hAnsi="宋体" w:cs="宋体"/>
              </w:rPr>
              <w:t xml:space="preserve">＝产品预计售价—预计销售费用—预计相关税费 </w:t>
            </w:r>
          </w:p>
        </w:tc>
      </w:tr>
      <w:tr w14:paraId="6993F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4" w:type="pct"/>
          </w:tcPr>
          <w:p w14:paraId="195ED8BA">
            <w:pPr>
              <w:jc w:val="left"/>
              <w:rPr>
                <w:rFonts w:ascii="宋体" w:hAnsi="宋体" w:cs="宋体"/>
              </w:rPr>
            </w:pPr>
            <w:r>
              <w:rPr>
                <w:rFonts w:hint="eastAsia" w:ascii="宋体" w:hAnsi="宋体" w:cs="宋体"/>
              </w:rPr>
              <w:t xml:space="preserve">材料的可变现净值（用于生产） </w:t>
            </w:r>
          </w:p>
        </w:tc>
        <w:tc>
          <w:tcPr>
            <w:tcW w:w="3286" w:type="pct"/>
          </w:tcPr>
          <w:p w14:paraId="49C1DCF6">
            <w:pPr>
              <w:jc w:val="left"/>
              <w:rPr>
                <w:rFonts w:ascii="宋体" w:hAnsi="宋体" w:cs="宋体"/>
              </w:rPr>
            </w:pPr>
            <w:r>
              <w:rPr>
                <w:rFonts w:hint="eastAsia" w:ascii="宋体" w:hAnsi="宋体" w:cs="宋体"/>
              </w:rPr>
              <w:t xml:space="preserve">＝产品的可变现净值—进一步加工成本 </w:t>
            </w:r>
          </w:p>
          <w:p w14:paraId="0412ACD1">
            <w:pPr>
              <w:jc w:val="left"/>
              <w:rPr>
                <w:rFonts w:ascii="宋体" w:hAnsi="宋体" w:cs="宋体"/>
              </w:rPr>
            </w:pPr>
            <w:r>
              <w:rPr>
                <w:rFonts w:hint="eastAsia" w:ascii="宋体" w:hAnsi="宋体" w:cs="宋体"/>
              </w:rPr>
              <w:t xml:space="preserve">＝产品预计售价—进一步加工成本—预计销售费用—预计相关税费 </w:t>
            </w:r>
          </w:p>
        </w:tc>
      </w:tr>
      <w:tr w14:paraId="7B355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4" w:type="pct"/>
          </w:tcPr>
          <w:p w14:paraId="3CB31F3A">
            <w:pPr>
              <w:jc w:val="left"/>
              <w:rPr>
                <w:rFonts w:ascii="宋体" w:hAnsi="宋体" w:cs="宋体"/>
              </w:rPr>
            </w:pPr>
            <w:r>
              <w:rPr>
                <w:rFonts w:hint="eastAsia" w:ascii="宋体" w:hAnsi="宋体" w:cs="宋体"/>
              </w:rPr>
              <w:t>预计售价</w:t>
            </w:r>
          </w:p>
        </w:tc>
        <w:tc>
          <w:tcPr>
            <w:tcW w:w="3286" w:type="pct"/>
          </w:tcPr>
          <w:p w14:paraId="39AA09A0">
            <w:pPr>
              <w:jc w:val="left"/>
              <w:rPr>
                <w:rFonts w:ascii="宋体" w:hAnsi="宋体" w:cs="宋体"/>
              </w:rPr>
            </w:pPr>
            <w:r>
              <w:rPr>
                <w:rFonts w:hint="eastAsia" w:ascii="宋体" w:hAnsi="宋体" w:cs="宋体"/>
              </w:rPr>
              <w:t xml:space="preserve">有合同的按合同，无合同的按市价（一般售价） </w:t>
            </w:r>
          </w:p>
          <w:p w14:paraId="2C16C89F">
            <w:pPr>
              <w:jc w:val="left"/>
              <w:rPr>
                <w:rFonts w:ascii="宋体" w:hAnsi="宋体" w:cs="宋体"/>
              </w:rPr>
            </w:pPr>
            <w:r>
              <w:rPr>
                <w:rFonts w:hint="eastAsia" w:ascii="宋体" w:hAnsi="宋体" w:cs="宋体"/>
              </w:rPr>
              <w:t>链接：亏损合同</w:t>
            </w:r>
          </w:p>
        </w:tc>
      </w:tr>
    </w:tbl>
    <w:p w14:paraId="2727ADDE">
      <w:pPr>
        <w:overflowPunct w:val="0"/>
        <w:jc w:val="left"/>
        <w:rPr>
          <w:rFonts w:ascii="宋体" w:hAnsi="宋体" w:cs="宋体"/>
        </w:rPr>
      </w:pPr>
    </w:p>
    <w:tbl>
      <w:tblPr>
        <w:tblStyle w:val="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1"/>
        <w:gridCol w:w="1739"/>
        <w:gridCol w:w="6226"/>
      </w:tblGrid>
      <w:tr w14:paraId="64CBD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pct"/>
            <w:vMerge w:val="restart"/>
          </w:tcPr>
          <w:p w14:paraId="24463835">
            <w:pPr>
              <w:jc w:val="left"/>
              <w:rPr>
                <w:rFonts w:ascii="宋体" w:hAnsi="宋体" w:cs="宋体"/>
              </w:rPr>
            </w:pPr>
            <w:r>
              <w:rPr>
                <w:rFonts w:hint="eastAsia" w:ascii="宋体" w:hAnsi="宋体" w:cs="宋体"/>
              </w:rPr>
              <w:t xml:space="preserve">材料的可变现净值 </w:t>
            </w:r>
          </w:p>
        </w:tc>
        <w:tc>
          <w:tcPr>
            <w:tcW w:w="858" w:type="pct"/>
          </w:tcPr>
          <w:p w14:paraId="15543FE4">
            <w:pPr>
              <w:jc w:val="left"/>
              <w:rPr>
                <w:rFonts w:ascii="宋体" w:hAnsi="宋体" w:cs="宋体"/>
              </w:rPr>
            </w:pPr>
            <w:r>
              <w:rPr>
                <w:rFonts w:hint="eastAsia" w:ascii="宋体" w:hAnsi="宋体" w:cs="宋体"/>
              </w:rPr>
              <w:t>出售同商品</w:t>
            </w:r>
          </w:p>
        </w:tc>
        <w:tc>
          <w:tcPr>
            <w:tcW w:w="3071" w:type="pct"/>
          </w:tcPr>
          <w:p w14:paraId="42BD442F">
            <w:pPr>
              <w:jc w:val="left"/>
              <w:rPr>
                <w:rFonts w:ascii="宋体" w:hAnsi="宋体" w:cs="宋体"/>
              </w:rPr>
            </w:pPr>
            <w:r>
              <w:rPr>
                <w:rFonts w:hint="eastAsia" w:ascii="宋体" w:hAnsi="宋体" w:cs="宋体"/>
              </w:rPr>
              <w:t xml:space="preserve">可变现净值＝材料预计售价—预计销售费用—预计相关税费 </w:t>
            </w:r>
          </w:p>
        </w:tc>
      </w:tr>
      <w:tr w14:paraId="6F15F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pct"/>
            <w:vMerge w:val="continue"/>
          </w:tcPr>
          <w:p w14:paraId="5E451955">
            <w:pPr>
              <w:overflowPunct w:val="0"/>
              <w:jc w:val="left"/>
              <w:rPr>
                <w:rFonts w:ascii="宋体" w:hAnsi="宋体" w:cs="宋体"/>
              </w:rPr>
            </w:pPr>
          </w:p>
        </w:tc>
        <w:tc>
          <w:tcPr>
            <w:tcW w:w="858" w:type="pct"/>
            <w:vMerge w:val="restart"/>
          </w:tcPr>
          <w:p w14:paraId="59E4C30A">
            <w:pPr>
              <w:jc w:val="left"/>
              <w:rPr>
                <w:rFonts w:ascii="宋体" w:hAnsi="宋体" w:cs="宋体"/>
              </w:rPr>
            </w:pPr>
            <w:r>
              <w:rPr>
                <w:rFonts w:hint="eastAsia" w:ascii="宋体" w:hAnsi="宋体" w:cs="宋体"/>
              </w:rPr>
              <w:t>用于生产产品</w:t>
            </w:r>
          </w:p>
        </w:tc>
        <w:tc>
          <w:tcPr>
            <w:tcW w:w="3071" w:type="pct"/>
          </w:tcPr>
          <w:p w14:paraId="43A5E6C9">
            <w:pPr>
              <w:jc w:val="left"/>
              <w:rPr>
                <w:rFonts w:ascii="宋体" w:hAnsi="宋体" w:cs="宋体"/>
              </w:rPr>
            </w:pPr>
            <w:r>
              <w:rPr>
                <w:rFonts w:hint="eastAsia" w:ascii="宋体" w:hAnsi="宋体" w:cs="宋体"/>
              </w:rPr>
              <w:t>产品没减值，材料没减值，材料按成本计量</w:t>
            </w:r>
          </w:p>
        </w:tc>
      </w:tr>
      <w:tr w14:paraId="592F9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pct"/>
            <w:vMerge w:val="continue"/>
          </w:tcPr>
          <w:p w14:paraId="33C493EB">
            <w:pPr>
              <w:overflowPunct w:val="0"/>
              <w:jc w:val="left"/>
              <w:rPr>
                <w:rFonts w:ascii="宋体" w:hAnsi="宋体" w:cs="宋体"/>
              </w:rPr>
            </w:pPr>
          </w:p>
        </w:tc>
        <w:tc>
          <w:tcPr>
            <w:tcW w:w="858" w:type="pct"/>
            <w:vMerge w:val="continue"/>
          </w:tcPr>
          <w:p w14:paraId="17CBECE9">
            <w:pPr>
              <w:overflowPunct w:val="0"/>
              <w:jc w:val="left"/>
              <w:rPr>
                <w:rFonts w:ascii="宋体" w:hAnsi="宋体" w:cs="宋体"/>
              </w:rPr>
            </w:pPr>
          </w:p>
        </w:tc>
        <w:tc>
          <w:tcPr>
            <w:tcW w:w="3071" w:type="pct"/>
          </w:tcPr>
          <w:p w14:paraId="26BFB668">
            <w:pPr>
              <w:jc w:val="left"/>
              <w:rPr>
                <w:rFonts w:ascii="宋体" w:hAnsi="宋体" w:cs="宋体"/>
              </w:rPr>
            </w:pPr>
            <w:r>
              <w:rPr>
                <w:rFonts w:hint="eastAsia" w:ascii="宋体" w:hAnsi="宋体" w:cs="宋体"/>
              </w:rPr>
              <w:t>产品减值，材料减值，材料按成本与可变现净值孰低计量</w:t>
            </w:r>
          </w:p>
          <w:p w14:paraId="33060DD3">
            <w:pPr>
              <w:jc w:val="left"/>
              <w:rPr>
                <w:rFonts w:ascii="宋体" w:hAnsi="宋体" w:cs="宋体"/>
              </w:rPr>
            </w:pPr>
            <w:r>
              <w:rPr>
                <w:rFonts w:hint="eastAsia" w:ascii="宋体" w:hAnsi="宋体" w:cs="宋体"/>
              </w:rPr>
              <w:t xml:space="preserve">可变现净值＝产品预计售价—进一步加工成本—预计销售费用—预计相关税费 </w:t>
            </w:r>
          </w:p>
        </w:tc>
      </w:tr>
    </w:tbl>
    <w:p w14:paraId="729E7BFD">
      <w:pPr>
        <w:overflowPunct w:val="0"/>
        <w:jc w:val="left"/>
        <w:rPr>
          <w:rFonts w:hint="eastAsia" w:ascii="宋体" w:hAnsi="宋体" w:cs="宋体"/>
        </w:rPr>
      </w:pPr>
    </w:p>
    <w:tbl>
      <w:tblPr>
        <w:tblStyle w:val="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1"/>
        <w:gridCol w:w="1883"/>
        <w:gridCol w:w="6082"/>
      </w:tblGrid>
      <w:tr w14:paraId="4016C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pct"/>
            <w:vMerge w:val="restart"/>
          </w:tcPr>
          <w:p w14:paraId="7F729744">
            <w:pPr>
              <w:jc w:val="left"/>
              <w:rPr>
                <w:rFonts w:ascii="宋体" w:hAnsi="宋体" w:cs="宋体"/>
              </w:rPr>
            </w:pPr>
            <w:r>
              <w:rPr>
                <w:rFonts w:hint="eastAsia" w:ascii="宋体" w:hAnsi="宋体" w:cs="宋体"/>
              </w:rPr>
              <w:t>存货跌价准备</w:t>
            </w:r>
          </w:p>
        </w:tc>
        <w:tc>
          <w:tcPr>
            <w:tcW w:w="929" w:type="pct"/>
          </w:tcPr>
          <w:p w14:paraId="3C1314DA">
            <w:pPr>
              <w:jc w:val="left"/>
              <w:rPr>
                <w:rFonts w:ascii="宋体" w:hAnsi="宋体" w:cs="宋体"/>
              </w:rPr>
            </w:pPr>
            <w:r>
              <w:rPr>
                <w:rFonts w:hint="eastAsia" w:ascii="宋体" w:hAnsi="宋体" w:cs="宋体"/>
              </w:rPr>
              <w:t>计提</w:t>
            </w:r>
          </w:p>
        </w:tc>
        <w:tc>
          <w:tcPr>
            <w:tcW w:w="3000" w:type="pct"/>
          </w:tcPr>
          <w:p w14:paraId="7C95B36B">
            <w:pPr>
              <w:jc w:val="left"/>
              <w:rPr>
                <w:rFonts w:ascii="宋体" w:hAnsi="宋体" w:cs="宋体"/>
              </w:rPr>
            </w:pPr>
            <w:r>
              <w:rPr>
                <w:rFonts w:hint="eastAsia" w:ascii="宋体" w:hAnsi="宋体" w:cs="宋体"/>
              </w:rPr>
              <w:t>借：资产减值损失</w:t>
            </w:r>
          </w:p>
          <w:p w14:paraId="39BAA1D4">
            <w:pPr>
              <w:jc w:val="left"/>
              <w:rPr>
                <w:rFonts w:ascii="宋体" w:hAnsi="宋体" w:cs="宋体"/>
              </w:rPr>
            </w:pPr>
            <w:r>
              <w:rPr>
                <w:rFonts w:hint="eastAsia" w:ascii="宋体" w:hAnsi="宋体" w:cs="宋体"/>
              </w:rPr>
              <w:t>　　贷：存货跌价准备</w:t>
            </w:r>
          </w:p>
        </w:tc>
      </w:tr>
      <w:tr w14:paraId="75403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pct"/>
            <w:vMerge w:val="continue"/>
          </w:tcPr>
          <w:p w14:paraId="74A226E9">
            <w:pPr>
              <w:overflowPunct w:val="0"/>
              <w:jc w:val="left"/>
              <w:rPr>
                <w:rFonts w:ascii="宋体" w:hAnsi="宋体" w:cs="宋体"/>
              </w:rPr>
            </w:pPr>
          </w:p>
        </w:tc>
        <w:tc>
          <w:tcPr>
            <w:tcW w:w="929" w:type="pct"/>
          </w:tcPr>
          <w:p w14:paraId="7B0C52C0">
            <w:pPr>
              <w:jc w:val="left"/>
              <w:rPr>
                <w:rFonts w:ascii="宋体" w:hAnsi="宋体" w:cs="宋体"/>
              </w:rPr>
            </w:pPr>
            <w:r>
              <w:rPr>
                <w:rFonts w:hint="eastAsia" w:ascii="宋体" w:hAnsi="宋体" w:cs="宋体"/>
              </w:rPr>
              <w:t>销售商品</w:t>
            </w:r>
          </w:p>
        </w:tc>
        <w:tc>
          <w:tcPr>
            <w:tcW w:w="3000" w:type="pct"/>
          </w:tcPr>
          <w:p w14:paraId="531D3128">
            <w:pPr>
              <w:jc w:val="left"/>
              <w:rPr>
                <w:rFonts w:ascii="宋体" w:hAnsi="宋体" w:cs="宋体"/>
              </w:rPr>
            </w:pPr>
            <w:r>
              <w:rPr>
                <w:rFonts w:hint="eastAsia" w:ascii="宋体" w:hAnsi="宋体" w:cs="宋体"/>
              </w:rPr>
              <w:t>借：主营业务成本</w:t>
            </w:r>
          </w:p>
          <w:p w14:paraId="65B92A49">
            <w:pPr>
              <w:jc w:val="left"/>
              <w:rPr>
                <w:rFonts w:ascii="宋体" w:hAnsi="宋体" w:cs="宋体"/>
              </w:rPr>
            </w:pPr>
            <w:r>
              <w:rPr>
                <w:rFonts w:hint="eastAsia" w:ascii="宋体" w:hAnsi="宋体" w:cs="宋体"/>
              </w:rPr>
              <w:t>　　贷：库存商品</w:t>
            </w:r>
          </w:p>
          <w:p w14:paraId="6FAD6D31">
            <w:pPr>
              <w:jc w:val="left"/>
              <w:rPr>
                <w:rFonts w:ascii="宋体" w:hAnsi="宋体" w:cs="宋体"/>
              </w:rPr>
            </w:pPr>
            <w:r>
              <w:rPr>
                <w:rFonts w:hint="eastAsia" w:ascii="宋体" w:hAnsi="宋体" w:cs="宋体"/>
              </w:rPr>
              <w:t>借：存货跌价准备</w:t>
            </w:r>
          </w:p>
          <w:p w14:paraId="45B68D54">
            <w:pPr>
              <w:jc w:val="left"/>
              <w:rPr>
                <w:rFonts w:ascii="宋体" w:hAnsi="宋体" w:cs="宋体"/>
              </w:rPr>
            </w:pPr>
            <w:r>
              <w:rPr>
                <w:rFonts w:hint="eastAsia" w:ascii="宋体" w:hAnsi="宋体" w:cs="宋体"/>
              </w:rPr>
              <w:t>　　贷：主营业务成本</w:t>
            </w:r>
          </w:p>
        </w:tc>
      </w:tr>
      <w:tr w14:paraId="5FC24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pct"/>
            <w:vMerge w:val="continue"/>
          </w:tcPr>
          <w:p w14:paraId="7971E3B7">
            <w:pPr>
              <w:overflowPunct w:val="0"/>
              <w:jc w:val="left"/>
              <w:rPr>
                <w:rFonts w:ascii="宋体" w:hAnsi="宋体" w:cs="宋体"/>
              </w:rPr>
            </w:pPr>
          </w:p>
        </w:tc>
        <w:tc>
          <w:tcPr>
            <w:tcW w:w="929" w:type="pct"/>
          </w:tcPr>
          <w:p w14:paraId="7F45DB85">
            <w:pPr>
              <w:jc w:val="left"/>
              <w:rPr>
                <w:rFonts w:ascii="宋体" w:hAnsi="宋体" w:cs="宋体"/>
              </w:rPr>
            </w:pPr>
            <w:r>
              <w:rPr>
                <w:rFonts w:hint="eastAsia" w:ascii="宋体" w:hAnsi="宋体" w:cs="宋体"/>
              </w:rPr>
              <w:t>转回</w:t>
            </w:r>
          </w:p>
        </w:tc>
        <w:tc>
          <w:tcPr>
            <w:tcW w:w="3000" w:type="pct"/>
          </w:tcPr>
          <w:p w14:paraId="76EFD991">
            <w:pPr>
              <w:jc w:val="left"/>
              <w:rPr>
                <w:rFonts w:ascii="宋体" w:hAnsi="宋体" w:cs="宋体"/>
              </w:rPr>
            </w:pPr>
            <w:r>
              <w:rPr>
                <w:rFonts w:hint="eastAsia" w:ascii="宋体" w:hAnsi="宋体" w:cs="宋体"/>
              </w:rPr>
              <w:t>借：存货跌价准备</w:t>
            </w:r>
          </w:p>
          <w:p w14:paraId="558C7F95">
            <w:pPr>
              <w:jc w:val="left"/>
              <w:rPr>
                <w:rFonts w:ascii="宋体" w:hAnsi="宋体" w:cs="宋体"/>
              </w:rPr>
            </w:pPr>
            <w:r>
              <w:rPr>
                <w:rFonts w:hint="eastAsia" w:ascii="宋体" w:hAnsi="宋体" w:cs="宋体"/>
              </w:rPr>
              <w:t xml:space="preserve">   贷：资产减值损失</w:t>
            </w:r>
          </w:p>
          <w:p w14:paraId="2486719A">
            <w:pPr>
              <w:jc w:val="left"/>
              <w:rPr>
                <w:rFonts w:ascii="宋体" w:hAnsi="宋体" w:cs="宋体"/>
              </w:rPr>
            </w:pPr>
            <w:r>
              <w:rPr>
                <w:rFonts w:hint="eastAsia" w:ascii="宋体" w:hAnsi="宋体" w:cs="宋体"/>
              </w:rPr>
              <w:t>【考点】能转回的准备：</w:t>
            </w:r>
          </w:p>
        </w:tc>
      </w:tr>
    </w:tbl>
    <w:p w14:paraId="5830CA1A">
      <w:pPr>
        <w:jc w:val="left"/>
        <w:rPr>
          <w:rFonts w:hint="eastAsia"/>
        </w:rPr>
      </w:pPr>
    </w:p>
    <w:p w14:paraId="04802699">
      <w:pPr>
        <w:overflowPunct w:val="0"/>
        <w:jc w:val="center"/>
        <w:rPr>
          <w:rFonts w:ascii="宋体" w:hAnsi="宋体" w:cs="宋体"/>
          <w:b/>
          <w:bCs/>
        </w:rPr>
      </w:pPr>
      <w:r>
        <w:rPr>
          <w:rFonts w:hint="eastAsia" w:ascii="宋体" w:hAnsi="宋体" w:cs="宋体"/>
          <w:b/>
          <w:bCs/>
        </w:rPr>
        <w:t>第三章  固定资产</w:t>
      </w:r>
    </w:p>
    <w:p w14:paraId="7B9E7BA8">
      <w:pPr>
        <w:jc w:val="left"/>
        <w:rPr>
          <w:rFonts w:ascii="宋体" w:hAnsi="宋体" w:cs="宋体"/>
        </w:rPr>
      </w:pPr>
      <w:r>
        <w:rPr>
          <w:rFonts w:hint="eastAsia" w:ascii="宋体" w:hAnsi="宋体" w:cs="宋体"/>
        </w:rPr>
        <w:t>预计今年考核客观题和主观题，分值在3-8分左右。</w:t>
      </w:r>
    </w:p>
    <w:p w14:paraId="6083F1E2">
      <w:pPr>
        <w:jc w:val="left"/>
        <w:rPr>
          <w:rFonts w:ascii="宋体" w:hAnsi="宋体" w:cs="宋体"/>
          <w:color w:val="FF0000"/>
        </w:rPr>
      </w:pPr>
      <w:r>
        <w:rPr>
          <w:rFonts w:hint="eastAsia" w:ascii="宋体" w:hAnsi="宋体" w:cs="宋体"/>
          <w:color w:val="FF0000"/>
        </w:rPr>
        <w:t>【考点】★★与土地有关</w:t>
      </w:r>
    </w:p>
    <w:tbl>
      <w:tblPr>
        <w:tblStyle w:val="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5"/>
        <w:gridCol w:w="1739"/>
        <w:gridCol w:w="2319"/>
        <w:gridCol w:w="4343"/>
      </w:tblGrid>
      <w:tr w14:paraId="059C9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pct"/>
            <w:vMerge w:val="restart"/>
          </w:tcPr>
          <w:p w14:paraId="373E6B80">
            <w:pPr>
              <w:jc w:val="left"/>
              <w:rPr>
                <w:rFonts w:ascii="宋体" w:hAnsi="宋体" w:cs="宋体"/>
              </w:rPr>
            </w:pPr>
            <w:r>
              <w:rPr>
                <w:rFonts w:hint="eastAsia" w:ascii="宋体" w:hAnsi="宋体" w:cs="宋体"/>
              </w:rPr>
              <w:t xml:space="preserve">企业购入土地 </w:t>
            </w:r>
          </w:p>
        </w:tc>
        <w:tc>
          <w:tcPr>
            <w:tcW w:w="858" w:type="pct"/>
          </w:tcPr>
          <w:p w14:paraId="53FC618B">
            <w:pPr>
              <w:jc w:val="left"/>
              <w:rPr>
                <w:rFonts w:ascii="宋体" w:hAnsi="宋体" w:cs="宋体"/>
              </w:rPr>
            </w:pPr>
            <w:r>
              <w:rPr>
                <w:rFonts w:hint="eastAsia" w:ascii="宋体" w:hAnsi="宋体" w:cs="宋体"/>
              </w:rPr>
              <w:t xml:space="preserve">自用 </w:t>
            </w:r>
          </w:p>
        </w:tc>
        <w:tc>
          <w:tcPr>
            <w:tcW w:w="3286" w:type="pct"/>
            <w:gridSpan w:val="2"/>
          </w:tcPr>
          <w:p w14:paraId="51A19F44">
            <w:pPr>
              <w:jc w:val="left"/>
              <w:rPr>
                <w:rFonts w:ascii="宋体" w:hAnsi="宋体" w:cs="宋体"/>
              </w:rPr>
            </w:pPr>
            <w:r>
              <w:rPr>
                <w:rFonts w:hint="eastAsia" w:ascii="宋体" w:hAnsi="宋体" w:cs="宋体"/>
              </w:rPr>
              <w:t xml:space="preserve">无形资产 </w:t>
            </w:r>
          </w:p>
        </w:tc>
      </w:tr>
      <w:tr w14:paraId="060F8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pct"/>
            <w:vMerge w:val="continue"/>
          </w:tcPr>
          <w:p w14:paraId="14271366">
            <w:pPr>
              <w:jc w:val="left"/>
              <w:rPr>
                <w:rFonts w:ascii="宋体" w:hAnsi="宋体" w:cs="宋体"/>
              </w:rPr>
            </w:pPr>
          </w:p>
        </w:tc>
        <w:tc>
          <w:tcPr>
            <w:tcW w:w="858" w:type="pct"/>
          </w:tcPr>
          <w:p w14:paraId="53CC6B88">
            <w:pPr>
              <w:jc w:val="left"/>
              <w:rPr>
                <w:rFonts w:ascii="宋体" w:hAnsi="宋体" w:cs="宋体"/>
              </w:rPr>
            </w:pPr>
            <w:r>
              <w:rPr>
                <w:rFonts w:hint="eastAsia" w:ascii="宋体" w:hAnsi="宋体" w:cs="宋体"/>
              </w:rPr>
              <w:t xml:space="preserve">造不动产 </w:t>
            </w:r>
          </w:p>
        </w:tc>
        <w:tc>
          <w:tcPr>
            <w:tcW w:w="1144" w:type="pct"/>
          </w:tcPr>
          <w:p w14:paraId="2E54ACED">
            <w:pPr>
              <w:jc w:val="left"/>
              <w:rPr>
                <w:rFonts w:ascii="宋体" w:hAnsi="宋体" w:cs="宋体"/>
              </w:rPr>
            </w:pPr>
            <w:r>
              <w:rPr>
                <w:rFonts w:hint="eastAsia" w:ascii="宋体" w:hAnsi="宋体" w:cs="宋体"/>
              </w:rPr>
              <w:t xml:space="preserve">无形资产 </w:t>
            </w:r>
          </w:p>
        </w:tc>
        <w:tc>
          <w:tcPr>
            <w:tcW w:w="2142" w:type="pct"/>
          </w:tcPr>
          <w:p w14:paraId="2A84B91B">
            <w:pPr>
              <w:jc w:val="left"/>
              <w:rPr>
                <w:rFonts w:ascii="宋体" w:hAnsi="宋体" w:cs="宋体"/>
              </w:rPr>
            </w:pPr>
            <w:r>
              <w:rPr>
                <w:rFonts w:hint="eastAsia" w:ascii="宋体" w:hAnsi="宋体" w:cs="宋体"/>
              </w:rPr>
              <w:t xml:space="preserve">无形资产摊销计入在建工程 </w:t>
            </w:r>
          </w:p>
        </w:tc>
      </w:tr>
      <w:tr w14:paraId="3F1C8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pct"/>
            <w:vMerge w:val="continue"/>
          </w:tcPr>
          <w:p w14:paraId="0E188DBD">
            <w:pPr>
              <w:jc w:val="left"/>
              <w:rPr>
                <w:rFonts w:ascii="宋体" w:hAnsi="宋体" w:cs="宋体"/>
              </w:rPr>
            </w:pPr>
          </w:p>
        </w:tc>
        <w:tc>
          <w:tcPr>
            <w:tcW w:w="858" w:type="pct"/>
          </w:tcPr>
          <w:p w14:paraId="5DD9C1DD">
            <w:pPr>
              <w:jc w:val="left"/>
              <w:rPr>
                <w:rFonts w:ascii="宋体" w:hAnsi="宋体" w:cs="宋体"/>
              </w:rPr>
            </w:pPr>
            <w:r>
              <w:rPr>
                <w:rFonts w:hint="eastAsia" w:ascii="宋体" w:hAnsi="宋体" w:cs="宋体"/>
              </w:rPr>
              <w:t xml:space="preserve">出租或增值 </w:t>
            </w:r>
          </w:p>
        </w:tc>
        <w:tc>
          <w:tcPr>
            <w:tcW w:w="3286" w:type="pct"/>
            <w:gridSpan w:val="2"/>
          </w:tcPr>
          <w:p w14:paraId="09223AEA">
            <w:pPr>
              <w:jc w:val="left"/>
              <w:rPr>
                <w:rFonts w:ascii="宋体" w:hAnsi="宋体" w:cs="宋体"/>
              </w:rPr>
            </w:pPr>
            <w:r>
              <w:rPr>
                <w:rFonts w:hint="eastAsia" w:ascii="宋体" w:hAnsi="宋体" w:cs="宋体"/>
              </w:rPr>
              <w:t xml:space="preserve">投资性房地产 </w:t>
            </w:r>
          </w:p>
        </w:tc>
      </w:tr>
      <w:tr w14:paraId="40AEC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4" w:type="pct"/>
            <w:gridSpan w:val="2"/>
          </w:tcPr>
          <w:p w14:paraId="6FA5301A">
            <w:pPr>
              <w:jc w:val="left"/>
              <w:rPr>
                <w:rFonts w:ascii="宋体" w:hAnsi="宋体" w:cs="宋体"/>
              </w:rPr>
            </w:pPr>
            <w:r>
              <w:rPr>
                <w:rFonts w:hint="eastAsia" w:ascii="宋体" w:hAnsi="宋体" w:cs="宋体"/>
              </w:rPr>
              <w:t xml:space="preserve">房地产开发公司购入土地 </w:t>
            </w:r>
          </w:p>
        </w:tc>
        <w:tc>
          <w:tcPr>
            <w:tcW w:w="3286" w:type="pct"/>
            <w:gridSpan w:val="2"/>
          </w:tcPr>
          <w:p w14:paraId="15CDEB13">
            <w:pPr>
              <w:jc w:val="left"/>
              <w:rPr>
                <w:rFonts w:ascii="宋体" w:hAnsi="宋体" w:cs="宋体"/>
              </w:rPr>
            </w:pPr>
            <w:r>
              <w:rPr>
                <w:rFonts w:hint="eastAsia" w:ascii="宋体" w:hAnsi="宋体" w:cs="宋体"/>
              </w:rPr>
              <w:t xml:space="preserve">存货（开发成本） </w:t>
            </w:r>
          </w:p>
        </w:tc>
      </w:tr>
      <w:tr w14:paraId="721CB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4" w:type="pct"/>
            <w:gridSpan w:val="2"/>
            <w:vMerge w:val="restart"/>
          </w:tcPr>
          <w:p w14:paraId="2DE4B637">
            <w:pPr>
              <w:jc w:val="left"/>
              <w:rPr>
                <w:rFonts w:ascii="宋体" w:hAnsi="宋体" w:cs="宋体"/>
              </w:rPr>
            </w:pPr>
            <w:r>
              <w:rPr>
                <w:rFonts w:hint="eastAsia" w:ascii="宋体" w:hAnsi="宋体" w:cs="宋体"/>
              </w:rPr>
              <w:t xml:space="preserve">房＋地一起购入，自用 </w:t>
            </w:r>
          </w:p>
        </w:tc>
        <w:tc>
          <w:tcPr>
            <w:tcW w:w="1144" w:type="pct"/>
          </w:tcPr>
          <w:p w14:paraId="0CBF3088">
            <w:pPr>
              <w:jc w:val="left"/>
              <w:rPr>
                <w:rFonts w:ascii="宋体" w:hAnsi="宋体" w:cs="宋体"/>
              </w:rPr>
            </w:pPr>
            <w:r>
              <w:rPr>
                <w:rFonts w:hint="eastAsia" w:ascii="宋体" w:hAnsi="宋体" w:cs="宋体"/>
              </w:rPr>
              <w:t xml:space="preserve">能单独计量的 </w:t>
            </w:r>
          </w:p>
        </w:tc>
        <w:tc>
          <w:tcPr>
            <w:tcW w:w="2142" w:type="pct"/>
          </w:tcPr>
          <w:p w14:paraId="59DD28FA">
            <w:pPr>
              <w:jc w:val="left"/>
              <w:rPr>
                <w:rFonts w:ascii="宋体" w:hAnsi="宋体" w:cs="宋体"/>
              </w:rPr>
            </w:pPr>
            <w:r>
              <w:rPr>
                <w:rFonts w:hint="eastAsia" w:ascii="宋体" w:hAnsi="宋体" w:cs="宋体"/>
              </w:rPr>
              <w:t xml:space="preserve">房：固定资产；地：无形资产 </w:t>
            </w:r>
          </w:p>
        </w:tc>
      </w:tr>
      <w:tr w14:paraId="0365C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4" w:type="pct"/>
            <w:gridSpan w:val="2"/>
            <w:vMerge w:val="continue"/>
          </w:tcPr>
          <w:p w14:paraId="7371C4E3">
            <w:pPr>
              <w:jc w:val="left"/>
              <w:rPr>
                <w:rFonts w:ascii="宋体" w:hAnsi="宋体" w:cs="宋体"/>
              </w:rPr>
            </w:pPr>
          </w:p>
        </w:tc>
        <w:tc>
          <w:tcPr>
            <w:tcW w:w="1144" w:type="pct"/>
          </w:tcPr>
          <w:p w14:paraId="56578DC4">
            <w:pPr>
              <w:jc w:val="left"/>
              <w:rPr>
                <w:rFonts w:ascii="宋体" w:hAnsi="宋体" w:cs="宋体"/>
              </w:rPr>
            </w:pPr>
            <w:r>
              <w:rPr>
                <w:rFonts w:hint="eastAsia" w:ascii="宋体" w:hAnsi="宋体" w:cs="宋体"/>
              </w:rPr>
              <w:t xml:space="preserve">不能单独计量的 </w:t>
            </w:r>
          </w:p>
        </w:tc>
        <w:tc>
          <w:tcPr>
            <w:tcW w:w="2142" w:type="pct"/>
          </w:tcPr>
          <w:p w14:paraId="537FA0F5">
            <w:pPr>
              <w:jc w:val="left"/>
              <w:rPr>
                <w:rFonts w:ascii="宋体" w:hAnsi="宋体" w:cs="宋体"/>
              </w:rPr>
            </w:pPr>
            <w:r>
              <w:rPr>
                <w:rFonts w:hint="eastAsia" w:ascii="宋体" w:hAnsi="宋体" w:cs="宋体"/>
              </w:rPr>
              <w:t xml:space="preserve">房＋地：固定资产 </w:t>
            </w:r>
          </w:p>
        </w:tc>
      </w:tr>
    </w:tbl>
    <w:p w14:paraId="29CCC93F">
      <w:pPr>
        <w:jc w:val="left"/>
        <w:rPr>
          <w:rFonts w:ascii="宋体" w:hAnsi="宋体" w:cs="宋体"/>
        </w:rPr>
      </w:pPr>
      <w:r>
        <w:rPr>
          <w:rFonts w:hint="eastAsia" w:ascii="宋体" w:hAnsi="宋体" w:cs="宋体"/>
          <w:color w:val="FF0000"/>
        </w:rPr>
        <w:t>【考点】★★固定资产的确认和外购固定资产</w:t>
      </w:r>
      <w:r>
        <w:rPr>
          <w:rFonts w:hint="eastAsia" w:ascii="宋体" w:hAnsi="宋体" w:cs="宋体"/>
        </w:rPr>
        <w:t>（一般成本：价＋税＋费）</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6"/>
        <w:gridCol w:w="8112"/>
      </w:tblGrid>
      <w:tr w14:paraId="25420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Merge w:val="restart"/>
          </w:tcPr>
          <w:p w14:paraId="6F8F5F5D">
            <w:pPr>
              <w:jc w:val="center"/>
              <w:rPr>
                <w:rFonts w:ascii="宋体" w:hAnsi="宋体" w:cs="宋体"/>
              </w:rPr>
            </w:pPr>
            <w:r>
              <w:rPr>
                <w:rFonts w:hint="eastAsia" w:ascii="宋体" w:hAnsi="宋体" w:cs="宋体"/>
              </w:rPr>
              <w:t>属于固定资产</w:t>
            </w:r>
          </w:p>
        </w:tc>
        <w:tc>
          <w:tcPr>
            <w:tcW w:w="4001" w:type="pct"/>
          </w:tcPr>
          <w:p w14:paraId="0870E6DA">
            <w:pPr>
              <w:jc w:val="left"/>
              <w:rPr>
                <w:rFonts w:ascii="宋体" w:hAnsi="宋体" w:cs="宋体"/>
              </w:rPr>
            </w:pPr>
            <w:r>
              <w:rPr>
                <w:rFonts w:hint="eastAsia" w:ascii="宋体" w:hAnsi="宋体" w:cs="宋体"/>
                <w:color w:val="FF0000"/>
              </w:rPr>
              <w:t xml:space="preserve">环保设备和安全设备、民用航空运输企业的高价周转件 </w:t>
            </w:r>
          </w:p>
        </w:tc>
      </w:tr>
      <w:tr w14:paraId="55816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Merge w:val="continue"/>
          </w:tcPr>
          <w:p w14:paraId="3440633F">
            <w:pPr>
              <w:jc w:val="left"/>
              <w:rPr>
                <w:rFonts w:ascii="宋体" w:hAnsi="宋体" w:cs="宋体"/>
              </w:rPr>
            </w:pPr>
          </w:p>
        </w:tc>
        <w:tc>
          <w:tcPr>
            <w:tcW w:w="4001" w:type="pct"/>
          </w:tcPr>
          <w:p w14:paraId="4FBAACA4">
            <w:pPr>
              <w:jc w:val="left"/>
              <w:rPr>
                <w:rFonts w:ascii="宋体" w:hAnsi="宋体" w:cs="宋体"/>
              </w:rPr>
            </w:pPr>
            <w:r>
              <w:rPr>
                <w:rFonts w:hint="eastAsia" w:ascii="宋体" w:hAnsi="宋体" w:cs="宋体"/>
              </w:rPr>
              <w:t>固定资产的各组成部分具有不同使用寿命或者以不同方式为企业提供经济利益，</w:t>
            </w:r>
            <w:r>
              <w:rPr>
                <w:rFonts w:hint="eastAsia" w:ascii="宋体" w:hAnsi="宋体" w:cs="宋体"/>
                <w:color w:val="FF0000"/>
              </w:rPr>
              <w:t xml:space="preserve">适用不同折旧率或折旧方法的，应当分别将各组成部分确认为单项固定资产 </w:t>
            </w:r>
          </w:p>
        </w:tc>
      </w:tr>
      <w:tr w14:paraId="51545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tcPr>
          <w:p w14:paraId="0F79EDD3">
            <w:pPr>
              <w:jc w:val="center"/>
              <w:rPr>
                <w:rFonts w:hint="eastAsia" w:ascii="宋体" w:hAnsi="宋体" w:cs="宋体"/>
              </w:rPr>
            </w:pPr>
            <w:r>
              <w:rPr>
                <w:rFonts w:hint="eastAsia" w:ascii="宋体" w:hAnsi="宋体" w:cs="宋体"/>
              </w:rPr>
              <w:t>外购固定资产</w:t>
            </w:r>
          </w:p>
        </w:tc>
        <w:tc>
          <w:tcPr>
            <w:tcW w:w="4001" w:type="pct"/>
          </w:tcPr>
          <w:p w14:paraId="384B1FA4">
            <w:pPr>
              <w:jc w:val="left"/>
              <w:rPr>
                <w:rFonts w:ascii="宋体" w:hAnsi="宋体" w:cs="宋体"/>
              </w:rPr>
            </w:pPr>
            <w:r>
              <w:rPr>
                <w:rFonts w:hint="eastAsia" w:ascii="宋体" w:hAnsi="宋体" w:cs="宋体"/>
              </w:rPr>
              <w:t>购买价款、相关税费、使固定资产达到预定可使用状态前所发生的可归属于该项资产的运输费、装卸费、安装费和</w:t>
            </w:r>
            <w:r>
              <w:rPr>
                <w:rFonts w:hint="eastAsia" w:ascii="宋体" w:hAnsi="宋体" w:cs="宋体"/>
                <w:color w:val="FF0000"/>
              </w:rPr>
              <w:t>专业人员服务费</w:t>
            </w:r>
            <w:r>
              <w:rPr>
                <w:rFonts w:hint="eastAsia" w:ascii="宋体" w:hAnsi="宋体" w:cs="宋体"/>
              </w:rPr>
              <w:t xml:space="preserve">等。 </w:t>
            </w:r>
          </w:p>
          <w:p w14:paraId="5590FDAE">
            <w:pPr>
              <w:jc w:val="left"/>
              <w:rPr>
                <w:rFonts w:ascii="宋体" w:hAnsi="宋体" w:cs="宋体"/>
              </w:rPr>
            </w:pPr>
            <w:r>
              <w:rPr>
                <w:rFonts w:hint="eastAsia" w:ascii="宋体" w:hAnsi="宋体" w:cs="宋体"/>
              </w:rPr>
              <w:t xml:space="preserve">借：固定资产 </w:t>
            </w:r>
          </w:p>
          <w:p w14:paraId="0163C0D3">
            <w:pPr>
              <w:jc w:val="left"/>
              <w:rPr>
                <w:rFonts w:ascii="宋体" w:hAnsi="宋体" w:cs="宋体"/>
              </w:rPr>
            </w:pPr>
            <w:r>
              <w:rPr>
                <w:rFonts w:hint="eastAsia" w:ascii="宋体" w:hAnsi="宋体" w:cs="宋体"/>
              </w:rPr>
              <w:t xml:space="preserve">　　应交税费——应交增值税（进项税额） </w:t>
            </w:r>
          </w:p>
          <w:p w14:paraId="0AB280C2">
            <w:pPr>
              <w:jc w:val="left"/>
              <w:rPr>
                <w:rFonts w:ascii="宋体" w:hAnsi="宋体" w:cs="宋体"/>
              </w:rPr>
            </w:pPr>
            <w:r>
              <w:rPr>
                <w:rFonts w:hint="eastAsia" w:ascii="宋体" w:hAnsi="宋体" w:cs="宋体"/>
              </w:rPr>
              <w:t xml:space="preserve">　　贷：银行存款 </w:t>
            </w:r>
          </w:p>
        </w:tc>
      </w:tr>
      <w:tr w14:paraId="54732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tcPr>
          <w:p w14:paraId="73DA1BF0">
            <w:pPr>
              <w:jc w:val="center"/>
              <w:rPr>
                <w:rFonts w:ascii="宋体" w:hAnsi="宋体" w:cs="宋体"/>
              </w:rPr>
            </w:pPr>
            <w:r>
              <w:rPr>
                <w:rFonts w:hint="eastAsia" w:ascii="宋体" w:hAnsi="宋体" w:cs="宋体"/>
              </w:rPr>
              <w:t>自建固定资产</w:t>
            </w:r>
          </w:p>
        </w:tc>
        <w:tc>
          <w:tcPr>
            <w:tcW w:w="4001" w:type="pct"/>
          </w:tcPr>
          <w:p w14:paraId="0AE71A65">
            <w:pPr>
              <w:jc w:val="left"/>
              <w:rPr>
                <w:rFonts w:ascii="宋体" w:hAnsi="宋体" w:cs="宋体"/>
              </w:rPr>
            </w:pPr>
            <w:r>
              <w:rPr>
                <w:rFonts w:hint="eastAsia" w:ascii="宋体" w:hAnsi="宋体" w:cs="宋体"/>
              </w:rPr>
              <w:t xml:space="preserve">借：在建工程 </w:t>
            </w:r>
          </w:p>
          <w:p w14:paraId="537FE892">
            <w:pPr>
              <w:jc w:val="left"/>
              <w:rPr>
                <w:rFonts w:ascii="宋体" w:hAnsi="宋体" w:cs="宋体"/>
              </w:rPr>
            </w:pPr>
            <w:r>
              <w:rPr>
                <w:rFonts w:hint="eastAsia" w:ascii="宋体" w:hAnsi="宋体" w:cs="宋体"/>
              </w:rPr>
              <w:t xml:space="preserve">　　应交税费——应交增值税（进项税额） </w:t>
            </w:r>
          </w:p>
          <w:p w14:paraId="4C4B5ABF">
            <w:pPr>
              <w:jc w:val="left"/>
              <w:rPr>
                <w:rFonts w:ascii="宋体" w:hAnsi="宋体" w:cs="宋体"/>
              </w:rPr>
            </w:pPr>
            <w:r>
              <w:rPr>
                <w:rFonts w:hint="eastAsia" w:ascii="宋体" w:hAnsi="宋体" w:cs="宋体"/>
              </w:rPr>
              <w:t>　 贷：银行存款</w:t>
            </w:r>
          </w:p>
          <w:p w14:paraId="53056C7B">
            <w:pPr>
              <w:jc w:val="left"/>
              <w:rPr>
                <w:rFonts w:ascii="宋体" w:hAnsi="宋体" w:cs="宋体"/>
              </w:rPr>
            </w:pPr>
            <w:r>
              <w:rPr>
                <w:rFonts w:hint="eastAsia" w:ascii="宋体" w:hAnsi="宋体" w:cs="宋体"/>
              </w:rPr>
              <w:t>借：固定资产</w:t>
            </w:r>
          </w:p>
          <w:p w14:paraId="39F77CBB">
            <w:pPr>
              <w:jc w:val="left"/>
              <w:rPr>
                <w:rFonts w:ascii="宋体" w:hAnsi="宋体" w:cs="宋体"/>
              </w:rPr>
            </w:pPr>
            <w:r>
              <w:rPr>
                <w:rFonts w:hint="eastAsia" w:ascii="宋体" w:hAnsi="宋体" w:cs="宋体"/>
              </w:rPr>
              <w:t xml:space="preserve">   贷：在建工程</w:t>
            </w:r>
          </w:p>
        </w:tc>
      </w:tr>
      <w:tr w14:paraId="51E30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tcPr>
          <w:p w14:paraId="65C94DB5">
            <w:pPr>
              <w:jc w:val="center"/>
              <w:rPr>
                <w:rFonts w:ascii="宋体" w:hAnsi="宋体" w:cs="宋体"/>
              </w:rPr>
            </w:pPr>
            <w:r>
              <w:rPr>
                <w:rFonts w:hint="eastAsia" w:ascii="宋体" w:hAnsi="宋体" w:cs="宋体"/>
              </w:rPr>
              <w:t>公允价值比例分配</w:t>
            </w:r>
          </w:p>
        </w:tc>
        <w:tc>
          <w:tcPr>
            <w:tcW w:w="4001" w:type="pct"/>
          </w:tcPr>
          <w:p w14:paraId="009F349B">
            <w:pPr>
              <w:jc w:val="left"/>
              <w:rPr>
                <w:rFonts w:ascii="宋体" w:hAnsi="宋体" w:cs="宋体"/>
              </w:rPr>
            </w:pPr>
            <w:r>
              <w:rPr>
                <w:rFonts w:hint="eastAsia" w:ascii="宋体" w:hAnsi="宋体" w:cs="宋体"/>
              </w:rPr>
              <w:t xml:space="preserve">以一笔款项购入多项没有单独标价的固定资产，应当按照各项固定资产的公允价值比例对总成本进行分配，分别确定各项固定资产的成本。 </w:t>
            </w:r>
          </w:p>
        </w:tc>
      </w:tr>
    </w:tbl>
    <w:p w14:paraId="7F450F81">
      <w:pPr>
        <w:jc w:val="left"/>
        <w:rPr>
          <w:rFonts w:ascii="宋体" w:hAnsi="宋体" w:cs="宋体"/>
        </w:rPr>
      </w:pPr>
      <w:r>
        <w:rPr>
          <w:rFonts w:hint="eastAsia" w:ascii="宋体" w:hAnsi="宋体" w:cs="宋体"/>
          <w:color w:val="FF0000"/>
        </w:rPr>
        <w:t>【考点】自行建造固定资产</w:t>
      </w:r>
      <w:r>
        <w:rPr>
          <w:rFonts w:hint="eastAsia" w:ascii="宋体" w:hAnsi="宋体" w:cs="宋体"/>
        </w:rPr>
        <w:t>（一般成本：价＋税＋费）</w:t>
      </w:r>
    </w:p>
    <w:tbl>
      <w:tblPr>
        <w:tblStyle w:val="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5"/>
        <w:gridCol w:w="2029"/>
        <w:gridCol w:w="6082"/>
      </w:tblGrid>
      <w:tr w14:paraId="62ABC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Merge w:val="restart"/>
          </w:tcPr>
          <w:p w14:paraId="4DAB99F3">
            <w:pPr>
              <w:jc w:val="center"/>
              <w:rPr>
                <w:rFonts w:ascii="宋体" w:hAnsi="宋体" w:cs="宋体"/>
              </w:rPr>
            </w:pPr>
            <w:r>
              <w:rPr>
                <w:rFonts w:hint="eastAsia" w:ascii="宋体" w:hAnsi="宋体" w:cs="宋体"/>
              </w:rPr>
              <w:t xml:space="preserve">自行建造 </w:t>
            </w:r>
          </w:p>
          <w:p w14:paraId="46F005E1">
            <w:pPr>
              <w:jc w:val="center"/>
              <w:rPr>
                <w:rFonts w:ascii="宋体" w:hAnsi="宋体" w:cs="宋体"/>
              </w:rPr>
            </w:pPr>
            <w:r>
              <w:rPr>
                <w:rFonts w:hint="eastAsia" w:ascii="宋体" w:hAnsi="宋体" w:cs="宋体"/>
              </w:rPr>
              <w:t>（自营）</w:t>
            </w:r>
          </w:p>
        </w:tc>
        <w:tc>
          <w:tcPr>
            <w:tcW w:w="1001" w:type="pct"/>
          </w:tcPr>
          <w:p w14:paraId="49AF9255">
            <w:pPr>
              <w:jc w:val="center"/>
              <w:rPr>
                <w:rFonts w:ascii="宋体" w:hAnsi="宋体" w:cs="宋体"/>
              </w:rPr>
            </w:pPr>
            <w:r>
              <w:rPr>
                <w:rFonts w:hint="eastAsia" w:ascii="宋体" w:hAnsi="宋体" w:cs="宋体"/>
              </w:rPr>
              <w:t>自建固定资产</w:t>
            </w:r>
          </w:p>
        </w:tc>
        <w:tc>
          <w:tcPr>
            <w:tcW w:w="3000" w:type="pct"/>
          </w:tcPr>
          <w:p w14:paraId="7D109CE4">
            <w:pPr>
              <w:jc w:val="left"/>
              <w:rPr>
                <w:rFonts w:ascii="宋体" w:hAnsi="宋体" w:cs="宋体"/>
              </w:rPr>
            </w:pPr>
            <w:r>
              <w:rPr>
                <w:rFonts w:hint="eastAsia" w:ascii="宋体" w:hAnsi="宋体" w:cs="宋体"/>
              </w:rPr>
              <w:t xml:space="preserve">借：在建工程 </w:t>
            </w:r>
          </w:p>
          <w:p w14:paraId="601521F3">
            <w:pPr>
              <w:jc w:val="left"/>
              <w:rPr>
                <w:rFonts w:ascii="宋体" w:hAnsi="宋体" w:cs="宋体"/>
              </w:rPr>
            </w:pPr>
            <w:r>
              <w:rPr>
                <w:rFonts w:hint="eastAsia" w:ascii="宋体" w:hAnsi="宋体" w:cs="宋体"/>
              </w:rPr>
              <w:t xml:space="preserve">　  应交税费——应交增值税（进项税额） </w:t>
            </w:r>
          </w:p>
          <w:p w14:paraId="0AE8CCD7">
            <w:pPr>
              <w:jc w:val="left"/>
              <w:rPr>
                <w:rFonts w:ascii="宋体" w:hAnsi="宋体" w:cs="宋体"/>
              </w:rPr>
            </w:pPr>
            <w:r>
              <w:rPr>
                <w:rFonts w:hint="eastAsia" w:ascii="宋体" w:hAnsi="宋体" w:cs="宋体"/>
              </w:rPr>
              <w:t xml:space="preserve">　 </w:t>
            </w:r>
            <w:r>
              <w:rPr>
                <w:rFonts w:ascii="宋体" w:hAnsi="宋体" w:cs="宋体"/>
              </w:rPr>
              <w:t xml:space="preserve"> </w:t>
            </w:r>
            <w:r>
              <w:rPr>
                <w:rFonts w:hint="eastAsia" w:ascii="宋体" w:hAnsi="宋体" w:cs="宋体"/>
              </w:rPr>
              <w:t>贷：银行存款</w:t>
            </w:r>
          </w:p>
          <w:p w14:paraId="14D060B8">
            <w:pPr>
              <w:jc w:val="left"/>
              <w:rPr>
                <w:rFonts w:ascii="宋体" w:hAnsi="宋体" w:cs="宋体"/>
              </w:rPr>
            </w:pPr>
            <w:r>
              <w:rPr>
                <w:rFonts w:hint="eastAsia" w:ascii="宋体" w:hAnsi="宋体" w:cs="宋体"/>
              </w:rPr>
              <w:t>借：固定资产</w:t>
            </w:r>
          </w:p>
          <w:p w14:paraId="4582606B">
            <w:pPr>
              <w:jc w:val="left"/>
              <w:rPr>
                <w:rFonts w:ascii="宋体" w:hAnsi="宋体" w:cs="宋体"/>
              </w:rPr>
            </w:pPr>
            <w:r>
              <w:rPr>
                <w:rFonts w:hint="eastAsia" w:ascii="宋体" w:hAnsi="宋体" w:cs="宋体"/>
              </w:rPr>
              <w:t xml:space="preserve">    贷：在建工程</w:t>
            </w:r>
          </w:p>
        </w:tc>
      </w:tr>
      <w:tr w14:paraId="5566B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Merge w:val="continue"/>
          </w:tcPr>
          <w:p w14:paraId="2466022E">
            <w:pPr>
              <w:jc w:val="left"/>
              <w:rPr>
                <w:rFonts w:ascii="宋体" w:hAnsi="宋体" w:cs="宋体"/>
              </w:rPr>
            </w:pPr>
          </w:p>
        </w:tc>
        <w:tc>
          <w:tcPr>
            <w:tcW w:w="1001" w:type="pct"/>
            <w:vMerge w:val="restart"/>
          </w:tcPr>
          <w:p w14:paraId="2E5A96E8">
            <w:pPr>
              <w:jc w:val="center"/>
              <w:rPr>
                <w:rFonts w:ascii="宋体" w:hAnsi="宋体" w:cs="宋体"/>
                <w:color w:val="FF0000"/>
              </w:rPr>
            </w:pPr>
            <w:r>
              <w:rPr>
                <w:rFonts w:hint="eastAsia" w:ascii="宋体" w:hAnsi="宋体" w:cs="宋体"/>
                <w:color w:val="FF0000"/>
              </w:rPr>
              <w:t xml:space="preserve">建设期间 </w:t>
            </w:r>
          </w:p>
        </w:tc>
        <w:tc>
          <w:tcPr>
            <w:tcW w:w="3000" w:type="pct"/>
          </w:tcPr>
          <w:p w14:paraId="6D02C111">
            <w:pPr>
              <w:jc w:val="left"/>
              <w:rPr>
                <w:rFonts w:ascii="宋体" w:hAnsi="宋体" w:cs="宋体"/>
              </w:rPr>
            </w:pPr>
            <w:r>
              <w:rPr>
                <w:rFonts w:hint="eastAsia" w:ascii="宋体" w:hAnsi="宋体" w:cs="宋体"/>
              </w:rPr>
              <w:t xml:space="preserve">工程物资盘亏、报废及毁损残料价值以及保险公司、过失人等赔款后的净损失，计入所建工程项目的成本 </w:t>
            </w:r>
          </w:p>
        </w:tc>
      </w:tr>
      <w:tr w14:paraId="121B9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Merge w:val="continue"/>
          </w:tcPr>
          <w:p w14:paraId="447A5A1B">
            <w:pPr>
              <w:jc w:val="left"/>
              <w:rPr>
                <w:rFonts w:ascii="宋体" w:hAnsi="宋体" w:cs="宋体"/>
              </w:rPr>
            </w:pPr>
          </w:p>
        </w:tc>
        <w:tc>
          <w:tcPr>
            <w:tcW w:w="1001" w:type="pct"/>
            <w:vMerge w:val="continue"/>
          </w:tcPr>
          <w:p w14:paraId="6DB3CA99">
            <w:pPr>
              <w:jc w:val="left"/>
              <w:rPr>
                <w:rFonts w:ascii="宋体" w:hAnsi="宋体" w:cs="宋体"/>
                <w:color w:val="FF0000"/>
              </w:rPr>
            </w:pPr>
          </w:p>
        </w:tc>
        <w:tc>
          <w:tcPr>
            <w:tcW w:w="3000" w:type="pct"/>
          </w:tcPr>
          <w:p w14:paraId="1FAA7CAA">
            <w:pPr>
              <w:jc w:val="left"/>
              <w:rPr>
                <w:rFonts w:ascii="宋体" w:hAnsi="宋体" w:cs="宋体"/>
              </w:rPr>
            </w:pPr>
            <w:r>
              <w:rPr>
                <w:rFonts w:hint="eastAsia" w:ascii="宋体" w:hAnsi="宋体" w:cs="宋体"/>
              </w:rPr>
              <w:t xml:space="preserve">盘盈的工程物资，冲减所建工程项目的成本 </w:t>
            </w:r>
          </w:p>
        </w:tc>
      </w:tr>
      <w:tr w14:paraId="64B48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Merge w:val="continue"/>
          </w:tcPr>
          <w:p w14:paraId="0306C231">
            <w:pPr>
              <w:jc w:val="left"/>
              <w:rPr>
                <w:rFonts w:ascii="宋体" w:hAnsi="宋体" w:cs="宋体"/>
              </w:rPr>
            </w:pPr>
          </w:p>
        </w:tc>
        <w:tc>
          <w:tcPr>
            <w:tcW w:w="1001" w:type="pct"/>
          </w:tcPr>
          <w:p w14:paraId="13CADEF4">
            <w:pPr>
              <w:jc w:val="center"/>
              <w:rPr>
                <w:rFonts w:ascii="宋体" w:hAnsi="宋体" w:cs="宋体"/>
                <w:color w:val="FF0000"/>
              </w:rPr>
            </w:pPr>
            <w:r>
              <w:rPr>
                <w:rFonts w:hint="eastAsia" w:ascii="宋体" w:hAnsi="宋体" w:cs="宋体"/>
                <w:color w:val="FF0000"/>
              </w:rPr>
              <w:t xml:space="preserve">工程完工后 </w:t>
            </w:r>
          </w:p>
        </w:tc>
        <w:tc>
          <w:tcPr>
            <w:tcW w:w="3000" w:type="pct"/>
          </w:tcPr>
          <w:p w14:paraId="409F6D89">
            <w:pPr>
              <w:jc w:val="left"/>
              <w:rPr>
                <w:rFonts w:ascii="宋体" w:hAnsi="宋体" w:cs="宋体"/>
              </w:rPr>
            </w:pPr>
            <w:r>
              <w:rPr>
                <w:rFonts w:hint="eastAsia" w:ascii="宋体" w:hAnsi="宋体" w:cs="宋体"/>
              </w:rPr>
              <w:t xml:space="preserve">工程物资盘盈、盘亏、报废、毁损，计入当期营业外收支 </w:t>
            </w:r>
          </w:p>
        </w:tc>
      </w:tr>
    </w:tbl>
    <w:p w14:paraId="2AA69BBD">
      <w:pPr>
        <w:jc w:val="left"/>
        <w:rPr>
          <w:rFonts w:ascii="宋体" w:hAnsi="宋体" w:cs="宋体"/>
          <w:color w:val="FF0000"/>
        </w:rPr>
      </w:pPr>
      <w:r>
        <w:rPr>
          <w:rFonts w:hint="eastAsia" w:ascii="宋体" w:hAnsi="宋体" w:cs="宋体"/>
          <w:color w:val="FF0000"/>
        </w:rPr>
        <w:t>【考点】★存在弃置费用的固定资产</w:t>
      </w:r>
    </w:p>
    <w:tbl>
      <w:tblPr>
        <w:tblStyle w:val="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78"/>
        <w:gridCol w:w="2707"/>
        <w:gridCol w:w="4051"/>
      </w:tblGrid>
      <w:tr w14:paraId="6D8E1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14:paraId="1DD40752">
            <w:pPr>
              <w:jc w:val="left"/>
              <w:rPr>
                <w:rFonts w:ascii="宋体" w:hAnsi="宋体" w:cs="宋体"/>
              </w:rPr>
            </w:pPr>
            <w:r>
              <w:rPr>
                <w:rFonts w:hint="eastAsia" w:ascii="宋体" w:hAnsi="宋体" w:cs="宋体"/>
              </w:rPr>
              <w:t xml:space="preserve">1.特殊行业的特定固定资产 </w:t>
            </w:r>
          </w:p>
        </w:tc>
        <w:tc>
          <w:tcPr>
            <w:tcW w:w="1335" w:type="pct"/>
          </w:tcPr>
          <w:p w14:paraId="2AE84C34">
            <w:pPr>
              <w:jc w:val="center"/>
              <w:rPr>
                <w:rFonts w:hint="eastAsia" w:ascii="宋体" w:hAnsi="宋体" w:cs="宋体"/>
              </w:rPr>
            </w:pPr>
            <w:r>
              <w:rPr>
                <w:rFonts w:hint="eastAsia" w:ascii="宋体" w:hAnsi="宋体" w:cs="宋体"/>
              </w:rPr>
              <w:t>预计弃置费时</w:t>
            </w:r>
          </w:p>
        </w:tc>
        <w:tc>
          <w:tcPr>
            <w:tcW w:w="1998" w:type="pct"/>
          </w:tcPr>
          <w:p w14:paraId="4A93CFF6">
            <w:pPr>
              <w:jc w:val="left"/>
              <w:rPr>
                <w:rFonts w:ascii="宋体" w:hAnsi="宋体" w:cs="宋体"/>
              </w:rPr>
            </w:pPr>
            <w:r>
              <w:rPr>
                <w:rFonts w:hint="eastAsia" w:ascii="宋体" w:hAnsi="宋体" w:cs="宋体"/>
              </w:rPr>
              <w:t xml:space="preserve">借：固定资产（弃置费现值） </w:t>
            </w:r>
          </w:p>
          <w:p w14:paraId="4E4143BE">
            <w:pPr>
              <w:jc w:val="left"/>
              <w:rPr>
                <w:rFonts w:ascii="宋体" w:hAnsi="宋体" w:cs="宋体"/>
              </w:rPr>
            </w:pPr>
            <w:r>
              <w:rPr>
                <w:rFonts w:hint="eastAsia" w:ascii="宋体" w:hAnsi="宋体" w:cs="宋体"/>
              </w:rPr>
              <w:t>　　贷：预计负债　</w:t>
            </w:r>
          </w:p>
        </w:tc>
      </w:tr>
      <w:tr w14:paraId="11944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14:paraId="6EB1B2CE">
            <w:pPr>
              <w:jc w:val="left"/>
              <w:rPr>
                <w:rFonts w:ascii="宋体" w:hAnsi="宋体" w:cs="宋体"/>
              </w:rPr>
            </w:pPr>
            <w:r>
              <w:rPr>
                <w:rFonts w:hint="eastAsia" w:ascii="宋体" w:hAnsi="宋体" w:cs="宋体"/>
              </w:rPr>
              <w:t xml:space="preserve">2.企业应当按照弃置费用的现值计入相关固定资产成本 </w:t>
            </w:r>
          </w:p>
        </w:tc>
        <w:tc>
          <w:tcPr>
            <w:tcW w:w="1335" w:type="pct"/>
          </w:tcPr>
          <w:p w14:paraId="71CE7D94">
            <w:pPr>
              <w:jc w:val="center"/>
              <w:rPr>
                <w:rFonts w:ascii="宋体" w:hAnsi="宋体" w:cs="宋体"/>
              </w:rPr>
            </w:pPr>
            <w:r>
              <w:rPr>
                <w:rFonts w:hint="eastAsia" w:ascii="宋体" w:hAnsi="宋体" w:cs="宋体"/>
              </w:rPr>
              <w:t xml:space="preserve">每期按实际利率计提预计负债的利息费用 </w:t>
            </w:r>
          </w:p>
        </w:tc>
        <w:tc>
          <w:tcPr>
            <w:tcW w:w="1998" w:type="pct"/>
          </w:tcPr>
          <w:p w14:paraId="22382943">
            <w:pPr>
              <w:jc w:val="left"/>
              <w:rPr>
                <w:rFonts w:ascii="宋体" w:hAnsi="宋体" w:cs="宋体"/>
              </w:rPr>
            </w:pPr>
            <w:r>
              <w:rPr>
                <w:rFonts w:hint="eastAsia" w:ascii="宋体" w:hAnsi="宋体" w:cs="宋体"/>
              </w:rPr>
              <w:t xml:space="preserve">借：财务费用 </w:t>
            </w:r>
          </w:p>
          <w:p w14:paraId="04815037">
            <w:pPr>
              <w:jc w:val="left"/>
              <w:rPr>
                <w:rFonts w:ascii="宋体" w:hAnsi="宋体" w:cs="宋体"/>
              </w:rPr>
            </w:pPr>
            <w:r>
              <w:rPr>
                <w:rFonts w:hint="eastAsia" w:ascii="宋体" w:hAnsi="宋体" w:cs="宋体"/>
              </w:rPr>
              <w:t>　　贷：预计负债</w:t>
            </w:r>
          </w:p>
        </w:tc>
      </w:tr>
      <w:tr w14:paraId="06724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vMerge w:val="restart"/>
          </w:tcPr>
          <w:p w14:paraId="0C6490E1">
            <w:pPr>
              <w:jc w:val="left"/>
              <w:rPr>
                <w:rFonts w:ascii="宋体" w:hAnsi="宋体" w:cs="宋体"/>
              </w:rPr>
            </w:pPr>
            <w:r>
              <w:rPr>
                <w:rFonts w:hint="eastAsia" w:ascii="宋体" w:hAnsi="宋体" w:cs="宋体"/>
              </w:rPr>
              <w:t>3.预计负债变动</w:t>
            </w:r>
          </w:p>
        </w:tc>
        <w:tc>
          <w:tcPr>
            <w:tcW w:w="1335" w:type="pct"/>
          </w:tcPr>
          <w:p w14:paraId="67E2E13E">
            <w:pPr>
              <w:jc w:val="center"/>
              <w:rPr>
                <w:rFonts w:ascii="宋体" w:hAnsi="宋体" w:cs="宋体"/>
              </w:rPr>
            </w:pPr>
            <w:r>
              <w:rPr>
                <w:rFonts w:hint="eastAsia" w:ascii="宋体" w:hAnsi="宋体" w:cs="宋体"/>
              </w:rPr>
              <w:t>增加</w:t>
            </w:r>
          </w:p>
        </w:tc>
        <w:tc>
          <w:tcPr>
            <w:tcW w:w="1998" w:type="pct"/>
          </w:tcPr>
          <w:p w14:paraId="54A24310">
            <w:pPr>
              <w:jc w:val="left"/>
              <w:rPr>
                <w:rFonts w:ascii="宋体" w:hAnsi="宋体" w:cs="宋体"/>
              </w:rPr>
            </w:pPr>
            <w:r>
              <w:rPr>
                <w:rFonts w:hint="eastAsia" w:ascii="宋体" w:hAnsi="宋体" w:cs="宋体"/>
              </w:rPr>
              <w:t xml:space="preserve">借：固定资产（增加的弃置费现值） </w:t>
            </w:r>
          </w:p>
          <w:p w14:paraId="2F4B5264">
            <w:pPr>
              <w:jc w:val="left"/>
              <w:rPr>
                <w:rFonts w:ascii="宋体" w:hAnsi="宋体" w:cs="宋体"/>
              </w:rPr>
            </w:pPr>
            <w:r>
              <w:rPr>
                <w:rFonts w:hint="eastAsia" w:ascii="宋体" w:hAnsi="宋体" w:cs="宋体"/>
              </w:rPr>
              <w:t>　　贷：预计负债</w:t>
            </w:r>
          </w:p>
        </w:tc>
      </w:tr>
      <w:tr w14:paraId="3B8F6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vMerge w:val="continue"/>
          </w:tcPr>
          <w:p w14:paraId="6DD9531C">
            <w:pPr>
              <w:jc w:val="left"/>
              <w:rPr>
                <w:rFonts w:ascii="宋体" w:hAnsi="宋体" w:cs="宋体"/>
              </w:rPr>
            </w:pPr>
          </w:p>
        </w:tc>
        <w:tc>
          <w:tcPr>
            <w:tcW w:w="1335" w:type="pct"/>
          </w:tcPr>
          <w:p w14:paraId="6A879333">
            <w:pPr>
              <w:jc w:val="center"/>
              <w:rPr>
                <w:rFonts w:ascii="宋体" w:hAnsi="宋体" w:cs="宋体"/>
              </w:rPr>
            </w:pPr>
            <w:r>
              <w:rPr>
                <w:rFonts w:hint="eastAsia" w:ascii="宋体" w:hAnsi="宋体" w:cs="宋体"/>
              </w:rPr>
              <w:t>减少</w:t>
            </w:r>
          </w:p>
        </w:tc>
        <w:tc>
          <w:tcPr>
            <w:tcW w:w="1998" w:type="pct"/>
          </w:tcPr>
          <w:p w14:paraId="4B5D77A4">
            <w:pPr>
              <w:jc w:val="left"/>
              <w:rPr>
                <w:rFonts w:ascii="宋体" w:hAnsi="宋体" w:cs="宋体"/>
              </w:rPr>
            </w:pPr>
            <w:r>
              <w:rPr>
                <w:rFonts w:hint="eastAsia" w:ascii="宋体" w:hAnsi="宋体" w:cs="宋体"/>
              </w:rPr>
              <w:t>借：预计负债</w:t>
            </w:r>
          </w:p>
          <w:p w14:paraId="559DE4D9">
            <w:pPr>
              <w:jc w:val="left"/>
              <w:rPr>
                <w:rFonts w:ascii="宋体" w:hAnsi="宋体" w:cs="宋体"/>
              </w:rPr>
            </w:pPr>
            <w:r>
              <w:rPr>
                <w:rFonts w:hint="eastAsia" w:ascii="宋体" w:hAnsi="宋体" w:cs="宋体"/>
              </w:rPr>
              <w:t xml:space="preserve">　 </w:t>
            </w:r>
            <w:r>
              <w:rPr>
                <w:rFonts w:ascii="宋体" w:hAnsi="宋体" w:cs="宋体"/>
              </w:rPr>
              <w:t xml:space="preserve"> </w:t>
            </w:r>
            <w:r>
              <w:rPr>
                <w:rFonts w:hint="eastAsia" w:ascii="宋体" w:hAnsi="宋体" w:cs="宋体"/>
              </w:rPr>
              <w:t xml:space="preserve">贷：固定资产（账面价值） </w:t>
            </w:r>
          </w:p>
          <w:p w14:paraId="3EED5DDF">
            <w:pPr>
              <w:jc w:val="left"/>
              <w:rPr>
                <w:rFonts w:ascii="宋体" w:hAnsi="宋体" w:cs="宋体"/>
              </w:rPr>
            </w:pPr>
            <w:r>
              <w:rPr>
                <w:rFonts w:hint="eastAsia" w:ascii="宋体" w:hAnsi="宋体" w:cs="宋体"/>
              </w:rPr>
              <w:t>超出部分计入当期损益。</w:t>
            </w:r>
          </w:p>
        </w:tc>
      </w:tr>
    </w:tbl>
    <w:p w14:paraId="302F1CA6">
      <w:pPr>
        <w:jc w:val="left"/>
        <w:rPr>
          <w:rFonts w:ascii="宋体" w:hAnsi="宋体" w:cs="宋体"/>
          <w:color w:val="FF0000"/>
        </w:rPr>
      </w:pPr>
      <w:r>
        <w:rPr>
          <w:rFonts w:hint="eastAsia" w:ascii="宋体" w:hAnsi="宋体" w:cs="宋体"/>
          <w:color w:val="FF0000"/>
        </w:rPr>
        <w:t>【考点】★★固定资产的后续计量</w:t>
      </w:r>
    </w:p>
    <w:tbl>
      <w:tblPr>
        <w:tblStyle w:val="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5"/>
        <w:gridCol w:w="4731"/>
        <w:gridCol w:w="3380"/>
      </w:tblGrid>
      <w:tr w14:paraId="754C1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tcPr>
          <w:p w14:paraId="513C9FCD">
            <w:pPr>
              <w:jc w:val="center"/>
              <w:rPr>
                <w:rFonts w:ascii="宋体" w:hAnsi="宋体" w:cs="宋体"/>
              </w:rPr>
            </w:pPr>
            <w:r>
              <w:rPr>
                <w:rFonts w:hint="eastAsia" w:ascii="宋体" w:hAnsi="宋体" w:cs="宋体"/>
              </w:rPr>
              <w:t xml:space="preserve">影响折旧的因素 </w:t>
            </w:r>
          </w:p>
        </w:tc>
        <w:tc>
          <w:tcPr>
            <w:tcW w:w="4001" w:type="pct"/>
            <w:gridSpan w:val="2"/>
          </w:tcPr>
          <w:p w14:paraId="62759C51">
            <w:pPr>
              <w:jc w:val="left"/>
              <w:rPr>
                <w:rFonts w:ascii="宋体" w:hAnsi="宋体" w:cs="宋体"/>
              </w:rPr>
            </w:pPr>
            <w:r>
              <w:rPr>
                <w:rFonts w:hint="eastAsia" w:ascii="宋体" w:hAnsi="宋体" w:cs="宋体"/>
              </w:rPr>
              <w:t xml:space="preserve">固定资产的原价、净残值、固定资产减值准备、预计使用年限 </w:t>
            </w:r>
          </w:p>
        </w:tc>
      </w:tr>
      <w:tr w14:paraId="7AD99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Merge w:val="restart"/>
          </w:tcPr>
          <w:p w14:paraId="04F7E3E6">
            <w:pPr>
              <w:jc w:val="center"/>
              <w:rPr>
                <w:rFonts w:ascii="宋体" w:hAnsi="宋体" w:cs="宋体"/>
              </w:rPr>
            </w:pPr>
            <w:r>
              <w:rPr>
                <w:rFonts w:hint="eastAsia" w:ascii="宋体" w:hAnsi="宋体" w:cs="宋体"/>
              </w:rPr>
              <w:t xml:space="preserve">固定资产折旧范围 </w:t>
            </w:r>
          </w:p>
        </w:tc>
        <w:tc>
          <w:tcPr>
            <w:tcW w:w="2334" w:type="pct"/>
          </w:tcPr>
          <w:p w14:paraId="595653E0">
            <w:pPr>
              <w:jc w:val="left"/>
              <w:rPr>
                <w:rFonts w:ascii="宋体" w:hAnsi="宋体" w:cs="宋体"/>
              </w:rPr>
            </w:pPr>
            <w:r>
              <w:rPr>
                <w:rFonts w:hint="eastAsia" w:ascii="宋体" w:hAnsi="宋体" w:cs="宋体"/>
              </w:rPr>
              <w:t xml:space="preserve">（1）已提足折旧仍继续使用的 </w:t>
            </w:r>
          </w:p>
        </w:tc>
        <w:tc>
          <w:tcPr>
            <w:tcW w:w="1667" w:type="pct"/>
          </w:tcPr>
          <w:p w14:paraId="7F867741">
            <w:pPr>
              <w:jc w:val="left"/>
              <w:rPr>
                <w:rFonts w:ascii="宋体" w:hAnsi="宋体" w:cs="宋体"/>
              </w:rPr>
            </w:pPr>
            <w:r>
              <w:rPr>
                <w:rFonts w:hint="eastAsia" w:ascii="宋体" w:hAnsi="宋体" w:cs="宋体"/>
              </w:rPr>
              <w:t xml:space="preserve">（2）提前报废的固定资产 </w:t>
            </w:r>
          </w:p>
        </w:tc>
      </w:tr>
      <w:tr w14:paraId="0A0ED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Merge w:val="continue"/>
          </w:tcPr>
          <w:p w14:paraId="68110148">
            <w:pPr>
              <w:jc w:val="left"/>
              <w:rPr>
                <w:rFonts w:ascii="宋体" w:hAnsi="宋体" w:cs="宋体"/>
              </w:rPr>
            </w:pPr>
          </w:p>
        </w:tc>
        <w:tc>
          <w:tcPr>
            <w:tcW w:w="2334" w:type="pct"/>
          </w:tcPr>
          <w:p w14:paraId="50C1D3D8">
            <w:pPr>
              <w:jc w:val="left"/>
              <w:rPr>
                <w:rFonts w:ascii="宋体" w:hAnsi="宋体" w:cs="宋体"/>
              </w:rPr>
            </w:pPr>
            <w:r>
              <w:rPr>
                <w:rFonts w:hint="eastAsia" w:ascii="宋体" w:hAnsi="宋体" w:cs="宋体"/>
              </w:rPr>
              <w:t xml:space="preserve">（3）按照规定单独计价作为固定资产入账的土地 </w:t>
            </w:r>
          </w:p>
        </w:tc>
        <w:tc>
          <w:tcPr>
            <w:tcW w:w="1667" w:type="pct"/>
          </w:tcPr>
          <w:p w14:paraId="68DDC11C">
            <w:pPr>
              <w:jc w:val="left"/>
              <w:rPr>
                <w:rFonts w:ascii="宋体" w:hAnsi="宋体" w:cs="宋体"/>
              </w:rPr>
            </w:pPr>
            <w:r>
              <w:rPr>
                <w:rFonts w:hint="eastAsia" w:ascii="宋体" w:hAnsi="宋体" w:cs="宋体"/>
              </w:rPr>
              <w:t xml:space="preserve">（4）改扩建期间的固定资产（已转入在建工程）； </w:t>
            </w:r>
          </w:p>
        </w:tc>
      </w:tr>
      <w:tr w14:paraId="2D418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Merge w:val="continue"/>
          </w:tcPr>
          <w:p w14:paraId="2E48FC8C">
            <w:pPr>
              <w:jc w:val="left"/>
              <w:rPr>
                <w:rFonts w:ascii="宋体" w:hAnsi="宋体" w:cs="宋体"/>
              </w:rPr>
            </w:pPr>
          </w:p>
        </w:tc>
        <w:tc>
          <w:tcPr>
            <w:tcW w:w="4001" w:type="pct"/>
            <w:gridSpan w:val="2"/>
          </w:tcPr>
          <w:p w14:paraId="28639158">
            <w:pPr>
              <w:jc w:val="left"/>
              <w:rPr>
                <w:rFonts w:ascii="宋体" w:hAnsi="宋体" w:cs="宋体"/>
              </w:rPr>
            </w:pPr>
            <w:r>
              <w:rPr>
                <w:rFonts w:hint="eastAsia" w:ascii="宋体" w:hAnsi="宋体" w:cs="宋体"/>
              </w:rPr>
              <w:t xml:space="preserve">【注意】因进行大修理而停用的固定资产，应当照提折旧 </w:t>
            </w:r>
          </w:p>
        </w:tc>
      </w:tr>
      <w:tr w14:paraId="40A4F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Merge w:val="restart"/>
          </w:tcPr>
          <w:p w14:paraId="01103F4E">
            <w:pPr>
              <w:jc w:val="center"/>
              <w:rPr>
                <w:rFonts w:ascii="宋体" w:hAnsi="宋体" w:cs="宋体"/>
              </w:rPr>
            </w:pPr>
            <w:r>
              <w:rPr>
                <w:rFonts w:hint="eastAsia" w:ascii="宋体" w:hAnsi="宋体" w:cs="宋体"/>
              </w:rPr>
              <w:t xml:space="preserve">固定资产折旧时间 </w:t>
            </w:r>
          </w:p>
        </w:tc>
        <w:tc>
          <w:tcPr>
            <w:tcW w:w="4001" w:type="pct"/>
            <w:gridSpan w:val="2"/>
          </w:tcPr>
          <w:p w14:paraId="04F3CBC7">
            <w:pPr>
              <w:jc w:val="left"/>
              <w:rPr>
                <w:rFonts w:ascii="宋体" w:hAnsi="宋体" w:cs="宋体"/>
              </w:rPr>
            </w:pPr>
            <w:r>
              <w:rPr>
                <w:rFonts w:hint="eastAsia" w:ascii="宋体" w:hAnsi="宋体" w:cs="宋体"/>
              </w:rPr>
              <w:t xml:space="preserve">已达到预定可使用状态的，应当按估计价值确认为固定资产，并计提折旧； </w:t>
            </w:r>
          </w:p>
        </w:tc>
      </w:tr>
      <w:tr w14:paraId="083B7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Merge w:val="continue"/>
          </w:tcPr>
          <w:p w14:paraId="71C9EA36">
            <w:pPr>
              <w:jc w:val="left"/>
              <w:rPr>
                <w:rFonts w:ascii="宋体" w:hAnsi="宋体" w:cs="宋体"/>
              </w:rPr>
            </w:pPr>
          </w:p>
        </w:tc>
        <w:tc>
          <w:tcPr>
            <w:tcW w:w="4001" w:type="pct"/>
            <w:gridSpan w:val="2"/>
          </w:tcPr>
          <w:p w14:paraId="1E7947F9">
            <w:pPr>
              <w:jc w:val="left"/>
              <w:rPr>
                <w:rFonts w:ascii="宋体" w:hAnsi="宋体" w:cs="宋体"/>
              </w:rPr>
            </w:pPr>
            <w:r>
              <w:rPr>
                <w:rFonts w:hint="eastAsia" w:ascii="宋体" w:hAnsi="宋体" w:cs="宋体"/>
              </w:rPr>
              <w:t>待办理了竣工决算手续后，再按实际成本调整原来的暂估价值，但不需要调整原已计提的折旧额。（速记：调账不调折旧）</w:t>
            </w:r>
          </w:p>
        </w:tc>
      </w:tr>
      <w:tr w14:paraId="3FBB1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Merge w:val="continue"/>
          </w:tcPr>
          <w:p w14:paraId="0D915AFF">
            <w:pPr>
              <w:jc w:val="left"/>
              <w:rPr>
                <w:rFonts w:ascii="宋体" w:hAnsi="宋体" w:cs="宋体"/>
              </w:rPr>
            </w:pPr>
          </w:p>
        </w:tc>
        <w:tc>
          <w:tcPr>
            <w:tcW w:w="4001" w:type="pct"/>
            <w:gridSpan w:val="2"/>
          </w:tcPr>
          <w:p w14:paraId="5843080D">
            <w:pPr>
              <w:jc w:val="left"/>
              <w:rPr>
                <w:rFonts w:ascii="宋体" w:hAnsi="宋体" w:cs="宋体"/>
              </w:rPr>
            </w:pPr>
            <w:r>
              <w:rPr>
                <w:rFonts w:hint="eastAsia" w:ascii="宋体" w:hAnsi="宋体" w:cs="宋体"/>
              </w:rPr>
              <w:t xml:space="preserve">当月增加，当月不提，下月开提；当月减少，当月照提，下月停提 </w:t>
            </w:r>
          </w:p>
        </w:tc>
      </w:tr>
      <w:tr w14:paraId="46A67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Merge w:val="continue"/>
          </w:tcPr>
          <w:p w14:paraId="0E7E28E8">
            <w:pPr>
              <w:jc w:val="left"/>
              <w:rPr>
                <w:rFonts w:ascii="宋体" w:hAnsi="宋体" w:cs="宋体"/>
              </w:rPr>
            </w:pPr>
          </w:p>
        </w:tc>
        <w:tc>
          <w:tcPr>
            <w:tcW w:w="4001" w:type="pct"/>
            <w:gridSpan w:val="2"/>
          </w:tcPr>
          <w:p w14:paraId="1AE68619">
            <w:pPr>
              <w:jc w:val="left"/>
              <w:rPr>
                <w:rFonts w:ascii="宋体" w:hAnsi="宋体" w:cs="宋体"/>
              </w:rPr>
            </w:pPr>
            <w:r>
              <w:rPr>
                <w:rFonts w:hint="eastAsia" w:ascii="宋体" w:hAnsi="宋体" w:cs="宋体"/>
              </w:rPr>
              <w:t xml:space="preserve">【链接】无形资产按月摊销：当月增加，当月开摊；当月减少，当月停摊。相对于无形资产，固定资产计提折旧要滞后一个月。 </w:t>
            </w:r>
          </w:p>
        </w:tc>
      </w:tr>
    </w:tbl>
    <w:p w14:paraId="75C79C99">
      <w:pPr>
        <w:overflowPunct w:val="0"/>
        <w:jc w:val="left"/>
        <w:rPr>
          <w:rFonts w:hint="eastAsia" w:ascii="宋体" w:hAnsi="宋体" w:cs="宋体"/>
        </w:rPr>
      </w:pPr>
    </w:p>
    <w:tbl>
      <w:tblPr>
        <w:tblStyle w:val="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5"/>
        <w:gridCol w:w="2029"/>
        <w:gridCol w:w="6372"/>
      </w:tblGrid>
      <w:tr w14:paraId="3976A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pct"/>
            <w:vMerge w:val="restart"/>
          </w:tcPr>
          <w:p w14:paraId="05B390D5">
            <w:pPr>
              <w:jc w:val="center"/>
              <w:rPr>
                <w:rFonts w:ascii="宋体" w:hAnsi="宋体" w:cs="宋体"/>
              </w:rPr>
            </w:pPr>
            <w:r>
              <w:rPr>
                <w:rFonts w:hint="eastAsia" w:ascii="宋体" w:hAnsi="宋体" w:cs="宋体"/>
              </w:rPr>
              <w:t xml:space="preserve">固定资产折旧方法和会计处理 </w:t>
            </w:r>
          </w:p>
          <w:p w14:paraId="61162906">
            <w:pPr>
              <w:jc w:val="left"/>
              <w:rPr>
                <w:rFonts w:ascii="宋体" w:hAnsi="宋体" w:cs="宋体"/>
              </w:rPr>
            </w:pPr>
            <w:r>
              <w:rPr>
                <w:rFonts w:hint="eastAsia" w:ascii="宋体" w:hAnsi="宋体" w:cs="宋体"/>
              </w:rPr>
              <w:t> </w:t>
            </w:r>
          </w:p>
        </w:tc>
        <w:tc>
          <w:tcPr>
            <w:tcW w:w="1001" w:type="pct"/>
          </w:tcPr>
          <w:p w14:paraId="68574467">
            <w:pPr>
              <w:jc w:val="center"/>
              <w:rPr>
                <w:rFonts w:ascii="宋体" w:hAnsi="宋体" w:cs="宋体"/>
              </w:rPr>
            </w:pPr>
            <w:r>
              <w:rPr>
                <w:rFonts w:hint="eastAsia" w:ascii="宋体" w:hAnsi="宋体" w:cs="宋体"/>
              </w:rPr>
              <w:t xml:space="preserve">年限平均法 </w:t>
            </w:r>
          </w:p>
        </w:tc>
        <w:tc>
          <w:tcPr>
            <w:tcW w:w="3143" w:type="pct"/>
          </w:tcPr>
          <w:p w14:paraId="7FE50842">
            <w:pPr>
              <w:jc w:val="left"/>
              <w:rPr>
                <w:rFonts w:ascii="宋体" w:hAnsi="宋体" w:cs="宋体"/>
              </w:rPr>
            </w:pPr>
            <w:r>
              <w:rPr>
                <w:rFonts w:hint="eastAsia" w:ascii="宋体" w:hAnsi="宋体" w:cs="宋体"/>
              </w:rPr>
              <w:t xml:space="preserve">年折旧额＝（原价－预计净残值）                            ÷预计使用年限＝原价×年折旧率 </w:t>
            </w:r>
          </w:p>
        </w:tc>
      </w:tr>
      <w:tr w14:paraId="46A28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pct"/>
            <w:vMerge w:val="continue"/>
          </w:tcPr>
          <w:p w14:paraId="4E4B5B5F">
            <w:pPr>
              <w:overflowPunct w:val="0"/>
              <w:jc w:val="left"/>
              <w:rPr>
                <w:rFonts w:ascii="宋体" w:hAnsi="宋体" w:cs="宋体"/>
              </w:rPr>
            </w:pPr>
          </w:p>
        </w:tc>
        <w:tc>
          <w:tcPr>
            <w:tcW w:w="1001" w:type="pct"/>
          </w:tcPr>
          <w:p w14:paraId="463F417E">
            <w:pPr>
              <w:jc w:val="center"/>
              <w:rPr>
                <w:rFonts w:ascii="宋体" w:hAnsi="宋体" w:cs="宋体"/>
              </w:rPr>
            </w:pPr>
            <w:r>
              <w:rPr>
                <w:rFonts w:hint="eastAsia" w:ascii="宋体" w:hAnsi="宋体" w:cs="宋体"/>
              </w:rPr>
              <w:t xml:space="preserve">工作量法 </w:t>
            </w:r>
          </w:p>
        </w:tc>
        <w:tc>
          <w:tcPr>
            <w:tcW w:w="3143" w:type="pct"/>
          </w:tcPr>
          <w:p w14:paraId="4C8C78DE">
            <w:pPr>
              <w:jc w:val="left"/>
              <w:rPr>
                <w:rFonts w:ascii="宋体" w:hAnsi="宋体" w:cs="宋体"/>
              </w:rPr>
            </w:pPr>
            <w:r>
              <w:rPr>
                <w:rFonts w:hint="eastAsia" w:ascii="宋体" w:hAnsi="宋体" w:cs="宋体"/>
              </w:rPr>
              <w:t xml:space="preserve">单位工作量折旧额＝（固定资产原价－预计净残值）÷预计总工作量 </w:t>
            </w:r>
          </w:p>
          <w:p w14:paraId="3A1060DC">
            <w:pPr>
              <w:jc w:val="left"/>
              <w:rPr>
                <w:rFonts w:ascii="宋体" w:hAnsi="宋体" w:cs="宋体"/>
              </w:rPr>
            </w:pPr>
            <w:r>
              <w:rPr>
                <w:rFonts w:hint="eastAsia" w:ascii="宋体" w:hAnsi="宋体" w:cs="宋体"/>
              </w:rPr>
              <w:t xml:space="preserve">月折旧额＝固定资产当月工作量×单位工作量折旧额 </w:t>
            </w:r>
          </w:p>
        </w:tc>
      </w:tr>
      <w:tr w14:paraId="6B817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pct"/>
            <w:vMerge w:val="continue"/>
          </w:tcPr>
          <w:p w14:paraId="2718BBCD">
            <w:pPr>
              <w:overflowPunct w:val="0"/>
              <w:jc w:val="left"/>
              <w:rPr>
                <w:rFonts w:ascii="宋体" w:hAnsi="宋体" w:cs="宋体"/>
              </w:rPr>
            </w:pPr>
          </w:p>
        </w:tc>
        <w:tc>
          <w:tcPr>
            <w:tcW w:w="1001" w:type="pct"/>
          </w:tcPr>
          <w:p w14:paraId="7AF506D1">
            <w:pPr>
              <w:jc w:val="center"/>
              <w:rPr>
                <w:rFonts w:ascii="宋体" w:hAnsi="宋体" w:cs="宋体"/>
              </w:rPr>
            </w:pPr>
            <w:r>
              <w:rPr>
                <w:rFonts w:hint="eastAsia" w:ascii="宋体" w:hAnsi="宋体" w:cs="宋体"/>
              </w:rPr>
              <w:t>双倍余额递减法</w:t>
            </w:r>
          </w:p>
        </w:tc>
        <w:tc>
          <w:tcPr>
            <w:tcW w:w="3143" w:type="pct"/>
          </w:tcPr>
          <w:p w14:paraId="784728A8">
            <w:pPr>
              <w:jc w:val="left"/>
              <w:rPr>
                <w:rFonts w:ascii="宋体" w:hAnsi="宋体" w:cs="宋体"/>
              </w:rPr>
            </w:pPr>
            <w:r>
              <w:rPr>
                <w:rFonts w:hint="eastAsia" w:ascii="宋体" w:hAnsi="宋体" w:cs="宋体"/>
              </w:rPr>
              <w:t xml:space="preserve">年折旧额＝期初固定资产净值×2/预计使用年限 </w:t>
            </w:r>
          </w:p>
          <w:p w14:paraId="6EAE897D">
            <w:pPr>
              <w:jc w:val="left"/>
              <w:rPr>
                <w:rFonts w:ascii="宋体" w:hAnsi="宋体" w:cs="宋体"/>
              </w:rPr>
            </w:pPr>
            <w:r>
              <w:rPr>
                <w:rFonts w:hint="eastAsia" w:ascii="宋体" w:hAnsi="宋体" w:cs="宋体"/>
              </w:rPr>
              <w:t xml:space="preserve">最后两年改为年限平均法 </w:t>
            </w:r>
          </w:p>
          <w:p w14:paraId="0B385688">
            <w:pPr>
              <w:jc w:val="left"/>
              <w:rPr>
                <w:rFonts w:ascii="宋体" w:hAnsi="宋体" w:cs="宋体"/>
              </w:rPr>
            </w:pPr>
            <w:r>
              <w:rPr>
                <w:rFonts w:hint="eastAsia" w:ascii="宋体" w:hAnsi="宋体" w:cs="宋体"/>
              </w:rPr>
              <w:t xml:space="preserve">前N－2 </w:t>
            </w:r>
          </w:p>
        </w:tc>
      </w:tr>
      <w:tr w14:paraId="0E5FE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pct"/>
            <w:vMerge w:val="continue"/>
          </w:tcPr>
          <w:p w14:paraId="6AF5A598">
            <w:pPr>
              <w:overflowPunct w:val="0"/>
              <w:jc w:val="left"/>
              <w:rPr>
                <w:rFonts w:ascii="宋体" w:hAnsi="宋体" w:cs="宋体"/>
              </w:rPr>
            </w:pPr>
          </w:p>
        </w:tc>
        <w:tc>
          <w:tcPr>
            <w:tcW w:w="1001" w:type="pct"/>
          </w:tcPr>
          <w:p w14:paraId="79635367">
            <w:pPr>
              <w:jc w:val="center"/>
              <w:rPr>
                <w:rFonts w:ascii="宋体" w:hAnsi="宋体" w:cs="宋体"/>
              </w:rPr>
            </w:pPr>
            <w:r>
              <w:rPr>
                <w:rFonts w:hint="eastAsia" w:ascii="宋体" w:hAnsi="宋体" w:cs="宋体"/>
              </w:rPr>
              <w:t xml:space="preserve">年数总和法 </w:t>
            </w:r>
          </w:p>
        </w:tc>
        <w:tc>
          <w:tcPr>
            <w:tcW w:w="3143" w:type="pct"/>
          </w:tcPr>
          <w:p w14:paraId="4EE8D969">
            <w:pPr>
              <w:jc w:val="left"/>
              <w:rPr>
                <w:rFonts w:ascii="宋体" w:hAnsi="宋体" w:cs="宋体"/>
              </w:rPr>
            </w:pPr>
            <w:r>
              <w:rPr>
                <w:rFonts w:hint="eastAsia" w:ascii="宋体" w:hAnsi="宋体" w:cs="宋体"/>
              </w:rPr>
              <w:t xml:space="preserve">年折旧额＝（原价－预计净残值）×年折旧率 </w:t>
            </w:r>
          </w:p>
        </w:tc>
      </w:tr>
      <w:tr w14:paraId="2433E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pct"/>
            <w:vMerge w:val="continue"/>
          </w:tcPr>
          <w:p w14:paraId="709C3828">
            <w:pPr>
              <w:widowControl/>
              <w:jc w:val="left"/>
              <w:rPr>
                <w:rFonts w:ascii="宋体" w:hAnsi="宋体" w:cs="宋体"/>
              </w:rPr>
            </w:pPr>
          </w:p>
        </w:tc>
        <w:tc>
          <w:tcPr>
            <w:tcW w:w="1001" w:type="pct"/>
          </w:tcPr>
          <w:p w14:paraId="6FBA9EDC">
            <w:pPr>
              <w:jc w:val="center"/>
              <w:rPr>
                <w:rFonts w:ascii="宋体" w:hAnsi="宋体" w:cs="宋体"/>
              </w:rPr>
            </w:pPr>
            <w:r>
              <w:rPr>
                <w:rFonts w:hint="eastAsia" w:ascii="宋体" w:hAnsi="宋体" w:cs="宋体"/>
              </w:rPr>
              <w:t xml:space="preserve">会计处理 </w:t>
            </w:r>
          </w:p>
        </w:tc>
        <w:tc>
          <w:tcPr>
            <w:tcW w:w="3143" w:type="pct"/>
          </w:tcPr>
          <w:p w14:paraId="24EA9789">
            <w:pPr>
              <w:jc w:val="left"/>
              <w:rPr>
                <w:rFonts w:ascii="宋体" w:hAnsi="宋体" w:cs="宋体"/>
              </w:rPr>
            </w:pPr>
            <w:r>
              <w:rPr>
                <w:rFonts w:hint="eastAsia" w:ascii="宋体" w:hAnsi="宋体" w:cs="宋体"/>
              </w:rPr>
              <w:t xml:space="preserve">借：制造费用（基本生产车间的固定资产）　　 </w:t>
            </w:r>
          </w:p>
          <w:p w14:paraId="4957987D">
            <w:pPr>
              <w:jc w:val="left"/>
              <w:rPr>
                <w:rFonts w:ascii="宋体" w:hAnsi="宋体" w:cs="宋体"/>
              </w:rPr>
            </w:pPr>
            <w:r>
              <w:rPr>
                <w:rFonts w:hint="eastAsia" w:ascii="宋体" w:hAnsi="宋体" w:cs="宋体"/>
              </w:rPr>
              <w:t xml:space="preserve">　　管理费用（管理部门、未使用的固定资产） </w:t>
            </w:r>
          </w:p>
          <w:p w14:paraId="3D18FE3A">
            <w:pPr>
              <w:jc w:val="left"/>
              <w:rPr>
                <w:rFonts w:ascii="宋体" w:hAnsi="宋体" w:cs="宋体"/>
              </w:rPr>
            </w:pPr>
            <w:r>
              <w:rPr>
                <w:rFonts w:hint="eastAsia" w:ascii="宋体" w:hAnsi="宋体" w:cs="宋体"/>
              </w:rPr>
              <w:t xml:space="preserve">　　销售费用（销售部门的固定资产） </w:t>
            </w:r>
          </w:p>
          <w:p w14:paraId="6FC16BA7">
            <w:pPr>
              <w:jc w:val="left"/>
              <w:rPr>
                <w:rFonts w:ascii="宋体" w:hAnsi="宋体" w:cs="宋体"/>
              </w:rPr>
            </w:pPr>
            <w:r>
              <w:rPr>
                <w:rFonts w:hint="eastAsia" w:ascii="宋体" w:hAnsi="宋体" w:cs="宋体"/>
              </w:rPr>
              <w:t xml:space="preserve">　　在建工程（用于工程建造的固定资产） </w:t>
            </w:r>
          </w:p>
          <w:p w14:paraId="5116D1A4">
            <w:pPr>
              <w:jc w:val="left"/>
              <w:rPr>
                <w:rFonts w:ascii="宋体" w:hAnsi="宋体" w:cs="宋体"/>
              </w:rPr>
            </w:pPr>
            <w:r>
              <w:rPr>
                <w:rFonts w:hint="eastAsia" w:ascii="宋体" w:hAnsi="宋体" w:cs="宋体"/>
              </w:rPr>
              <w:t xml:space="preserve">　　其他业务成本（经营租出的固定资产） </w:t>
            </w:r>
          </w:p>
          <w:p w14:paraId="698D91E1">
            <w:pPr>
              <w:jc w:val="left"/>
              <w:rPr>
                <w:rFonts w:ascii="宋体" w:hAnsi="宋体" w:cs="宋体"/>
              </w:rPr>
            </w:pPr>
            <w:r>
              <w:rPr>
                <w:rFonts w:hint="eastAsia" w:ascii="宋体" w:hAnsi="宋体" w:cs="宋体"/>
              </w:rPr>
              <w:t xml:space="preserve">　　贷：累计折旧 </w:t>
            </w:r>
          </w:p>
        </w:tc>
      </w:tr>
    </w:tbl>
    <w:p w14:paraId="14DE05C7">
      <w:pPr>
        <w:overflowPunct w:val="0"/>
        <w:jc w:val="left"/>
        <w:rPr>
          <w:rFonts w:ascii="宋体" w:hAnsi="宋体" w:cs="宋体"/>
        </w:rPr>
      </w:pPr>
    </w:p>
    <w:tbl>
      <w:tblPr>
        <w:tblStyle w:val="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1"/>
        <w:gridCol w:w="2895"/>
        <w:gridCol w:w="2613"/>
        <w:gridCol w:w="2457"/>
      </w:tblGrid>
      <w:tr w14:paraId="6CF3E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pct"/>
          </w:tcPr>
          <w:p w14:paraId="7D3FBDA6">
            <w:pPr>
              <w:jc w:val="center"/>
              <w:rPr>
                <w:rFonts w:ascii="宋体" w:hAnsi="宋体" w:cs="宋体"/>
              </w:rPr>
            </w:pPr>
            <w:r>
              <w:rPr>
                <w:rFonts w:hint="eastAsia" w:ascii="宋体" w:hAnsi="宋体" w:cs="宋体"/>
              </w:rPr>
              <w:t xml:space="preserve">复核 </w:t>
            </w:r>
          </w:p>
        </w:tc>
        <w:tc>
          <w:tcPr>
            <w:tcW w:w="3929" w:type="pct"/>
            <w:gridSpan w:val="3"/>
          </w:tcPr>
          <w:p w14:paraId="62595D08">
            <w:pPr>
              <w:overflowPunct w:val="0"/>
              <w:jc w:val="left"/>
              <w:rPr>
                <w:rFonts w:ascii="宋体" w:hAnsi="宋体" w:cs="宋体"/>
              </w:rPr>
            </w:pPr>
            <w:r>
              <w:rPr>
                <w:rFonts w:hint="eastAsia" w:ascii="宋体" w:hAnsi="宋体" w:cs="宋体"/>
              </w:rPr>
              <w:t xml:space="preserve">固定资产的折旧方法、使用寿命和预计净残值一经确定，不得随意变更。若变更属于会计估计变更，采用未来适用法；企业至少应当于每年年终，对固定资产使用寿命、预计净残值和折旧方法进行复核 </w:t>
            </w:r>
          </w:p>
        </w:tc>
      </w:tr>
      <w:tr w14:paraId="77DB9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pct"/>
            <w:vMerge w:val="restart"/>
          </w:tcPr>
          <w:p w14:paraId="5D053B9A">
            <w:pPr>
              <w:jc w:val="center"/>
              <w:rPr>
                <w:rFonts w:ascii="宋体" w:hAnsi="宋体" w:cs="宋体"/>
              </w:rPr>
            </w:pPr>
            <w:r>
              <w:rPr>
                <w:rFonts w:hint="eastAsia" w:ascii="宋体" w:hAnsi="宋体" w:cs="宋体"/>
              </w:rPr>
              <w:t>资本化的后续支出</w:t>
            </w:r>
          </w:p>
        </w:tc>
        <w:tc>
          <w:tcPr>
            <w:tcW w:w="3929" w:type="pct"/>
            <w:gridSpan w:val="3"/>
          </w:tcPr>
          <w:p w14:paraId="47470DD1">
            <w:pPr>
              <w:overflowPunct w:val="0"/>
              <w:jc w:val="left"/>
              <w:rPr>
                <w:rFonts w:ascii="宋体" w:hAnsi="宋体" w:cs="宋体"/>
              </w:rPr>
            </w:pPr>
            <w:r>
              <w:rPr>
                <w:rFonts w:hint="eastAsia" w:ascii="宋体" w:hAnsi="宋体" w:cs="宋体"/>
              </w:rPr>
              <w:t xml:space="preserve">符合固定资产确认条件的，应当计入固定资产成本，同时将被替换部分的账面价值扣除 </w:t>
            </w:r>
          </w:p>
        </w:tc>
      </w:tr>
      <w:tr w14:paraId="4852E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pct"/>
            <w:vMerge w:val="continue"/>
          </w:tcPr>
          <w:p w14:paraId="6B24017E">
            <w:pPr>
              <w:overflowPunct w:val="0"/>
              <w:jc w:val="left"/>
              <w:rPr>
                <w:rFonts w:ascii="宋体" w:hAnsi="宋体" w:cs="宋体"/>
              </w:rPr>
            </w:pPr>
          </w:p>
        </w:tc>
        <w:tc>
          <w:tcPr>
            <w:tcW w:w="1428" w:type="pct"/>
          </w:tcPr>
          <w:p w14:paraId="34E5606F">
            <w:pPr>
              <w:jc w:val="left"/>
              <w:rPr>
                <w:rFonts w:ascii="宋体" w:hAnsi="宋体" w:cs="宋体"/>
              </w:rPr>
            </w:pPr>
            <w:r>
              <w:rPr>
                <w:rFonts w:hint="eastAsia" w:ascii="宋体" w:hAnsi="宋体" w:cs="宋体"/>
              </w:rPr>
              <w:t xml:space="preserve">借：在建工程 </w:t>
            </w:r>
          </w:p>
          <w:p w14:paraId="0EFF2914">
            <w:pPr>
              <w:jc w:val="left"/>
              <w:rPr>
                <w:rFonts w:ascii="宋体" w:hAnsi="宋体" w:cs="宋体"/>
              </w:rPr>
            </w:pPr>
            <w:r>
              <w:rPr>
                <w:rFonts w:hint="eastAsia" w:ascii="宋体" w:hAnsi="宋体" w:cs="宋体"/>
              </w:rPr>
              <w:t xml:space="preserve">　　累计折旧 </w:t>
            </w:r>
          </w:p>
          <w:p w14:paraId="19F73076">
            <w:pPr>
              <w:jc w:val="left"/>
              <w:rPr>
                <w:rFonts w:ascii="宋体" w:hAnsi="宋体" w:cs="宋体"/>
              </w:rPr>
            </w:pPr>
            <w:r>
              <w:rPr>
                <w:rFonts w:hint="eastAsia" w:ascii="宋体" w:hAnsi="宋体" w:cs="宋体"/>
              </w:rPr>
              <w:t xml:space="preserve">　　固定资产减值准备 </w:t>
            </w:r>
          </w:p>
          <w:p w14:paraId="5FA735A3">
            <w:pPr>
              <w:jc w:val="left"/>
              <w:rPr>
                <w:rFonts w:ascii="宋体" w:hAnsi="宋体" w:cs="宋体"/>
              </w:rPr>
            </w:pPr>
            <w:r>
              <w:rPr>
                <w:rFonts w:hint="eastAsia" w:ascii="宋体" w:hAnsi="宋体" w:cs="宋体"/>
              </w:rPr>
              <w:t xml:space="preserve">　　贷：固定资产 </w:t>
            </w:r>
          </w:p>
        </w:tc>
        <w:tc>
          <w:tcPr>
            <w:tcW w:w="1289" w:type="pct"/>
          </w:tcPr>
          <w:p w14:paraId="27E785AF">
            <w:pPr>
              <w:jc w:val="left"/>
              <w:rPr>
                <w:rFonts w:ascii="宋体" w:hAnsi="宋体" w:cs="宋体"/>
              </w:rPr>
            </w:pPr>
            <w:r>
              <w:rPr>
                <w:rFonts w:hint="eastAsia" w:ascii="宋体" w:hAnsi="宋体" w:cs="宋体"/>
              </w:rPr>
              <w:t xml:space="preserve">发生可资本化的后续支出时 </w:t>
            </w:r>
          </w:p>
          <w:p w14:paraId="6FBB9514">
            <w:pPr>
              <w:jc w:val="left"/>
              <w:rPr>
                <w:rFonts w:ascii="宋体" w:hAnsi="宋体" w:cs="宋体"/>
              </w:rPr>
            </w:pPr>
            <w:r>
              <w:rPr>
                <w:rFonts w:hint="eastAsia" w:ascii="宋体" w:hAnsi="宋体" w:cs="宋体"/>
              </w:rPr>
              <w:t xml:space="preserve">借：在建工程 </w:t>
            </w:r>
          </w:p>
          <w:p w14:paraId="22257AC6">
            <w:pPr>
              <w:jc w:val="left"/>
              <w:rPr>
                <w:rFonts w:ascii="宋体" w:hAnsi="宋体" w:cs="宋体"/>
              </w:rPr>
            </w:pPr>
            <w:r>
              <w:rPr>
                <w:rFonts w:hint="eastAsia" w:ascii="宋体" w:hAnsi="宋体" w:cs="宋体"/>
              </w:rPr>
              <w:t xml:space="preserve">　　贷：银行存款 </w:t>
            </w:r>
          </w:p>
          <w:p w14:paraId="6B579922">
            <w:pPr>
              <w:jc w:val="left"/>
              <w:rPr>
                <w:rFonts w:ascii="宋体" w:hAnsi="宋体" w:cs="宋体"/>
              </w:rPr>
            </w:pPr>
            <w:r>
              <w:rPr>
                <w:rFonts w:hint="eastAsia" w:ascii="宋体" w:hAnsi="宋体" w:cs="宋体"/>
              </w:rPr>
              <w:t xml:space="preserve">　　　　原材料 </w:t>
            </w:r>
          </w:p>
          <w:p w14:paraId="252E252D">
            <w:pPr>
              <w:jc w:val="left"/>
              <w:rPr>
                <w:rFonts w:ascii="宋体" w:hAnsi="宋体" w:cs="宋体"/>
              </w:rPr>
            </w:pPr>
            <w:r>
              <w:rPr>
                <w:rFonts w:hint="eastAsia" w:ascii="宋体" w:hAnsi="宋体" w:cs="宋体"/>
              </w:rPr>
              <w:t xml:space="preserve">　　　　应付职工薪酬等 </w:t>
            </w:r>
          </w:p>
        </w:tc>
        <w:tc>
          <w:tcPr>
            <w:tcW w:w="1212" w:type="pct"/>
          </w:tcPr>
          <w:p w14:paraId="5FF18ECD">
            <w:pPr>
              <w:jc w:val="left"/>
              <w:rPr>
                <w:rFonts w:ascii="宋体" w:hAnsi="宋体" w:cs="宋体"/>
              </w:rPr>
            </w:pPr>
            <w:r>
              <w:rPr>
                <w:rFonts w:hint="eastAsia" w:ascii="宋体" w:hAnsi="宋体" w:cs="宋体"/>
              </w:rPr>
              <w:t xml:space="preserve">达到预定可使用状态时 </w:t>
            </w:r>
          </w:p>
          <w:p w14:paraId="4019A528">
            <w:pPr>
              <w:jc w:val="left"/>
              <w:rPr>
                <w:rFonts w:ascii="宋体" w:hAnsi="宋体" w:cs="宋体"/>
              </w:rPr>
            </w:pPr>
            <w:r>
              <w:rPr>
                <w:rFonts w:hint="eastAsia" w:ascii="宋体" w:hAnsi="宋体" w:cs="宋体"/>
              </w:rPr>
              <w:t xml:space="preserve">借：固定资产 </w:t>
            </w:r>
          </w:p>
          <w:p w14:paraId="112BCB7D">
            <w:pPr>
              <w:jc w:val="left"/>
              <w:rPr>
                <w:rFonts w:ascii="宋体" w:hAnsi="宋体" w:cs="宋体"/>
              </w:rPr>
            </w:pPr>
            <w:r>
              <w:rPr>
                <w:rFonts w:hint="eastAsia" w:ascii="宋体" w:hAnsi="宋体" w:cs="宋体"/>
              </w:rPr>
              <w:t xml:space="preserve">　　贷：在建工程 </w:t>
            </w:r>
          </w:p>
        </w:tc>
      </w:tr>
    </w:tbl>
    <w:p w14:paraId="4D6CC940">
      <w:pPr>
        <w:overflowPunct w:val="0"/>
        <w:jc w:val="left"/>
        <w:rPr>
          <w:rFonts w:ascii="宋体" w:hAnsi="宋体" w:cs="宋体"/>
        </w:rPr>
      </w:pPr>
    </w:p>
    <w:tbl>
      <w:tblPr>
        <w:tblStyle w:val="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1"/>
        <w:gridCol w:w="4586"/>
        <w:gridCol w:w="3379"/>
      </w:tblGrid>
      <w:tr w14:paraId="5E575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pct"/>
          </w:tcPr>
          <w:p w14:paraId="1AA0180A">
            <w:pPr>
              <w:jc w:val="center"/>
              <w:rPr>
                <w:rFonts w:ascii="宋体" w:hAnsi="宋体" w:cs="宋体"/>
              </w:rPr>
            </w:pPr>
            <w:r>
              <w:rPr>
                <w:rFonts w:hint="eastAsia" w:ascii="宋体" w:hAnsi="宋体" w:cs="宋体"/>
              </w:rPr>
              <w:t xml:space="preserve">费用化的后续支出 </w:t>
            </w:r>
          </w:p>
        </w:tc>
        <w:tc>
          <w:tcPr>
            <w:tcW w:w="3929" w:type="pct"/>
            <w:gridSpan w:val="2"/>
          </w:tcPr>
          <w:p w14:paraId="50B7FEB8">
            <w:pPr>
              <w:jc w:val="left"/>
              <w:rPr>
                <w:rFonts w:ascii="宋体" w:hAnsi="宋体" w:cs="宋体"/>
              </w:rPr>
            </w:pPr>
            <w:r>
              <w:rPr>
                <w:rFonts w:hint="eastAsia" w:ascii="宋体" w:hAnsi="宋体" w:cs="宋体"/>
              </w:rPr>
              <w:t xml:space="preserve">固定资产的日常维护支出通常不满足固定资产确认条件，应在发生时直接计入当期损益。 </w:t>
            </w:r>
          </w:p>
          <w:p w14:paraId="6D78F0B2">
            <w:pPr>
              <w:jc w:val="left"/>
              <w:rPr>
                <w:rFonts w:ascii="宋体" w:hAnsi="宋体" w:cs="宋体"/>
              </w:rPr>
            </w:pPr>
            <w:r>
              <w:rPr>
                <w:rFonts w:hint="eastAsia" w:ascii="宋体" w:hAnsi="宋体" w:cs="宋体"/>
              </w:rPr>
              <w:t>借：管理费用（管理部门）　　</w:t>
            </w:r>
          </w:p>
          <w:p w14:paraId="4E4449D5">
            <w:pPr>
              <w:jc w:val="left"/>
              <w:rPr>
                <w:rFonts w:ascii="宋体" w:hAnsi="宋体" w:cs="宋体"/>
              </w:rPr>
            </w:pPr>
            <w:r>
              <w:rPr>
                <w:rFonts w:hint="eastAsia" w:ascii="宋体" w:hAnsi="宋体" w:cs="宋体"/>
              </w:rPr>
              <w:t xml:space="preserve">   销售费用（专设销售机构） </w:t>
            </w:r>
          </w:p>
          <w:p w14:paraId="3A4AF57F">
            <w:pPr>
              <w:overflowPunct w:val="0"/>
              <w:jc w:val="left"/>
              <w:rPr>
                <w:rFonts w:ascii="宋体" w:hAnsi="宋体" w:cs="宋体"/>
              </w:rPr>
            </w:pPr>
            <w:r>
              <w:rPr>
                <w:rFonts w:hint="eastAsia" w:ascii="宋体" w:hAnsi="宋体" w:cs="宋体"/>
              </w:rPr>
              <w:t xml:space="preserve">　 贷：银行存款、应付职工薪酬、原材料等 </w:t>
            </w:r>
          </w:p>
        </w:tc>
      </w:tr>
      <w:tr w14:paraId="566FD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pct"/>
          </w:tcPr>
          <w:p w14:paraId="3F082E28">
            <w:pPr>
              <w:jc w:val="center"/>
              <w:rPr>
                <w:rFonts w:ascii="宋体" w:hAnsi="宋体" w:cs="宋体"/>
              </w:rPr>
            </w:pPr>
            <w:r>
              <w:rPr>
                <w:rFonts w:hint="eastAsia" w:ascii="宋体" w:hAnsi="宋体" w:cs="宋体"/>
              </w:rPr>
              <w:t>固定资产减值</w:t>
            </w:r>
          </w:p>
        </w:tc>
        <w:tc>
          <w:tcPr>
            <w:tcW w:w="2262" w:type="pct"/>
          </w:tcPr>
          <w:p w14:paraId="42354F3D">
            <w:pPr>
              <w:jc w:val="left"/>
              <w:rPr>
                <w:rFonts w:ascii="宋体" w:hAnsi="宋体" w:cs="宋体"/>
              </w:rPr>
            </w:pPr>
            <w:r>
              <w:rPr>
                <w:rFonts w:hint="eastAsia" w:ascii="宋体" w:hAnsi="宋体" w:cs="宋体"/>
              </w:rPr>
              <w:t xml:space="preserve">借：资产减值损失 </w:t>
            </w:r>
          </w:p>
          <w:p w14:paraId="4F2DCB55">
            <w:pPr>
              <w:jc w:val="left"/>
              <w:rPr>
                <w:rFonts w:ascii="宋体" w:hAnsi="宋体" w:cs="宋体"/>
              </w:rPr>
            </w:pPr>
            <w:r>
              <w:rPr>
                <w:rFonts w:hint="eastAsia" w:ascii="宋体" w:hAnsi="宋体" w:cs="宋体"/>
              </w:rPr>
              <w:t xml:space="preserve">　　贷：固定资产减值准备 </w:t>
            </w:r>
          </w:p>
        </w:tc>
        <w:tc>
          <w:tcPr>
            <w:tcW w:w="1667" w:type="pct"/>
          </w:tcPr>
          <w:p w14:paraId="6F7F0752">
            <w:pPr>
              <w:jc w:val="left"/>
              <w:rPr>
                <w:rFonts w:ascii="宋体" w:hAnsi="宋体" w:cs="宋体"/>
              </w:rPr>
            </w:pPr>
            <w:r>
              <w:rPr>
                <w:rFonts w:hint="eastAsia" w:ascii="宋体" w:hAnsi="宋体" w:cs="宋体"/>
              </w:rPr>
              <w:t xml:space="preserve">减值准备一经计提，不得转回。 </w:t>
            </w:r>
          </w:p>
          <w:p w14:paraId="1D9E7A91">
            <w:pPr>
              <w:jc w:val="left"/>
              <w:rPr>
                <w:rFonts w:ascii="宋体" w:hAnsi="宋体" w:cs="宋体"/>
              </w:rPr>
            </w:pPr>
            <w:r>
              <w:rPr>
                <w:rFonts w:hint="eastAsia" w:ascii="宋体" w:hAnsi="宋体" w:cs="宋体"/>
              </w:rPr>
              <w:t>常见能转回：</w:t>
            </w:r>
          </w:p>
          <w:p w14:paraId="1F4B704B">
            <w:pPr>
              <w:jc w:val="left"/>
              <w:rPr>
                <w:rFonts w:ascii="宋体" w:hAnsi="宋体" w:cs="宋体"/>
              </w:rPr>
            </w:pPr>
            <w:r>
              <w:rPr>
                <w:rFonts w:hint="eastAsia" w:ascii="宋体" w:hAnsi="宋体" w:cs="宋体"/>
              </w:rPr>
              <w:t xml:space="preserve">速记：坏的蠢的和金融睡 </w:t>
            </w:r>
          </w:p>
        </w:tc>
      </w:tr>
    </w:tbl>
    <w:p w14:paraId="4E832D75">
      <w:pPr>
        <w:jc w:val="left"/>
        <w:rPr>
          <w:rFonts w:ascii="宋体" w:hAnsi="宋体" w:cs="宋体"/>
          <w:color w:val="FF0000"/>
        </w:rPr>
      </w:pPr>
      <w:r>
        <w:rPr>
          <w:rFonts w:hint="eastAsia" w:ascii="宋体" w:hAnsi="宋体" w:cs="宋体"/>
          <w:color w:val="FF0000"/>
        </w:rPr>
        <w:t>【考点】★★★固定资产处置的会计处理</w:t>
      </w:r>
    </w:p>
    <w:tbl>
      <w:tblPr>
        <w:tblStyle w:val="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5"/>
        <w:gridCol w:w="4152"/>
        <w:gridCol w:w="3379"/>
      </w:tblGrid>
      <w:tr w14:paraId="1C2FD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pct"/>
            <w:vMerge w:val="restart"/>
          </w:tcPr>
          <w:p w14:paraId="312429AA">
            <w:pPr>
              <w:jc w:val="left"/>
              <w:rPr>
                <w:rFonts w:ascii="宋体" w:hAnsi="宋体" w:cs="宋体"/>
              </w:rPr>
            </w:pPr>
            <w:r>
              <w:rPr>
                <w:rFonts w:hint="eastAsia" w:ascii="宋体" w:hAnsi="宋体" w:cs="宋体"/>
              </w:rPr>
              <w:t> </w:t>
            </w:r>
          </w:p>
        </w:tc>
        <w:tc>
          <w:tcPr>
            <w:tcW w:w="2048" w:type="pct"/>
          </w:tcPr>
          <w:p w14:paraId="02D33043">
            <w:pPr>
              <w:jc w:val="left"/>
              <w:rPr>
                <w:rFonts w:ascii="宋体" w:hAnsi="宋体" w:cs="宋体"/>
              </w:rPr>
            </w:pPr>
            <w:r>
              <w:rPr>
                <w:rFonts w:hint="eastAsia" w:ascii="宋体" w:hAnsi="宋体" w:cs="宋体"/>
              </w:rPr>
              <w:t>固定资产处置</w:t>
            </w:r>
          </w:p>
        </w:tc>
        <w:tc>
          <w:tcPr>
            <w:tcW w:w="1667" w:type="pct"/>
          </w:tcPr>
          <w:p w14:paraId="1F3C5AC7">
            <w:pPr>
              <w:jc w:val="left"/>
              <w:rPr>
                <w:rFonts w:ascii="宋体" w:hAnsi="宋体" w:cs="宋体"/>
              </w:rPr>
            </w:pPr>
            <w:r>
              <w:rPr>
                <w:rFonts w:hint="eastAsia" w:ascii="宋体" w:hAnsi="宋体" w:cs="宋体"/>
              </w:rPr>
              <w:t xml:space="preserve">无形资产的处置 </w:t>
            </w:r>
          </w:p>
        </w:tc>
      </w:tr>
      <w:tr w14:paraId="393B0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pct"/>
            <w:vMerge w:val="continue"/>
          </w:tcPr>
          <w:p w14:paraId="5FDB8684">
            <w:pPr>
              <w:jc w:val="left"/>
              <w:rPr>
                <w:rFonts w:ascii="宋体" w:hAnsi="宋体" w:cs="宋体"/>
              </w:rPr>
            </w:pPr>
          </w:p>
        </w:tc>
        <w:tc>
          <w:tcPr>
            <w:tcW w:w="2048" w:type="pct"/>
          </w:tcPr>
          <w:p w14:paraId="4AFDB94A">
            <w:pPr>
              <w:jc w:val="left"/>
              <w:rPr>
                <w:rFonts w:ascii="宋体" w:hAnsi="宋体" w:cs="宋体"/>
              </w:rPr>
            </w:pPr>
            <w:r>
              <w:rPr>
                <w:rFonts w:hint="eastAsia" w:ascii="宋体" w:hAnsi="宋体" w:cs="宋体"/>
              </w:rPr>
              <w:t xml:space="preserve">包括固定资产的出售、转让、报废或毁损、对外投资等 </w:t>
            </w:r>
          </w:p>
        </w:tc>
        <w:tc>
          <w:tcPr>
            <w:tcW w:w="1667" w:type="pct"/>
            <w:vMerge w:val="restart"/>
          </w:tcPr>
          <w:p w14:paraId="3E49AA07">
            <w:pPr>
              <w:jc w:val="left"/>
              <w:rPr>
                <w:rFonts w:ascii="宋体" w:hAnsi="宋体" w:cs="宋体"/>
              </w:rPr>
            </w:pPr>
            <w:r>
              <w:rPr>
                <w:rFonts w:hint="eastAsia" w:ascii="宋体" w:hAnsi="宋体" w:cs="宋体"/>
              </w:rPr>
              <w:t>★无形资产：</w:t>
            </w:r>
          </w:p>
          <w:p w14:paraId="1EC3BBBC">
            <w:pPr>
              <w:jc w:val="left"/>
              <w:rPr>
                <w:rFonts w:ascii="宋体" w:hAnsi="宋体" w:cs="宋体"/>
              </w:rPr>
            </w:pPr>
            <w:r>
              <w:rPr>
                <w:rFonts w:hint="eastAsia" w:ascii="宋体" w:hAnsi="宋体" w:cs="宋体"/>
              </w:rPr>
              <w:t>出售，计入资产处置损益；</w:t>
            </w:r>
          </w:p>
          <w:p w14:paraId="682D2AAF">
            <w:pPr>
              <w:jc w:val="left"/>
              <w:rPr>
                <w:rFonts w:ascii="宋体" w:hAnsi="宋体" w:cs="宋体"/>
              </w:rPr>
            </w:pPr>
            <w:r>
              <w:rPr>
                <w:rFonts w:hint="eastAsia" w:ascii="宋体" w:hAnsi="宋体" w:cs="宋体"/>
              </w:rPr>
              <w:t xml:space="preserve">报废，计入营业外支出。 </w:t>
            </w:r>
          </w:p>
        </w:tc>
      </w:tr>
      <w:tr w14:paraId="0B687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pct"/>
            <w:vMerge w:val="continue"/>
          </w:tcPr>
          <w:p w14:paraId="65FAD692">
            <w:pPr>
              <w:jc w:val="left"/>
              <w:rPr>
                <w:rFonts w:ascii="宋体" w:hAnsi="宋体" w:cs="宋体"/>
              </w:rPr>
            </w:pPr>
          </w:p>
        </w:tc>
        <w:tc>
          <w:tcPr>
            <w:tcW w:w="2048" w:type="pct"/>
          </w:tcPr>
          <w:p w14:paraId="490BF38C">
            <w:pPr>
              <w:jc w:val="left"/>
              <w:rPr>
                <w:rFonts w:ascii="宋体" w:hAnsi="宋体" w:cs="宋体"/>
              </w:rPr>
            </w:pPr>
            <w:r>
              <w:rPr>
                <w:rFonts w:hint="eastAsia" w:ascii="宋体" w:hAnsi="宋体" w:cs="宋体"/>
              </w:rPr>
              <w:t xml:space="preserve">不包括固定资产清查时的盘亏与盘盈 </w:t>
            </w:r>
          </w:p>
        </w:tc>
        <w:tc>
          <w:tcPr>
            <w:tcW w:w="1667" w:type="pct"/>
            <w:vMerge w:val="continue"/>
          </w:tcPr>
          <w:p w14:paraId="33FA4461">
            <w:pPr>
              <w:jc w:val="left"/>
              <w:rPr>
                <w:rFonts w:ascii="宋体" w:hAnsi="宋体" w:cs="宋体"/>
              </w:rPr>
            </w:pPr>
          </w:p>
        </w:tc>
      </w:tr>
      <w:tr w14:paraId="70D15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pct"/>
          </w:tcPr>
          <w:p w14:paraId="4196F71A">
            <w:pPr>
              <w:jc w:val="center"/>
              <w:rPr>
                <w:rFonts w:ascii="宋体" w:hAnsi="宋体" w:cs="宋体"/>
              </w:rPr>
            </w:pPr>
            <w:r>
              <w:rPr>
                <w:rFonts w:hint="eastAsia" w:ascii="宋体" w:hAnsi="宋体" w:cs="宋体"/>
              </w:rPr>
              <w:t xml:space="preserve">1.固定资产转入清理 </w:t>
            </w:r>
          </w:p>
        </w:tc>
        <w:tc>
          <w:tcPr>
            <w:tcW w:w="2048" w:type="pct"/>
          </w:tcPr>
          <w:p w14:paraId="18A0BEC8">
            <w:pPr>
              <w:jc w:val="left"/>
              <w:rPr>
                <w:rFonts w:ascii="宋体" w:hAnsi="宋体" w:cs="宋体"/>
              </w:rPr>
            </w:pPr>
            <w:r>
              <w:rPr>
                <w:rFonts w:hint="eastAsia" w:ascii="宋体" w:hAnsi="宋体" w:cs="宋体"/>
              </w:rPr>
              <w:t xml:space="preserve">借：固定资产清理 </w:t>
            </w:r>
          </w:p>
          <w:p w14:paraId="5CA51D4F">
            <w:pPr>
              <w:jc w:val="left"/>
              <w:rPr>
                <w:rFonts w:ascii="宋体" w:hAnsi="宋体" w:cs="宋体"/>
              </w:rPr>
            </w:pPr>
            <w:r>
              <w:rPr>
                <w:rFonts w:hint="eastAsia" w:ascii="宋体" w:hAnsi="宋体" w:cs="宋体"/>
              </w:rPr>
              <w:t xml:space="preserve">　　累计折旧      </w:t>
            </w:r>
          </w:p>
          <w:p w14:paraId="2D95521C">
            <w:pPr>
              <w:jc w:val="left"/>
              <w:rPr>
                <w:rFonts w:ascii="宋体" w:hAnsi="宋体" w:cs="宋体"/>
              </w:rPr>
            </w:pPr>
            <w:r>
              <w:rPr>
                <w:rFonts w:hint="eastAsia" w:ascii="宋体" w:hAnsi="宋体" w:cs="宋体"/>
              </w:rPr>
              <w:t xml:space="preserve">　　固定资产减值准备 </w:t>
            </w:r>
          </w:p>
          <w:p w14:paraId="2862D61E">
            <w:pPr>
              <w:jc w:val="left"/>
              <w:rPr>
                <w:rFonts w:ascii="宋体" w:hAnsi="宋体" w:cs="宋体"/>
              </w:rPr>
            </w:pPr>
            <w:r>
              <w:rPr>
                <w:rFonts w:hint="eastAsia" w:ascii="宋体" w:hAnsi="宋体" w:cs="宋体"/>
              </w:rPr>
              <w:t xml:space="preserve">　　贷：固定资产（账面原价） </w:t>
            </w:r>
          </w:p>
        </w:tc>
        <w:tc>
          <w:tcPr>
            <w:tcW w:w="1667" w:type="pct"/>
            <w:vMerge w:val="continue"/>
          </w:tcPr>
          <w:p w14:paraId="73E5D0D2">
            <w:pPr>
              <w:jc w:val="left"/>
              <w:rPr>
                <w:rFonts w:ascii="宋体" w:hAnsi="宋体" w:cs="宋体"/>
              </w:rPr>
            </w:pPr>
          </w:p>
        </w:tc>
      </w:tr>
      <w:tr w14:paraId="6EF54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pct"/>
          </w:tcPr>
          <w:p w14:paraId="3B1A8843">
            <w:pPr>
              <w:jc w:val="center"/>
              <w:rPr>
                <w:rFonts w:ascii="宋体" w:hAnsi="宋体" w:cs="宋体"/>
              </w:rPr>
            </w:pPr>
            <w:r>
              <w:rPr>
                <w:rFonts w:hint="eastAsia" w:ascii="宋体" w:hAnsi="宋体" w:cs="宋体"/>
              </w:rPr>
              <w:t xml:space="preserve">2.发生的清理费用等 </w:t>
            </w:r>
          </w:p>
        </w:tc>
        <w:tc>
          <w:tcPr>
            <w:tcW w:w="2048" w:type="pct"/>
          </w:tcPr>
          <w:p w14:paraId="5ADE7E79">
            <w:pPr>
              <w:jc w:val="left"/>
              <w:rPr>
                <w:rFonts w:ascii="宋体" w:hAnsi="宋体" w:cs="宋体"/>
              </w:rPr>
            </w:pPr>
            <w:r>
              <w:rPr>
                <w:rFonts w:hint="eastAsia" w:ascii="宋体" w:hAnsi="宋体" w:cs="宋体"/>
              </w:rPr>
              <w:t xml:space="preserve">借：固定资产清理 </w:t>
            </w:r>
          </w:p>
          <w:p w14:paraId="0E2D5695">
            <w:pPr>
              <w:jc w:val="left"/>
              <w:rPr>
                <w:rFonts w:ascii="宋体" w:hAnsi="宋体" w:cs="宋体"/>
              </w:rPr>
            </w:pPr>
            <w:r>
              <w:rPr>
                <w:rFonts w:hint="eastAsia" w:ascii="宋体" w:hAnsi="宋体" w:cs="宋体"/>
              </w:rPr>
              <w:t xml:space="preserve">　　贷：银行存款  </w:t>
            </w:r>
          </w:p>
        </w:tc>
        <w:tc>
          <w:tcPr>
            <w:tcW w:w="1667" w:type="pct"/>
            <w:vMerge w:val="continue"/>
          </w:tcPr>
          <w:p w14:paraId="0BAC0FBC">
            <w:pPr>
              <w:jc w:val="left"/>
              <w:rPr>
                <w:rFonts w:ascii="宋体" w:hAnsi="宋体" w:cs="宋体"/>
              </w:rPr>
            </w:pPr>
          </w:p>
        </w:tc>
      </w:tr>
    </w:tbl>
    <w:p w14:paraId="60B69853">
      <w:pPr>
        <w:overflowPunct w:val="0"/>
        <w:jc w:val="left"/>
        <w:rPr>
          <w:rFonts w:hint="eastAsia" w:ascii="宋体" w:hAnsi="宋体" w:cs="宋体"/>
        </w:rPr>
      </w:pPr>
    </w:p>
    <w:tbl>
      <w:tblPr>
        <w:tblStyle w:val="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7"/>
        <w:gridCol w:w="3912"/>
        <w:gridCol w:w="1080"/>
        <w:gridCol w:w="2537"/>
      </w:tblGrid>
      <w:tr w14:paraId="025F4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pct"/>
          </w:tcPr>
          <w:p w14:paraId="623E7CB8">
            <w:pPr>
              <w:jc w:val="center"/>
              <w:rPr>
                <w:rFonts w:ascii="宋体" w:hAnsi="宋体" w:cs="宋体"/>
              </w:rPr>
            </w:pPr>
            <w:r>
              <w:rPr>
                <w:rFonts w:hint="eastAsia" w:ascii="宋体" w:hAnsi="宋体" w:cs="宋体"/>
              </w:rPr>
              <w:t>3.收回出售固定资产价款、残料价值和变价</w:t>
            </w:r>
          </w:p>
          <w:p w14:paraId="0635ADA3">
            <w:pPr>
              <w:jc w:val="center"/>
              <w:rPr>
                <w:rFonts w:ascii="宋体" w:hAnsi="宋体" w:cs="宋体"/>
              </w:rPr>
            </w:pPr>
            <w:r>
              <w:rPr>
                <w:rFonts w:hint="eastAsia" w:ascii="宋体" w:hAnsi="宋体" w:cs="宋体"/>
              </w:rPr>
              <w:t xml:space="preserve">收入 </w:t>
            </w:r>
          </w:p>
        </w:tc>
        <w:tc>
          <w:tcPr>
            <w:tcW w:w="1930" w:type="pct"/>
          </w:tcPr>
          <w:p w14:paraId="176BF1DF">
            <w:pPr>
              <w:jc w:val="left"/>
              <w:rPr>
                <w:rFonts w:ascii="宋体" w:hAnsi="宋体" w:cs="宋体"/>
              </w:rPr>
            </w:pPr>
            <w:r>
              <w:rPr>
                <w:rFonts w:hint="eastAsia" w:ascii="宋体" w:hAnsi="宋体" w:cs="宋体"/>
              </w:rPr>
              <w:t xml:space="preserve">借：银行存款（收回价款） </w:t>
            </w:r>
          </w:p>
          <w:p w14:paraId="16658F0F">
            <w:pPr>
              <w:jc w:val="left"/>
              <w:rPr>
                <w:rFonts w:ascii="宋体" w:hAnsi="宋体" w:cs="宋体"/>
              </w:rPr>
            </w:pPr>
            <w:r>
              <w:rPr>
                <w:rFonts w:hint="eastAsia" w:ascii="宋体" w:hAnsi="宋体" w:cs="宋体"/>
              </w:rPr>
              <w:t xml:space="preserve">　　原材料（残料） </w:t>
            </w:r>
          </w:p>
          <w:p w14:paraId="61DDB5DD">
            <w:pPr>
              <w:jc w:val="left"/>
              <w:rPr>
                <w:rFonts w:ascii="宋体" w:hAnsi="宋体" w:cs="宋体"/>
              </w:rPr>
            </w:pPr>
            <w:r>
              <w:rPr>
                <w:rFonts w:hint="eastAsia" w:ascii="宋体" w:hAnsi="宋体" w:cs="宋体"/>
              </w:rPr>
              <w:t xml:space="preserve">　　贷：固定资产清理         </w:t>
            </w:r>
          </w:p>
          <w:p w14:paraId="77BBCDE4">
            <w:pPr>
              <w:jc w:val="left"/>
              <w:rPr>
                <w:rFonts w:ascii="宋体" w:hAnsi="宋体" w:cs="宋体"/>
              </w:rPr>
            </w:pPr>
            <w:r>
              <w:rPr>
                <w:rFonts w:hint="eastAsia" w:ascii="宋体" w:hAnsi="宋体" w:cs="宋体"/>
              </w:rPr>
              <w:t>　　　　应交税费—应交增值税（销项税额）</w:t>
            </w:r>
          </w:p>
        </w:tc>
        <w:tc>
          <w:tcPr>
            <w:tcW w:w="533" w:type="pct"/>
            <w:vMerge w:val="restart"/>
          </w:tcPr>
          <w:p w14:paraId="616CBDE9">
            <w:pPr>
              <w:jc w:val="center"/>
              <w:rPr>
                <w:rFonts w:ascii="宋体" w:hAnsi="宋体" w:cs="宋体"/>
              </w:rPr>
            </w:pPr>
            <w:r>
              <w:rPr>
                <w:rFonts w:hint="eastAsia" w:ascii="宋体" w:hAnsi="宋体" w:cs="宋体"/>
              </w:rPr>
              <w:t xml:space="preserve">出售 </w:t>
            </w:r>
          </w:p>
          <w:p w14:paraId="758D2D57">
            <w:pPr>
              <w:jc w:val="center"/>
              <w:rPr>
                <w:rFonts w:hint="eastAsia" w:ascii="宋体" w:hAnsi="宋体" w:cs="宋体"/>
              </w:rPr>
            </w:pPr>
            <w:r>
              <w:rPr>
                <w:rFonts w:hint="eastAsia" w:ascii="宋体" w:hAnsi="宋体" w:cs="宋体"/>
              </w:rPr>
              <w:t xml:space="preserve">损失 </w:t>
            </w:r>
          </w:p>
        </w:tc>
        <w:tc>
          <w:tcPr>
            <w:tcW w:w="1251" w:type="pct"/>
            <w:vMerge w:val="restart"/>
          </w:tcPr>
          <w:p w14:paraId="46C54782">
            <w:pPr>
              <w:jc w:val="left"/>
              <w:rPr>
                <w:rFonts w:ascii="宋体" w:hAnsi="宋体" w:cs="宋体"/>
              </w:rPr>
            </w:pPr>
            <w:r>
              <w:rPr>
                <w:rFonts w:hint="eastAsia" w:ascii="宋体" w:hAnsi="宋体" w:cs="宋体"/>
              </w:rPr>
              <w:t xml:space="preserve">借：银行存款   </w:t>
            </w:r>
          </w:p>
          <w:p w14:paraId="2E3891D4">
            <w:pPr>
              <w:jc w:val="left"/>
              <w:rPr>
                <w:rFonts w:ascii="宋体" w:hAnsi="宋体" w:cs="宋体"/>
              </w:rPr>
            </w:pPr>
            <w:r>
              <w:rPr>
                <w:rFonts w:hint="eastAsia" w:ascii="宋体" w:hAnsi="宋体" w:cs="宋体"/>
              </w:rPr>
              <w:t xml:space="preserve">   资产处置损益 </w:t>
            </w:r>
          </w:p>
          <w:p w14:paraId="2F84EE83">
            <w:pPr>
              <w:jc w:val="left"/>
              <w:rPr>
                <w:rFonts w:ascii="宋体" w:hAnsi="宋体" w:cs="宋体"/>
              </w:rPr>
            </w:pPr>
            <w:r>
              <w:rPr>
                <w:rFonts w:hint="eastAsia" w:ascii="宋体" w:hAnsi="宋体" w:cs="宋体"/>
              </w:rPr>
              <w:t xml:space="preserve">   累计摊销　 　</w:t>
            </w:r>
          </w:p>
          <w:p w14:paraId="160E2DEE">
            <w:pPr>
              <w:jc w:val="left"/>
              <w:rPr>
                <w:rFonts w:ascii="宋体" w:hAnsi="宋体" w:cs="宋体"/>
              </w:rPr>
            </w:pPr>
            <w:r>
              <w:rPr>
                <w:rFonts w:hint="eastAsia" w:ascii="宋体" w:hAnsi="宋体" w:cs="宋体"/>
              </w:rPr>
              <w:t xml:space="preserve">　　无形资产减值准备 </w:t>
            </w:r>
          </w:p>
          <w:p w14:paraId="4EDEEDB4">
            <w:pPr>
              <w:jc w:val="left"/>
              <w:rPr>
                <w:rFonts w:ascii="宋体" w:hAnsi="宋体" w:cs="宋体"/>
              </w:rPr>
            </w:pPr>
            <w:r>
              <w:rPr>
                <w:rFonts w:hint="eastAsia" w:ascii="宋体" w:hAnsi="宋体" w:cs="宋体"/>
              </w:rPr>
              <w:t>　　贷：无形资产 　　　　</w:t>
            </w:r>
          </w:p>
          <w:p w14:paraId="228D16A1">
            <w:pPr>
              <w:jc w:val="left"/>
              <w:rPr>
                <w:rFonts w:ascii="宋体" w:hAnsi="宋体" w:cs="宋体"/>
              </w:rPr>
            </w:pPr>
            <w:r>
              <w:rPr>
                <w:rFonts w:hint="eastAsia" w:ascii="宋体" w:hAnsi="宋体" w:cs="宋体"/>
              </w:rPr>
              <w:t xml:space="preserve">借：银行存款 </w:t>
            </w:r>
          </w:p>
          <w:p w14:paraId="02CEA984">
            <w:pPr>
              <w:jc w:val="left"/>
              <w:rPr>
                <w:rFonts w:ascii="宋体" w:hAnsi="宋体" w:cs="宋体"/>
              </w:rPr>
            </w:pPr>
            <w:r>
              <w:rPr>
                <w:rFonts w:hint="eastAsia" w:ascii="宋体" w:hAnsi="宋体" w:cs="宋体"/>
              </w:rPr>
              <w:t>　贷：应交税费——应交增值税（销项税额）</w:t>
            </w:r>
          </w:p>
        </w:tc>
      </w:tr>
      <w:tr w14:paraId="1738C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pct"/>
          </w:tcPr>
          <w:p w14:paraId="43A32F75">
            <w:pPr>
              <w:jc w:val="center"/>
              <w:rPr>
                <w:rFonts w:ascii="宋体" w:hAnsi="宋体" w:cs="宋体"/>
              </w:rPr>
            </w:pPr>
            <w:r>
              <w:rPr>
                <w:rFonts w:hint="eastAsia" w:ascii="宋体" w:hAnsi="宋体" w:cs="宋体"/>
              </w:rPr>
              <w:t xml:space="preserve">4.保险赔偿 </w:t>
            </w:r>
          </w:p>
        </w:tc>
        <w:tc>
          <w:tcPr>
            <w:tcW w:w="1930" w:type="pct"/>
          </w:tcPr>
          <w:p w14:paraId="0FF293C4">
            <w:pPr>
              <w:jc w:val="left"/>
              <w:rPr>
                <w:rFonts w:ascii="宋体" w:hAnsi="宋体" w:cs="宋体"/>
              </w:rPr>
            </w:pPr>
            <w:r>
              <w:rPr>
                <w:rFonts w:hint="eastAsia" w:ascii="宋体" w:hAnsi="宋体" w:cs="宋体"/>
              </w:rPr>
              <w:t xml:space="preserve">借：其他应收款 </w:t>
            </w:r>
          </w:p>
          <w:p w14:paraId="15227E2B">
            <w:pPr>
              <w:jc w:val="left"/>
              <w:rPr>
                <w:rFonts w:ascii="宋体" w:hAnsi="宋体" w:cs="宋体"/>
              </w:rPr>
            </w:pPr>
            <w:r>
              <w:rPr>
                <w:rFonts w:hint="eastAsia" w:ascii="宋体" w:hAnsi="宋体" w:cs="宋体"/>
              </w:rPr>
              <w:t xml:space="preserve">　　贷：固定资产清理 </w:t>
            </w:r>
          </w:p>
        </w:tc>
        <w:tc>
          <w:tcPr>
            <w:tcW w:w="533" w:type="pct"/>
            <w:vMerge w:val="continue"/>
          </w:tcPr>
          <w:p w14:paraId="1A669DB0">
            <w:pPr>
              <w:overflowPunct w:val="0"/>
              <w:jc w:val="left"/>
              <w:rPr>
                <w:rFonts w:ascii="宋体" w:hAnsi="宋体" w:cs="宋体"/>
              </w:rPr>
            </w:pPr>
          </w:p>
        </w:tc>
        <w:tc>
          <w:tcPr>
            <w:tcW w:w="1251" w:type="pct"/>
            <w:vMerge w:val="continue"/>
          </w:tcPr>
          <w:p w14:paraId="57696C5A">
            <w:pPr>
              <w:overflowPunct w:val="0"/>
              <w:jc w:val="left"/>
              <w:rPr>
                <w:rFonts w:ascii="宋体" w:hAnsi="宋体" w:cs="宋体"/>
              </w:rPr>
            </w:pPr>
          </w:p>
        </w:tc>
      </w:tr>
    </w:tbl>
    <w:p w14:paraId="6F1F47C6">
      <w:pPr>
        <w:overflowPunct w:val="0"/>
        <w:jc w:val="left"/>
        <w:rPr>
          <w:rFonts w:ascii="宋体" w:hAnsi="宋体" w:cs="宋体"/>
        </w:rPr>
      </w:pPr>
    </w:p>
    <w:tbl>
      <w:tblPr>
        <w:tblStyle w:val="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9"/>
        <w:gridCol w:w="1451"/>
        <w:gridCol w:w="724"/>
        <w:gridCol w:w="2611"/>
        <w:gridCol w:w="868"/>
        <w:gridCol w:w="3183"/>
      </w:tblGrid>
      <w:tr w14:paraId="1E2F5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tcPr>
          <w:p w14:paraId="1C4BDDE0">
            <w:pPr>
              <w:jc w:val="left"/>
              <w:rPr>
                <w:rFonts w:ascii="宋体" w:hAnsi="宋体" w:cs="宋体"/>
              </w:rPr>
            </w:pPr>
            <w:r>
              <w:rPr>
                <w:rFonts w:hint="eastAsia" w:ascii="宋体" w:hAnsi="宋体" w:cs="宋体"/>
              </w:rPr>
              <w:t> </w:t>
            </w:r>
          </w:p>
        </w:tc>
        <w:tc>
          <w:tcPr>
            <w:tcW w:w="2361" w:type="pct"/>
            <w:gridSpan w:val="3"/>
          </w:tcPr>
          <w:p w14:paraId="4E004F55">
            <w:pPr>
              <w:overflowPunct w:val="0"/>
              <w:jc w:val="left"/>
              <w:rPr>
                <w:rFonts w:ascii="宋体" w:hAnsi="宋体" w:cs="宋体"/>
              </w:rPr>
            </w:pPr>
            <w:r>
              <w:rPr>
                <w:rFonts w:hint="eastAsia" w:ascii="宋体" w:hAnsi="宋体" w:cs="宋体"/>
              </w:rPr>
              <w:t xml:space="preserve">固定资产处置 </w:t>
            </w:r>
          </w:p>
        </w:tc>
        <w:tc>
          <w:tcPr>
            <w:tcW w:w="1998" w:type="pct"/>
            <w:gridSpan w:val="2"/>
          </w:tcPr>
          <w:p w14:paraId="3A46E34D">
            <w:pPr>
              <w:overflowPunct w:val="0"/>
              <w:jc w:val="left"/>
              <w:rPr>
                <w:rFonts w:ascii="宋体" w:hAnsi="宋体" w:cs="宋体"/>
              </w:rPr>
            </w:pPr>
            <w:r>
              <w:rPr>
                <w:rFonts w:hint="eastAsia" w:ascii="宋体" w:hAnsi="宋体" w:cs="宋体"/>
              </w:rPr>
              <w:t xml:space="preserve">无形资产的处置 </w:t>
            </w:r>
          </w:p>
        </w:tc>
      </w:tr>
      <w:tr w14:paraId="2FADE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vMerge w:val="restart"/>
          </w:tcPr>
          <w:p w14:paraId="6D0E9AE0">
            <w:pPr>
              <w:jc w:val="left"/>
              <w:rPr>
                <w:rFonts w:ascii="宋体" w:hAnsi="宋体" w:cs="宋体"/>
              </w:rPr>
            </w:pPr>
            <w:r>
              <w:rPr>
                <w:rFonts w:hint="eastAsia" w:ascii="宋体" w:hAnsi="宋体" w:cs="宋体"/>
              </w:rPr>
              <w:t xml:space="preserve">5.清理净损益的处理 </w:t>
            </w:r>
          </w:p>
        </w:tc>
        <w:tc>
          <w:tcPr>
            <w:tcW w:w="716" w:type="pct"/>
            <w:vMerge w:val="restart"/>
          </w:tcPr>
          <w:p w14:paraId="242F117D">
            <w:pPr>
              <w:jc w:val="center"/>
              <w:rPr>
                <w:rFonts w:ascii="宋体" w:hAnsi="宋体" w:cs="宋体"/>
                <w:color w:val="FF0000"/>
              </w:rPr>
            </w:pPr>
            <w:r>
              <w:rPr>
                <w:rFonts w:hint="eastAsia" w:ascii="宋体" w:hAnsi="宋体" w:cs="宋体"/>
                <w:color w:val="FF0000"/>
              </w:rPr>
              <w:t xml:space="preserve">正常出售、转让产生 </w:t>
            </w:r>
          </w:p>
        </w:tc>
        <w:tc>
          <w:tcPr>
            <w:tcW w:w="357" w:type="pct"/>
          </w:tcPr>
          <w:p w14:paraId="23D60BDB">
            <w:pPr>
              <w:jc w:val="left"/>
              <w:rPr>
                <w:rFonts w:ascii="宋体" w:hAnsi="宋体" w:cs="宋体"/>
              </w:rPr>
            </w:pPr>
            <w:r>
              <w:rPr>
                <w:rFonts w:hint="eastAsia" w:ascii="宋体" w:hAnsi="宋体" w:cs="宋体"/>
              </w:rPr>
              <w:t xml:space="preserve">损失 </w:t>
            </w:r>
          </w:p>
        </w:tc>
        <w:tc>
          <w:tcPr>
            <w:tcW w:w="1288" w:type="pct"/>
          </w:tcPr>
          <w:p w14:paraId="057531D4">
            <w:pPr>
              <w:jc w:val="left"/>
              <w:rPr>
                <w:rFonts w:ascii="宋体" w:hAnsi="宋体" w:cs="宋体"/>
              </w:rPr>
            </w:pPr>
            <w:r>
              <w:rPr>
                <w:rFonts w:hint="eastAsia" w:ascii="宋体" w:hAnsi="宋体" w:cs="宋体"/>
              </w:rPr>
              <w:t>借：</w:t>
            </w:r>
            <w:r>
              <w:rPr>
                <w:rFonts w:hint="eastAsia" w:ascii="宋体" w:hAnsi="宋体" w:cs="宋体"/>
                <w:color w:val="FF0000"/>
              </w:rPr>
              <w:t>资产处置损益　</w:t>
            </w:r>
            <w:r>
              <w:rPr>
                <w:rFonts w:hint="eastAsia" w:ascii="宋体" w:hAnsi="宋体" w:cs="宋体"/>
              </w:rPr>
              <w:t xml:space="preserve">　 </w:t>
            </w:r>
          </w:p>
          <w:p w14:paraId="57352B12">
            <w:pPr>
              <w:jc w:val="left"/>
              <w:rPr>
                <w:rFonts w:ascii="宋体" w:hAnsi="宋体" w:cs="宋体"/>
              </w:rPr>
            </w:pPr>
            <w:r>
              <w:rPr>
                <w:rFonts w:hint="eastAsia" w:ascii="宋体" w:hAnsi="宋体" w:cs="宋体"/>
              </w:rPr>
              <w:t xml:space="preserve">　　贷：固定资产清理 </w:t>
            </w:r>
          </w:p>
        </w:tc>
        <w:tc>
          <w:tcPr>
            <w:tcW w:w="428" w:type="pct"/>
            <w:vMerge w:val="restart"/>
          </w:tcPr>
          <w:p w14:paraId="1E57C598">
            <w:pPr>
              <w:jc w:val="left"/>
              <w:rPr>
                <w:rFonts w:ascii="宋体" w:hAnsi="宋体" w:cs="宋体"/>
              </w:rPr>
            </w:pPr>
            <w:r>
              <w:rPr>
                <w:rFonts w:hint="eastAsia" w:ascii="宋体" w:hAnsi="宋体" w:cs="宋体"/>
              </w:rPr>
              <w:t xml:space="preserve">出售 </w:t>
            </w:r>
          </w:p>
          <w:p w14:paraId="3547FB4A">
            <w:pPr>
              <w:jc w:val="left"/>
              <w:rPr>
                <w:rFonts w:ascii="宋体" w:hAnsi="宋体" w:cs="宋体"/>
              </w:rPr>
            </w:pPr>
            <w:r>
              <w:rPr>
                <w:rFonts w:hint="eastAsia" w:ascii="宋体" w:hAnsi="宋体" w:cs="宋体"/>
              </w:rPr>
              <w:t xml:space="preserve">利得 </w:t>
            </w:r>
          </w:p>
        </w:tc>
        <w:tc>
          <w:tcPr>
            <w:tcW w:w="1570" w:type="pct"/>
            <w:vMerge w:val="restart"/>
          </w:tcPr>
          <w:p w14:paraId="7F6E892B">
            <w:pPr>
              <w:jc w:val="left"/>
              <w:rPr>
                <w:rFonts w:ascii="宋体" w:hAnsi="宋体" w:cs="宋体"/>
              </w:rPr>
            </w:pPr>
            <w:r>
              <w:rPr>
                <w:rFonts w:hint="eastAsia" w:ascii="宋体" w:hAnsi="宋体" w:cs="宋体"/>
              </w:rPr>
              <w:t xml:space="preserve">借：银行存款 </w:t>
            </w:r>
          </w:p>
          <w:p w14:paraId="0B10A9D2">
            <w:pPr>
              <w:jc w:val="left"/>
              <w:rPr>
                <w:rFonts w:ascii="宋体" w:hAnsi="宋体" w:cs="宋体"/>
              </w:rPr>
            </w:pPr>
            <w:r>
              <w:rPr>
                <w:rFonts w:hint="eastAsia" w:ascii="宋体" w:hAnsi="宋体" w:cs="宋体"/>
              </w:rPr>
              <w:t xml:space="preserve">　　累计摊销　　　 </w:t>
            </w:r>
          </w:p>
          <w:p w14:paraId="19057BB6">
            <w:pPr>
              <w:jc w:val="left"/>
              <w:rPr>
                <w:rFonts w:ascii="宋体" w:hAnsi="宋体" w:cs="宋体"/>
              </w:rPr>
            </w:pPr>
            <w:r>
              <w:rPr>
                <w:rFonts w:hint="eastAsia" w:ascii="宋体" w:hAnsi="宋体" w:cs="宋体"/>
              </w:rPr>
              <w:t xml:space="preserve">　　无形资产减值准备 </w:t>
            </w:r>
          </w:p>
          <w:p w14:paraId="7DDD0BDB">
            <w:pPr>
              <w:jc w:val="left"/>
              <w:rPr>
                <w:rFonts w:ascii="宋体" w:hAnsi="宋体" w:cs="宋体"/>
              </w:rPr>
            </w:pPr>
            <w:r>
              <w:rPr>
                <w:rFonts w:hint="eastAsia" w:ascii="宋体" w:hAnsi="宋体" w:cs="宋体"/>
              </w:rPr>
              <w:t xml:space="preserve">　　贷：无形资产 </w:t>
            </w:r>
          </w:p>
          <w:p w14:paraId="210A8D5C">
            <w:pPr>
              <w:jc w:val="left"/>
              <w:rPr>
                <w:rFonts w:ascii="宋体" w:hAnsi="宋体" w:cs="宋体"/>
                <w:color w:val="FF0000"/>
              </w:rPr>
            </w:pPr>
            <w:r>
              <w:rPr>
                <w:rFonts w:hint="eastAsia" w:ascii="宋体" w:hAnsi="宋体" w:cs="宋体"/>
              </w:rPr>
              <w:t>　　</w:t>
            </w:r>
            <w:r>
              <w:rPr>
                <w:rFonts w:hint="eastAsia" w:ascii="宋体" w:hAnsi="宋体" w:cs="宋体"/>
                <w:color w:val="FF0000"/>
              </w:rPr>
              <w:t xml:space="preserve">资产处置损益 </w:t>
            </w:r>
          </w:p>
          <w:p w14:paraId="79D6DF7F">
            <w:pPr>
              <w:jc w:val="left"/>
              <w:rPr>
                <w:rFonts w:ascii="宋体" w:hAnsi="宋体" w:cs="宋体"/>
              </w:rPr>
            </w:pPr>
            <w:r>
              <w:rPr>
                <w:rFonts w:hint="eastAsia" w:ascii="宋体" w:hAnsi="宋体" w:cs="宋体"/>
              </w:rPr>
              <w:t xml:space="preserve">借：银行存款 </w:t>
            </w:r>
          </w:p>
          <w:p w14:paraId="021F3E71">
            <w:pPr>
              <w:jc w:val="left"/>
              <w:rPr>
                <w:rFonts w:ascii="宋体" w:hAnsi="宋体" w:cs="宋体"/>
              </w:rPr>
            </w:pPr>
            <w:r>
              <w:rPr>
                <w:rFonts w:hint="eastAsia" w:ascii="宋体" w:hAnsi="宋体" w:cs="宋体"/>
              </w:rPr>
              <w:t xml:space="preserve">　　贷：应交税费——应交增值税（销项税额） </w:t>
            </w:r>
          </w:p>
        </w:tc>
      </w:tr>
      <w:tr w14:paraId="0A4FD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vMerge w:val="continue"/>
          </w:tcPr>
          <w:p w14:paraId="5DB599CD">
            <w:pPr>
              <w:overflowPunct w:val="0"/>
              <w:jc w:val="left"/>
              <w:rPr>
                <w:rFonts w:ascii="宋体" w:hAnsi="宋体" w:cs="宋体"/>
              </w:rPr>
            </w:pPr>
          </w:p>
        </w:tc>
        <w:tc>
          <w:tcPr>
            <w:tcW w:w="716" w:type="pct"/>
            <w:vMerge w:val="continue"/>
          </w:tcPr>
          <w:p w14:paraId="0E20A014">
            <w:pPr>
              <w:overflowPunct w:val="0"/>
              <w:jc w:val="left"/>
              <w:rPr>
                <w:rFonts w:ascii="宋体" w:hAnsi="宋体" w:cs="宋体"/>
                <w:color w:val="FF0000"/>
              </w:rPr>
            </w:pPr>
          </w:p>
        </w:tc>
        <w:tc>
          <w:tcPr>
            <w:tcW w:w="357" w:type="pct"/>
          </w:tcPr>
          <w:p w14:paraId="77173F06">
            <w:pPr>
              <w:jc w:val="left"/>
              <w:rPr>
                <w:rFonts w:ascii="宋体" w:hAnsi="宋体" w:cs="宋体"/>
              </w:rPr>
            </w:pPr>
            <w:r>
              <w:rPr>
                <w:rFonts w:hint="eastAsia" w:ascii="宋体" w:hAnsi="宋体" w:cs="宋体"/>
              </w:rPr>
              <w:t xml:space="preserve">利得 </w:t>
            </w:r>
          </w:p>
        </w:tc>
        <w:tc>
          <w:tcPr>
            <w:tcW w:w="1288" w:type="pct"/>
          </w:tcPr>
          <w:p w14:paraId="08BDBEEC">
            <w:pPr>
              <w:jc w:val="left"/>
              <w:rPr>
                <w:rFonts w:ascii="宋体" w:hAnsi="宋体" w:cs="宋体"/>
              </w:rPr>
            </w:pPr>
            <w:r>
              <w:rPr>
                <w:rFonts w:hint="eastAsia" w:ascii="宋体" w:hAnsi="宋体" w:cs="宋体"/>
              </w:rPr>
              <w:t xml:space="preserve">借：固定资产清理 </w:t>
            </w:r>
          </w:p>
          <w:p w14:paraId="773BB632">
            <w:pPr>
              <w:jc w:val="left"/>
              <w:rPr>
                <w:rFonts w:ascii="宋体" w:hAnsi="宋体" w:cs="宋体"/>
              </w:rPr>
            </w:pPr>
            <w:r>
              <w:rPr>
                <w:rFonts w:hint="eastAsia" w:ascii="宋体" w:hAnsi="宋体" w:cs="宋体"/>
              </w:rPr>
              <w:t>　　贷：</w:t>
            </w:r>
            <w:r>
              <w:rPr>
                <w:rFonts w:hint="eastAsia" w:ascii="宋体" w:hAnsi="宋体" w:cs="宋体"/>
                <w:color w:val="FF0000"/>
              </w:rPr>
              <w:t xml:space="preserve">资产处置损益 </w:t>
            </w:r>
          </w:p>
        </w:tc>
        <w:tc>
          <w:tcPr>
            <w:tcW w:w="428" w:type="pct"/>
            <w:vMerge w:val="continue"/>
          </w:tcPr>
          <w:p w14:paraId="4DE79266">
            <w:pPr>
              <w:overflowPunct w:val="0"/>
              <w:jc w:val="left"/>
              <w:rPr>
                <w:rFonts w:ascii="宋体" w:hAnsi="宋体" w:cs="宋体"/>
              </w:rPr>
            </w:pPr>
          </w:p>
        </w:tc>
        <w:tc>
          <w:tcPr>
            <w:tcW w:w="1570" w:type="pct"/>
            <w:vMerge w:val="continue"/>
          </w:tcPr>
          <w:p w14:paraId="325042C4">
            <w:pPr>
              <w:overflowPunct w:val="0"/>
              <w:jc w:val="left"/>
              <w:rPr>
                <w:rFonts w:ascii="宋体" w:hAnsi="宋体" w:cs="宋体"/>
              </w:rPr>
            </w:pPr>
          </w:p>
        </w:tc>
      </w:tr>
      <w:tr w14:paraId="3BEA4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vMerge w:val="continue"/>
          </w:tcPr>
          <w:p w14:paraId="21521531">
            <w:pPr>
              <w:overflowPunct w:val="0"/>
              <w:jc w:val="left"/>
              <w:rPr>
                <w:rFonts w:ascii="宋体" w:hAnsi="宋体" w:cs="宋体"/>
              </w:rPr>
            </w:pPr>
          </w:p>
        </w:tc>
        <w:tc>
          <w:tcPr>
            <w:tcW w:w="716" w:type="pct"/>
            <w:vMerge w:val="restart"/>
          </w:tcPr>
          <w:p w14:paraId="7E193B19">
            <w:pPr>
              <w:jc w:val="center"/>
              <w:rPr>
                <w:rFonts w:ascii="宋体" w:hAnsi="宋体" w:cs="宋体"/>
                <w:color w:val="FF0000"/>
              </w:rPr>
            </w:pPr>
            <w:r>
              <w:rPr>
                <w:rFonts w:hint="eastAsia" w:ascii="宋体" w:hAnsi="宋体" w:cs="宋体"/>
                <w:color w:val="FF0000"/>
              </w:rPr>
              <w:t xml:space="preserve">自然灾害毁损、丧失使用功能产生 </w:t>
            </w:r>
          </w:p>
        </w:tc>
        <w:tc>
          <w:tcPr>
            <w:tcW w:w="357" w:type="pct"/>
          </w:tcPr>
          <w:p w14:paraId="4A82EAAF">
            <w:pPr>
              <w:jc w:val="left"/>
              <w:rPr>
                <w:rFonts w:ascii="宋体" w:hAnsi="宋体" w:cs="宋体"/>
              </w:rPr>
            </w:pPr>
            <w:r>
              <w:rPr>
                <w:rFonts w:hint="eastAsia" w:ascii="宋体" w:hAnsi="宋体" w:cs="宋体"/>
              </w:rPr>
              <w:t xml:space="preserve">损失 </w:t>
            </w:r>
          </w:p>
        </w:tc>
        <w:tc>
          <w:tcPr>
            <w:tcW w:w="1288" w:type="pct"/>
          </w:tcPr>
          <w:p w14:paraId="4317B01E">
            <w:pPr>
              <w:jc w:val="left"/>
              <w:rPr>
                <w:rFonts w:ascii="宋体" w:hAnsi="宋体" w:cs="宋体"/>
                <w:color w:val="FF0000"/>
              </w:rPr>
            </w:pPr>
            <w:r>
              <w:rPr>
                <w:rFonts w:hint="eastAsia" w:ascii="宋体" w:hAnsi="宋体" w:cs="宋体"/>
              </w:rPr>
              <w:t>借：</w:t>
            </w:r>
            <w:r>
              <w:rPr>
                <w:rFonts w:hint="eastAsia" w:ascii="宋体" w:hAnsi="宋体" w:cs="宋体"/>
                <w:color w:val="FF0000"/>
              </w:rPr>
              <w:t xml:space="preserve">营业外支出 </w:t>
            </w:r>
          </w:p>
          <w:p w14:paraId="770D439D">
            <w:pPr>
              <w:jc w:val="left"/>
              <w:rPr>
                <w:rFonts w:ascii="宋体" w:hAnsi="宋体" w:cs="宋体"/>
              </w:rPr>
            </w:pPr>
            <w:r>
              <w:rPr>
                <w:rFonts w:hint="eastAsia" w:ascii="宋体" w:hAnsi="宋体" w:cs="宋体"/>
              </w:rPr>
              <w:t>　　贷：固定资产清理</w:t>
            </w:r>
          </w:p>
        </w:tc>
        <w:tc>
          <w:tcPr>
            <w:tcW w:w="428" w:type="pct"/>
            <w:vMerge w:val="restart"/>
          </w:tcPr>
          <w:p w14:paraId="79C87DCC">
            <w:pPr>
              <w:jc w:val="left"/>
              <w:rPr>
                <w:rFonts w:ascii="宋体" w:hAnsi="宋体" w:cs="宋体"/>
              </w:rPr>
            </w:pPr>
            <w:r>
              <w:rPr>
                <w:rFonts w:hint="eastAsia" w:ascii="宋体" w:hAnsi="宋体" w:cs="宋体"/>
              </w:rPr>
              <w:t xml:space="preserve">报废 </w:t>
            </w:r>
          </w:p>
        </w:tc>
        <w:tc>
          <w:tcPr>
            <w:tcW w:w="1570" w:type="pct"/>
            <w:vMerge w:val="restart"/>
          </w:tcPr>
          <w:p w14:paraId="182511BE">
            <w:pPr>
              <w:jc w:val="left"/>
              <w:rPr>
                <w:rFonts w:ascii="宋体" w:hAnsi="宋体" w:cs="宋体"/>
              </w:rPr>
            </w:pPr>
            <w:r>
              <w:rPr>
                <w:rFonts w:hint="eastAsia" w:ascii="宋体" w:hAnsi="宋体" w:cs="宋体"/>
              </w:rPr>
              <w:t xml:space="preserve">借：累计摊销　 </w:t>
            </w:r>
          </w:p>
          <w:p w14:paraId="41DDBE48">
            <w:pPr>
              <w:jc w:val="left"/>
              <w:rPr>
                <w:rFonts w:ascii="宋体" w:hAnsi="宋体" w:cs="宋体"/>
              </w:rPr>
            </w:pPr>
            <w:r>
              <w:rPr>
                <w:rFonts w:hint="eastAsia" w:ascii="宋体" w:hAnsi="宋体" w:cs="宋体"/>
              </w:rPr>
              <w:t xml:space="preserve">　　无形资产减值准备 </w:t>
            </w:r>
          </w:p>
          <w:p w14:paraId="0908421E">
            <w:pPr>
              <w:jc w:val="left"/>
              <w:rPr>
                <w:rFonts w:ascii="宋体" w:hAnsi="宋体" w:cs="宋体"/>
                <w:color w:val="FF0000"/>
              </w:rPr>
            </w:pPr>
            <w:r>
              <w:rPr>
                <w:rFonts w:hint="eastAsia" w:ascii="宋体" w:hAnsi="宋体" w:cs="宋体"/>
              </w:rPr>
              <w:t>　　</w:t>
            </w:r>
            <w:r>
              <w:rPr>
                <w:rFonts w:hint="eastAsia" w:ascii="宋体" w:hAnsi="宋体" w:cs="宋体"/>
                <w:color w:val="FF0000"/>
              </w:rPr>
              <w:t xml:space="preserve">营业外支出 </w:t>
            </w:r>
          </w:p>
          <w:p w14:paraId="45BA8393">
            <w:pPr>
              <w:jc w:val="left"/>
              <w:rPr>
                <w:rFonts w:ascii="宋体" w:hAnsi="宋体" w:cs="宋体"/>
              </w:rPr>
            </w:pPr>
            <w:r>
              <w:rPr>
                <w:rFonts w:hint="eastAsia" w:ascii="宋体" w:hAnsi="宋体" w:cs="宋体"/>
              </w:rPr>
              <w:t xml:space="preserve">　　贷：无形资产　　　　 </w:t>
            </w:r>
          </w:p>
        </w:tc>
      </w:tr>
      <w:tr w14:paraId="06E15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vMerge w:val="continue"/>
          </w:tcPr>
          <w:p w14:paraId="610E228E">
            <w:pPr>
              <w:overflowPunct w:val="0"/>
              <w:jc w:val="left"/>
              <w:rPr>
                <w:rFonts w:ascii="宋体" w:hAnsi="宋体" w:cs="宋体"/>
              </w:rPr>
            </w:pPr>
          </w:p>
        </w:tc>
        <w:tc>
          <w:tcPr>
            <w:tcW w:w="716" w:type="pct"/>
            <w:vMerge w:val="continue"/>
          </w:tcPr>
          <w:p w14:paraId="58A2F59C">
            <w:pPr>
              <w:overflowPunct w:val="0"/>
              <w:jc w:val="left"/>
              <w:rPr>
                <w:rFonts w:ascii="宋体" w:hAnsi="宋体" w:cs="宋体"/>
              </w:rPr>
            </w:pPr>
          </w:p>
        </w:tc>
        <w:tc>
          <w:tcPr>
            <w:tcW w:w="357" w:type="pct"/>
          </w:tcPr>
          <w:p w14:paraId="65A8288F">
            <w:pPr>
              <w:jc w:val="left"/>
              <w:rPr>
                <w:rFonts w:ascii="宋体" w:hAnsi="宋体" w:cs="宋体"/>
              </w:rPr>
            </w:pPr>
            <w:r>
              <w:rPr>
                <w:rFonts w:hint="eastAsia" w:ascii="宋体" w:hAnsi="宋体" w:cs="宋体"/>
              </w:rPr>
              <w:t xml:space="preserve">利得 </w:t>
            </w:r>
          </w:p>
        </w:tc>
        <w:tc>
          <w:tcPr>
            <w:tcW w:w="1288" w:type="pct"/>
          </w:tcPr>
          <w:p w14:paraId="4CC72E13">
            <w:pPr>
              <w:jc w:val="left"/>
              <w:rPr>
                <w:rFonts w:ascii="宋体" w:hAnsi="宋体" w:cs="宋体"/>
              </w:rPr>
            </w:pPr>
            <w:r>
              <w:rPr>
                <w:rFonts w:hint="eastAsia" w:ascii="宋体" w:hAnsi="宋体" w:cs="宋体"/>
              </w:rPr>
              <w:t xml:space="preserve">借：固定资产清理 </w:t>
            </w:r>
          </w:p>
          <w:p w14:paraId="110ED547">
            <w:pPr>
              <w:jc w:val="left"/>
              <w:rPr>
                <w:rFonts w:ascii="宋体" w:hAnsi="宋体" w:cs="宋体"/>
              </w:rPr>
            </w:pPr>
            <w:r>
              <w:rPr>
                <w:rFonts w:hint="eastAsia" w:ascii="宋体" w:hAnsi="宋体" w:cs="宋体"/>
              </w:rPr>
              <w:t>　　贷：</w:t>
            </w:r>
            <w:r>
              <w:rPr>
                <w:rFonts w:hint="eastAsia" w:ascii="宋体" w:hAnsi="宋体" w:cs="宋体"/>
                <w:color w:val="FF0000"/>
              </w:rPr>
              <w:t xml:space="preserve">营业外收入 </w:t>
            </w:r>
          </w:p>
        </w:tc>
        <w:tc>
          <w:tcPr>
            <w:tcW w:w="428" w:type="pct"/>
            <w:vMerge w:val="continue"/>
          </w:tcPr>
          <w:p w14:paraId="02BBBEF5">
            <w:pPr>
              <w:overflowPunct w:val="0"/>
              <w:jc w:val="left"/>
              <w:rPr>
                <w:rFonts w:ascii="宋体" w:hAnsi="宋体" w:cs="宋体"/>
              </w:rPr>
            </w:pPr>
          </w:p>
        </w:tc>
        <w:tc>
          <w:tcPr>
            <w:tcW w:w="1570" w:type="pct"/>
            <w:vMerge w:val="continue"/>
          </w:tcPr>
          <w:p w14:paraId="3939081E">
            <w:pPr>
              <w:overflowPunct w:val="0"/>
              <w:jc w:val="left"/>
              <w:rPr>
                <w:rFonts w:ascii="宋体" w:hAnsi="宋体" w:cs="宋体"/>
              </w:rPr>
            </w:pPr>
          </w:p>
        </w:tc>
      </w:tr>
    </w:tbl>
    <w:p w14:paraId="1ECD4C40">
      <w:pPr>
        <w:jc w:val="left"/>
        <w:rPr>
          <w:rFonts w:hint="eastAsia"/>
        </w:rPr>
      </w:pPr>
    </w:p>
    <w:p w14:paraId="3FA8748B">
      <w:pPr>
        <w:overflowPunct w:val="0"/>
        <w:jc w:val="center"/>
        <w:rPr>
          <w:rFonts w:ascii="宋体" w:hAnsi="宋体" w:cs="宋体"/>
          <w:b/>
          <w:bCs/>
        </w:rPr>
      </w:pPr>
      <w:r>
        <w:rPr>
          <w:rFonts w:hint="eastAsia" w:ascii="宋体" w:hAnsi="宋体" w:cs="宋体"/>
          <w:b/>
          <w:bCs/>
        </w:rPr>
        <w:t>第四章  无形资产</w:t>
      </w:r>
    </w:p>
    <w:p w14:paraId="79E56B76">
      <w:pPr>
        <w:jc w:val="left"/>
        <w:rPr>
          <w:rFonts w:ascii="宋体" w:hAnsi="宋体" w:cs="宋体"/>
        </w:rPr>
      </w:pPr>
      <w:r>
        <w:rPr>
          <w:rFonts w:hint="eastAsia" w:ascii="宋体" w:hAnsi="宋体" w:cs="宋体"/>
        </w:rPr>
        <w:t>预计今年考核客观题，分值为4－10分左右。</w:t>
      </w:r>
    </w:p>
    <w:p w14:paraId="392D148A">
      <w:pPr>
        <w:jc w:val="left"/>
        <w:rPr>
          <w:rFonts w:ascii="宋体" w:hAnsi="宋体" w:cs="宋体"/>
          <w:color w:val="FF0000"/>
        </w:rPr>
      </w:pPr>
      <w:r>
        <w:rPr>
          <w:rFonts w:hint="eastAsia" w:ascii="宋体" w:hAnsi="宋体" w:cs="宋体"/>
          <w:color w:val="FF0000"/>
        </w:rPr>
        <w:t>【考点】★无形资产的概述和初始计量</w:t>
      </w:r>
    </w:p>
    <w:tbl>
      <w:tblPr>
        <w:tblStyle w:val="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5"/>
        <w:gridCol w:w="2029"/>
        <w:gridCol w:w="3769"/>
        <w:gridCol w:w="3183"/>
      </w:tblGrid>
      <w:tr w14:paraId="6A053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pct"/>
          </w:tcPr>
          <w:p w14:paraId="76615C0D">
            <w:pPr>
              <w:jc w:val="center"/>
              <w:rPr>
                <w:rFonts w:ascii="宋体" w:hAnsi="宋体" w:cs="宋体"/>
              </w:rPr>
            </w:pPr>
            <w:r>
              <w:rPr>
                <w:rFonts w:hint="eastAsia" w:ascii="宋体" w:hAnsi="宋体" w:cs="宋体"/>
              </w:rPr>
              <w:t>概述</w:t>
            </w:r>
          </w:p>
        </w:tc>
        <w:tc>
          <w:tcPr>
            <w:tcW w:w="4430" w:type="pct"/>
            <w:gridSpan w:val="3"/>
          </w:tcPr>
          <w:p w14:paraId="3C07C0B8">
            <w:pPr>
              <w:jc w:val="left"/>
              <w:rPr>
                <w:rFonts w:ascii="宋体" w:hAnsi="宋体" w:cs="宋体"/>
              </w:rPr>
            </w:pPr>
            <w:r>
              <w:rPr>
                <w:rFonts w:hint="eastAsia" w:ascii="宋体" w:hAnsi="宋体" w:cs="宋体"/>
              </w:rPr>
              <w:t>包括专利权、非专利技术、商标权、著作权、特许权；</w:t>
            </w:r>
          </w:p>
          <w:p w14:paraId="4CB1FB09">
            <w:pPr>
              <w:jc w:val="left"/>
              <w:rPr>
                <w:rFonts w:ascii="宋体" w:hAnsi="宋体" w:cs="宋体"/>
              </w:rPr>
            </w:pPr>
            <w:r>
              <w:rPr>
                <w:rFonts w:hint="eastAsia" w:ascii="宋体" w:hAnsi="宋体" w:cs="宋体"/>
              </w:rPr>
              <w:t>不包括商誉，不具有可辨认性</w:t>
            </w:r>
          </w:p>
        </w:tc>
      </w:tr>
      <w:tr w14:paraId="50AFA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pct"/>
            <w:vMerge w:val="restart"/>
          </w:tcPr>
          <w:p w14:paraId="23B678F6">
            <w:pPr>
              <w:jc w:val="center"/>
              <w:rPr>
                <w:rFonts w:ascii="宋体" w:hAnsi="宋体" w:cs="宋体"/>
              </w:rPr>
            </w:pPr>
            <w:r>
              <w:rPr>
                <w:rFonts w:hint="eastAsia" w:ascii="宋体" w:hAnsi="宋体" w:cs="宋体"/>
              </w:rPr>
              <w:t>初始计量</w:t>
            </w:r>
          </w:p>
        </w:tc>
        <w:tc>
          <w:tcPr>
            <w:tcW w:w="4430" w:type="pct"/>
            <w:gridSpan w:val="3"/>
          </w:tcPr>
          <w:p w14:paraId="58ECD12E">
            <w:pPr>
              <w:jc w:val="left"/>
              <w:rPr>
                <w:rFonts w:ascii="宋体" w:hAnsi="宋体" w:cs="宋体"/>
              </w:rPr>
            </w:pPr>
            <w:r>
              <w:rPr>
                <w:rFonts w:hint="eastAsia" w:ascii="宋体" w:hAnsi="宋体" w:cs="宋体"/>
              </w:rPr>
              <w:t>外购：</w:t>
            </w:r>
            <w:r>
              <w:rPr>
                <w:rFonts w:hint="eastAsia" w:ascii="宋体" w:hAnsi="宋体" w:cs="宋体"/>
                <w:color w:val="FF0000"/>
              </w:rPr>
              <w:t>价＋税＋费</w:t>
            </w:r>
          </w:p>
        </w:tc>
      </w:tr>
      <w:tr w14:paraId="0774C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pct"/>
            <w:vMerge w:val="continue"/>
          </w:tcPr>
          <w:p w14:paraId="55B31780">
            <w:pPr>
              <w:jc w:val="left"/>
              <w:rPr>
                <w:rFonts w:ascii="宋体" w:hAnsi="宋体" w:cs="宋体"/>
              </w:rPr>
            </w:pPr>
          </w:p>
        </w:tc>
        <w:tc>
          <w:tcPr>
            <w:tcW w:w="1001" w:type="pct"/>
          </w:tcPr>
          <w:p w14:paraId="04D174FD">
            <w:pPr>
              <w:jc w:val="left"/>
              <w:rPr>
                <w:rFonts w:ascii="宋体" w:hAnsi="宋体" w:cs="宋体"/>
              </w:rPr>
            </w:pPr>
            <w:r>
              <w:rPr>
                <w:rFonts w:hint="eastAsia" w:ascii="宋体" w:hAnsi="宋体" w:cs="宋体"/>
              </w:rPr>
              <w:t>分期付款购买无形资产：以购买价款的</w:t>
            </w:r>
            <w:r>
              <w:rPr>
                <w:rFonts w:hint="eastAsia" w:ascii="宋体" w:hAnsi="宋体" w:cs="宋体"/>
                <w:color w:val="FF0000"/>
              </w:rPr>
              <w:t>现值</w:t>
            </w:r>
            <w:r>
              <w:rPr>
                <w:rFonts w:hint="eastAsia" w:ascii="宋体" w:hAnsi="宋体" w:cs="宋体"/>
              </w:rPr>
              <w:t>为初始成本，账务处理同分期付款购买固定资产</w:t>
            </w:r>
          </w:p>
        </w:tc>
        <w:tc>
          <w:tcPr>
            <w:tcW w:w="1859" w:type="pct"/>
          </w:tcPr>
          <w:p w14:paraId="2C7F28B3">
            <w:pPr>
              <w:jc w:val="left"/>
              <w:rPr>
                <w:rFonts w:ascii="宋体" w:hAnsi="宋体" w:cs="宋体"/>
              </w:rPr>
            </w:pPr>
            <w:r>
              <w:rPr>
                <w:rFonts w:hint="eastAsia" w:ascii="宋体" w:hAnsi="宋体" w:cs="宋体"/>
              </w:rPr>
              <w:t>1.购入时：</w:t>
            </w:r>
          </w:p>
          <w:p w14:paraId="42DC1DE7">
            <w:pPr>
              <w:jc w:val="left"/>
              <w:rPr>
                <w:rFonts w:ascii="宋体" w:hAnsi="宋体" w:cs="宋体"/>
              </w:rPr>
            </w:pPr>
            <w:r>
              <w:rPr>
                <w:rFonts w:hint="eastAsia" w:ascii="宋体" w:hAnsi="宋体" w:cs="宋体"/>
              </w:rPr>
              <w:t>借：无形资产（现值、一次性付款额）</w:t>
            </w:r>
          </w:p>
          <w:p w14:paraId="6D979690">
            <w:pPr>
              <w:jc w:val="left"/>
              <w:rPr>
                <w:rFonts w:ascii="宋体" w:hAnsi="宋体" w:cs="宋体"/>
              </w:rPr>
            </w:pPr>
            <w:r>
              <w:rPr>
                <w:rFonts w:hint="eastAsia" w:ascii="宋体" w:hAnsi="宋体" w:cs="宋体"/>
              </w:rPr>
              <w:t>　　未确认融资费用（按揭利息总额，备抵科目）</w:t>
            </w:r>
          </w:p>
          <w:p w14:paraId="2D860337">
            <w:pPr>
              <w:jc w:val="left"/>
              <w:rPr>
                <w:rFonts w:ascii="宋体" w:hAnsi="宋体" w:cs="宋体"/>
              </w:rPr>
            </w:pPr>
            <w:r>
              <w:rPr>
                <w:rFonts w:hint="eastAsia" w:ascii="宋体" w:hAnsi="宋体" w:cs="宋体"/>
              </w:rPr>
              <w:t>　　贷：银行存款（首付款）</w:t>
            </w:r>
          </w:p>
          <w:p w14:paraId="6789E02A">
            <w:pPr>
              <w:jc w:val="left"/>
              <w:rPr>
                <w:rFonts w:ascii="宋体" w:hAnsi="宋体" w:cs="宋体"/>
              </w:rPr>
            </w:pPr>
            <w:r>
              <w:rPr>
                <w:rFonts w:hint="eastAsia" w:ascii="宋体" w:hAnsi="宋体" w:cs="宋体"/>
              </w:rPr>
              <w:t>　　　　长期应付款（按揭的本金＋利息）</w:t>
            </w:r>
          </w:p>
        </w:tc>
        <w:tc>
          <w:tcPr>
            <w:tcW w:w="1570" w:type="pct"/>
          </w:tcPr>
          <w:p w14:paraId="3F2601BB">
            <w:pPr>
              <w:jc w:val="left"/>
              <w:rPr>
                <w:rFonts w:ascii="宋体" w:hAnsi="宋体" w:cs="宋体"/>
              </w:rPr>
            </w:pPr>
            <w:r>
              <w:rPr>
                <w:rFonts w:hint="eastAsia" w:ascii="宋体" w:hAnsi="宋体" w:cs="宋体"/>
              </w:rPr>
              <w:t>2.资产负债表日：</w:t>
            </w:r>
          </w:p>
          <w:p w14:paraId="23112E79">
            <w:pPr>
              <w:jc w:val="left"/>
              <w:rPr>
                <w:rFonts w:ascii="宋体" w:hAnsi="宋体" w:cs="宋体"/>
              </w:rPr>
            </w:pPr>
            <w:r>
              <w:rPr>
                <w:rFonts w:hint="eastAsia" w:ascii="宋体" w:hAnsi="宋体" w:cs="宋体"/>
              </w:rPr>
              <w:t>（1）确认利息费用</w:t>
            </w:r>
          </w:p>
          <w:p w14:paraId="3C68966B">
            <w:pPr>
              <w:jc w:val="left"/>
              <w:rPr>
                <w:rFonts w:ascii="宋体" w:hAnsi="宋体" w:cs="宋体"/>
              </w:rPr>
            </w:pPr>
            <w:r>
              <w:rPr>
                <w:rFonts w:hint="eastAsia" w:ascii="宋体" w:hAnsi="宋体" w:cs="宋体"/>
              </w:rPr>
              <w:t>借：财务费用（费用化）</w:t>
            </w:r>
          </w:p>
          <w:p w14:paraId="0E985F02">
            <w:pPr>
              <w:jc w:val="left"/>
              <w:rPr>
                <w:rFonts w:ascii="宋体" w:hAnsi="宋体" w:cs="宋体"/>
              </w:rPr>
            </w:pPr>
            <w:r>
              <w:rPr>
                <w:rFonts w:hint="eastAsia" w:ascii="宋体" w:hAnsi="宋体" w:cs="宋体"/>
              </w:rPr>
              <w:t>　　在建工程（资本化）</w:t>
            </w:r>
          </w:p>
          <w:p w14:paraId="7495A7AD">
            <w:pPr>
              <w:jc w:val="left"/>
              <w:rPr>
                <w:rFonts w:ascii="宋体" w:hAnsi="宋体" w:cs="宋体"/>
              </w:rPr>
            </w:pPr>
            <w:r>
              <w:rPr>
                <w:rFonts w:hint="eastAsia" w:ascii="宋体" w:hAnsi="宋体" w:cs="宋体"/>
              </w:rPr>
              <w:t>　　贷：未确认融资费用（已发生的利息）</w:t>
            </w:r>
          </w:p>
          <w:p w14:paraId="2B642D05">
            <w:pPr>
              <w:jc w:val="left"/>
              <w:rPr>
                <w:rFonts w:ascii="宋体" w:hAnsi="宋体" w:cs="宋体"/>
              </w:rPr>
            </w:pPr>
            <w:r>
              <w:rPr>
                <w:rFonts w:hint="eastAsia" w:ascii="宋体" w:hAnsi="宋体" w:cs="宋体"/>
              </w:rPr>
              <w:t>（2）还款时</w:t>
            </w:r>
          </w:p>
          <w:p w14:paraId="561A527A">
            <w:pPr>
              <w:jc w:val="left"/>
              <w:rPr>
                <w:rFonts w:ascii="宋体" w:hAnsi="宋体" w:cs="宋体"/>
              </w:rPr>
            </w:pPr>
            <w:r>
              <w:rPr>
                <w:rFonts w:hint="eastAsia" w:ascii="宋体" w:hAnsi="宋体" w:cs="宋体"/>
              </w:rPr>
              <w:t>借：长期应付款</w:t>
            </w:r>
          </w:p>
          <w:p w14:paraId="6EF70C79">
            <w:pPr>
              <w:jc w:val="left"/>
              <w:rPr>
                <w:rFonts w:ascii="宋体" w:hAnsi="宋体" w:cs="宋体"/>
              </w:rPr>
            </w:pPr>
            <w:r>
              <w:rPr>
                <w:rFonts w:hint="eastAsia" w:ascii="宋体" w:hAnsi="宋体" w:cs="宋体"/>
              </w:rPr>
              <w:t>　　贷：银行存款</w:t>
            </w:r>
          </w:p>
        </w:tc>
      </w:tr>
      <w:tr w14:paraId="3D72A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pct"/>
            <w:vMerge w:val="continue"/>
          </w:tcPr>
          <w:p w14:paraId="77698135">
            <w:pPr>
              <w:jc w:val="left"/>
              <w:rPr>
                <w:rFonts w:ascii="宋体" w:hAnsi="宋体" w:cs="宋体"/>
              </w:rPr>
            </w:pPr>
          </w:p>
        </w:tc>
        <w:tc>
          <w:tcPr>
            <w:tcW w:w="4430" w:type="pct"/>
            <w:gridSpan w:val="3"/>
          </w:tcPr>
          <w:p w14:paraId="0CD09E3E">
            <w:pPr>
              <w:jc w:val="left"/>
              <w:rPr>
                <w:rFonts w:ascii="宋体" w:hAnsi="宋体" w:cs="宋体"/>
              </w:rPr>
            </w:pPr>
            <w:r>
              <w:rPr>
                <w:rFonts w:hint="eastAsia" w:ascii="宋体" w:hAnsi="宋体" w:cs="宋体"/>
              </w:rPr>
              <w:t>投资者投入无形资产的成本，应当按照</w:t>
            </w:r>
            <w:r>
              <w:rPr>
                <w:rFonts w:hint="eastAsia" w:ascii="宋体" w:hAnsi="宋体" w:cs="宋体"/>
                <w:color w:val="FF0000"/>
              </w:rPr>
              <w:t>投资合同或协议约定的价值</w:t>
            </w:r>
            <w:r>
              <w:rPr>
                <w:rFonts w:hint="eastAsia" w:ascii="宋体" w:hAnsi="宋体" w:cs="宋体"/>
              </w:rPr>
              <w:t>确定，如果合同或协议约定价值不公允时，应按无形资产的公允价值作为无形资产的初始成本。</w:t>
            </w:r>
          </w:p>
        </w:tc>
      </w:tr>
      <w:tr w14:paraId="6BE99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pct"/>
            <w:vMerge w:val="continue"/>
          </w:tcPr>
          <w:p w14:paraId="780E13C6">
            <w:pPr>
              <w:jc w:val="left"/>
              <w:rPr>
                <w:rFonts w:ascii="宋体" w:hAnsi="宋体" w:cs="宋体"/>
              </w:rPr>
            </w:pPr>
          </w:p>
        </w:tc>
        <w:tc>
          <w:tcPr>
            <w:tcW w:w="4430" w:type="pct"/>
            <w:gridSpan w:val="3"/>
          </w:tcPr>
          <w:p w14:paraId="0F23F353">
            <w:pPr>
              <w:jc w:val="left"/>
              <w:rPr>
                <w:rFonts w:ascii="宋体" w:hAnsi="宋体" w:cs="宋体"/>
              </w:rPr>
            </w:pPr>
            <w:r>
              <w:rPr>
                <w:rFonts w:hint="eastAsia" w:ascii="宋体" w:hAnsi="宋体" w:cs="宋体"/>
              </w:rPr>
              <w:t>研发：价＋注册费＋律师费</w:t>
            </w:r>
          </w:p>
        </w:tc>
      </w:tr>
    </w:tbl>
    <w:p w14:paraId="3069394D">
      <w:pPr>
        <w:jc w:val="left"/>
        <w:rPr>
          <w:rFonts w:ascii="宋体" w:hAnsi="宋体" w:cs="宋体"/>
          <w:color w:val="FF0000"/>
        </w:rPr>
      </w:pPr>
      <w:r>
        <w:rPr>
          <w:rFonts w:hint="eastAsia" w:ascii="宋体" w:hAnsi="宋体" w:cs="宋体"/>
          <w:color w:val="FF0000"/>
        </w:rPr>
        <w:t>【考点】★★★内部研究开发支出的确认和计量</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49"/>
        <w:gridCol w:w="3481"/>
        <w:gridCol w:w="3908"/>
      </w:tblGrid>
      <w:tr w14:paraId="75E62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3"/>
          </w:tcPr>
          <w:p w14:paraId="3C15C628">
            <w:pPr>
              <w:jc w:val="left"/>
              <w:rPr>
                <w:rFonts w:ascii="宋体" w:hAnsi="宋体" w:cs="宋体"/>
              </w:rPr>
            </w:pPr>
            <w:r>
              <w:rPr>
                <w:rFonts w:hint="eastAsia" w:ascii="宋体" w:hAnsi="宋体" w:cs="宋体"/>
              </w:rPr>
              <w:t>企业自行研究开发项目，应当区分研究阶段与开发阶段</w:t>
            </w:r>
          </w:p>
        </w:tc>
      </w:tr>
      <w:tr w14:paraId="7D26A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6" w:type="pct"/>
          </w:tcPr>
          <w:p w14:paraId="62C03E77">
            <w:pPr>
              <w:jc w:val="left"/>
              <w:rPr>
                <w:rFonts w:ascii="宋体" w:hAnsi="宋体" w:cs="宋体"/>
              </w:rPr>
            </w:pPr>
            <w:r>
              <w:rPr>
                <w:rFonts w:hint="eastAsia" w:ascii="宋体" w:hAnsi="宋体" w:cs="宋体"/>
              </w:rPr>
              <w:t>研究阶段的支出和开发阶段的不满足资本化条件的支出应计入当期损益</w:t>
            </w:r>
          </w:p>
        </w:tc>
        <w:tc>
          <w:tcPr>
            <w:tcW w:w="1717" w:type="pct"/>
          </w:tcPr>
          <w:p w14:paraId="30F8C80E">
            <w:pPr>
              <w:jc w:val="left"/>
              <w:rPr>
                <w:rFonts w:ascii="宋体" w:hAnsi="宋体" w:cs="宋体"/>
              </w:rPr>
            </w:pPr>
            <w:r>
              <w:rPr>
                <w:rFonts w:hint="eastAsia" w:ascii="宋体" w:hAnsi="宋体" w:cs="宋体"/>
              </w:rPr>
              <w:t xml:space="preserve">发生研发费时： </w:t>
            </w:r>
          </w:p>
          <w:p w14:paraId="422AE1CB">
            <w:pPr>
              <w:jc w:val="left"/>
              <w:rPr>
                <w:rFonts w:ascii="宋体" w:hAnsi="宋体" w:cs="宋体"/>
              </w:rPr>
            </w:pPr>
            <w:r>
              <w:rPr>
                <w:rFonts w:hint="eastAsia" w:ascii="宋体" w:hAnsi="宋体" w:cs="宋体"/>
              </w:rPr>
              <w:t>借：研发支出——费用化支出</w:t>
            </w:r>
          </w:p>
          <w:p w14:paraId="2F856A02">
            <w:pPr>
              <w:jc w:val="left"/>
              <w:rPr>
                <w:rFonts w:ascii="宋体" w:hAnsi="宋体" w:cs="宋体"/>
              </w:rPr>
            </w:pPr>
            <w:r>
              <w:rPr>
                <w:rFonts w:hint="eastAsia" w:ascii="宋体" w:hAnsi="宋体" w:cs="宋体"/>
              </w:rPr>
              <w:t>　　贷：银行存款</w:t>
            </w:r>
          </w:p>
          <w:p w14:paraId="267BEC4B">
            <w:pPr>
              <w:jc w:val="left"/>
              <w:rPr>
                <w:rFonts w:ascii="宋体" w:hAnsi="宋体" w:cs="宋体"/>
              </w:rPr>
            </w:pPr>
            <w:r>
              <w:rPr>
                <w:rFonts w:hint="eastAsia" w:ascii="宋体" w:hAnsi="宋体" w:cs="宋体"/>
              </w:rPr>
              <w:t>　　　　原材料</w:t>
            </w:r>
          </w:p>
          <w:p w14:paraId="2FE7E73B">
            <w:pPr>
              <w:jc w:val="left"/>
              <w:rPr>
                <w:rFonts w:ascii="宋体" w:hAnsi="宋体" w:cs="宋体"/>
              </w:rPr>
            </w:pPr>
            <w:r>
              <w:rPr>
                <w:rFonts w:hint="eastAsia" w:ascii="宋体" w:hAnsi="宋体" w:cs="宋体"/>
              </w:rPr>
              <w:t>　　　　应付职工薪酬</w:t>
            </w:r>
          </w:p>
        </w:tc>
        <w:tc>
          <w:tcPr>
            <w:tcW w:w="1927" w:type="pct"/>
          </w:tcPr>
          <w:p w14:paraId="2491C7DC">
            <w:pPr>
              <w:jc w:val="left"/>
              <w:rPr>
                <w:rFonts w:ascii="宋体" w:hAnsi="宋体" w:cs="宋体"/>
              </w:rPr>
            </w:pPr>
            <w:r>
              <w:rPr>
                <w:rFonts w:hint="eastAsia" w:ascii="宋体" w:hAnsi="宋体" w:cs="宋体"/>
              </w:rPr>
              <w:t>期末：</w:t>
            </w:r>
          </w:p>
          <w:p w14:paraId="6E6EA0E4">
            <w:pPr>
              <w:jc w:val="left"/>
              <w:rPr>
                <w:rFonts w:ascii="宋体" w:hAnsi="宋体" w:cs="宋体"/>
              </w:rPr>
            </w:pPr>
            <w:r>
              <w:rPr>
                <w:rFonts w:hint="eastAsia" w:ascii="宋体" w:hAnsi="宋体" w:cs="宋体"/>
              </w:rPr>
              <w:t>借：管理费用</w:t>
            </w:r>
          </w:p>
          <w:p w14:paraId="48B2A259">
            <w:pPr>
              <w:jc w:val="left"/>
              <w:rPr>
                <w:rFonts w:ascii="宋体" w:hAnsi="宋体" w:cs="宋体"/>
              </w:rPr>
            </w:pPr>
            <w:r>
              <w:rPr>
                <w:rFonts w:hint="eastAsia" w:ascii="宋体" w:hAnsi="宋体" w:cs="宋体"/>
              </w:rPr>
              <w:t>　　贷：研发支出——费用化支出</w:t>
            </w:r>
          </w:p>
        </w:tc>
      </w:tr>
      <w:tr w14:paraId="7B696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6" w:type="pct"/>
          </w:tcPr>
          <w:p w14:paraId="540E5B0B">
            <w:pPr>
              <w:jc w:val="left"/>
              <w:rPr>
                <w:rFonts w:ascii="宋体" w:hAnsi="宋体" w:cs="宋体"/>
              </w:rPr>
            </w:pPr>
            <w:r>
              <w:rPr>
                <w:rFonts w:hint="eastAsia" w:ascii="宋体" w:hAnsi="宋体" w:cs="宋体"/>
              </w:rPr>
              <w:t>开发阶段满足资本化条件的支出计入无形资产的成本</w:t>
            </w:r>
          </w:p>
        </w:tc>
        <w:tc>
          <w:tcPr>
            <w:tcW w:w="1717" w:type="pct"/>
          </w:tcPr>
          <w:p w14:paraId="522823D5">
            <w:pPr>
              <w:jc w:val="left"/>
              <w:rPr>
                <w:rFonts w:ascii="宋体" w:hAnsi="宋体" w:cs="宋体"/>
              </w:rPr>
            </w:pPr>
            <w:r>
              <w:rPr>
                <w:rFonts w:hint="eastAsia" w:ascii="宋体" w:hAnsi="宋体" w:cs="宋体"/>
              </w:rPr>
              <w:t>发生研发费时：</w:t>
            </w:r>
          </w:p>
          <w:p w14:paraId="7E06EBDB">
            <w:pPr>
              <w:jc w:val="left"/>
              <w:rPr>
                <w:rFonts w:ascii="宋体" w:hAnsi="宋体" w:cs="宋体"/>
              </w:rPr>
            </w:pPr>
            <w:r>
              <w:rPr>
                <w:rFonts w:hint="eastAsia" w:ascii="宋体" w:hAnsi="宋体" w:cs="宋体"/>
              </w:rPr>
              <w:t>借：研发支出——资本化支出</w:t>
            </w:r>
          </w:p>
          <w:p w14:paraId="57FBAA75">
            <w:pPr>
              <w:jc w:val="left"/>
              <w:rPr>
                <w:rFonts w:ascii="宋体" w:hAnsi="宋体" w:cs="宋体"/>
              </w:rPr>
            </w:pPr>
            <w:r>
              <w:rPr>
                <w:rFonts w:hint="eastAsia" w:ascii="宋体" w:hAnsi="宋体" w:cs="宋体"/>
              </w:rPr>
              <w:t>　　贷：银行存款</w:t>
            </w:r>
          </w:p>
          <w:p w14:paraId="00C5B891">
            <w:pPr>
              <w:jc w:val="left"/>
              <w:rPr>
                <w:rFonts w:ascii="宋体" w:hAnsi="宋体" w:cs="宋体"/>
              </w:rPr>
            </w:pPr>
            <w:r>
              <w:rPr>
                <w:rFonts w:hint="eastAsia" w:ascii="宋体" w:hAnsi="宋体" w:cs="宋体"/>
              </w:rPr>
              <w:t>　　　　原材料</w:t>
            </w:r>
          </w:p>
          <w:p w14:paraId="4A639B19">
            <w:pPr>
              <w:jc w:val="left"/>
              <w:rPr>
                <w:rFonts w:ascii="宋体" w:hAnsi="宋体" w:cs="宋体"/>
              </w:rPr>
            </w:pPr>
            <w:r>
              <w:rPr>
                <w:rFonts w:hint="eastAsia" w:ascii="宋体" w:hAnsi="宋体" w:cs="宋体"/>
              </w:rPr>
              <w:t xml:space="preserve">　　　　应付职工薪酬 </w:t>
            </w:r>
          </w:p>
        </w:tc>
        <w:tc>
          <w:tcPr>
            <w:tcW w:w="1927" w:type="pct"/>
          </w:tcPr>
          <w:p w14:paraId="2D379A16">
            <w:pPr>
              <w:jc w:val="left"/>
              <w:rPr>
                <w:rFonts w:ascii="宋体" w:hAnsi="宋体" w:cs="宋体"/>
              </w:rPr>
            </w:pPr>
            <w:r>
              <w:rPr>
                <w:rFonts w:hint="eastAsia" w:ascii="宋体" w:hAnsi="宋体" w:cs="宋体"/>
              </w:rPr>
              <w:t xml:space="preserve">达到预定用途时： </w:t>
            </w:r>
          </w:p>
          <w:p w14:paraId="528C7116">
            <w:pPr>
              <w:jc w:val="left"/>
              <w:rPr>
                <w:rFonts w:ascii="宋体" w:hAnsi="宋体" w:cs="宋体"/>
              </w:rPr>
            </w:pPr>
            <w:r>
              <w:rPr>
                <w:rFonts w:hint="eastAsia" w:ascii="宋体" w:hAnsi="宋体" w:cs="宋体"/>
              </w:rPr>
              <w:t xml:space="preserve">借：无形资产  </w:t>
            </w:r>
          </w:p>
          <w:p w14:paraId="71D051F5">
            <w:pPr>
              <w:jc w:val="left"/>
              <w:rPr>
                <w:rFonts w:ascii="宋体" w:hAnsi="宋体" w:cs="宋体"/>
              </w:rPr>
            </w:pPr>
            <w:r>
              <w:rPr>
                <w:rFonts w:hint="eastAsia" w:ascii="宋体" w:hAnsi="宋体" w:cs="宋体"/>
              </w:rPr>
              <w:t xml:space="preserve">　　贷：研发支出——资本化支出 </w:t>
            </w:r>
          </w:p>
          <w:p w14:paraId="42EB1F81">
            <w:pPr>
              <w:jc w:val="left"/>
              <w:rPr>
                <w:rFonts w:ascii="宋体" w:hAnsi="宋体" w:cs="宋体"/>
              </w:rPr>
            </w:pPr>
            <w:r>
              <w:rPr>
                <w:rFonts w:hint="eastAsia" w:ascii="宋体" w:hAnsi="宋体" w:cs="宋体"/>
              </w:rPr>
              <w:t>【链接】★产生可抵扣暂时性差异，不能确认递延所得税资产</w:t>
            </w:r>
          </w:p>
        </w:tc>
      </w:tr>
    </w:tbl>
    <w:p w14:paraId="5A44D20D">
      <w:pPr>
        <w:jc w:val="left"/>
        <w:rPr>
          <w:rFonts w:ascii="宋体" w:hAnsi="宋体" w:cs="宋体"/>
          <w:color w:val="FF0000"/>
        </w:rPr>
      </w:pPr>
      <w:r>
        <w:rPr>
          <w:rFonts w:hint="eastAsia" w:ascii="宋体" w:hAnsi="宋体" w:cs="宋体"/>
          <w:color w:val="FF0000"/>
        </w:rPr>
        <w:t>【考点】★无形资产的后续计量</w:t>
      </w:r>
    </w:p>
    <w:tbl>
      <w:tblPr>
        <w:tblStyle w:val="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
        <w:gridCol w:w="1449"/>
        <w:gridCol w:w="2609"/>
        <w:gridCol w:w="5212"/>
      </w:tblGrid>
      <w:tr w14:paraId="3514F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vMerge w:val="restart"/>
          </w:tcPr>
          <w:p w14:paraId="3D1C9A5A">
            <w:pPr>
              <w:jc w:val="center"/>
              <w:rPr>
                <w:rFonts w:ascii="宋体" w:hAnsi="宋体" w:cs="宋体"/>
              </w:rPr>
            </w:pPr>
            <w:r>
              <w:rPr>
                <w:rFonts w:hint="eastAsia" w:ascii="宋体" w:hAnsi="宋体" w:cs="宋体"/>
              </w:rPr>
              <w:t xml:space="preserve">复核 </w:t>
            </w:r>
          </w:p>
        </w:tc>
        <w:tc>
          <w:tcPr>
            <w:tcW w:w="4573" w:type="pct"/>
            <w:gridSpan w:val="3"/>
          </w:tcPr>
          <w:p w14:paraId="6DEED21A">
            <w:pPr>
              <w:jc w:val="left"/>
              <w:rPr>
                <w:rFonts w:ascii="宋体" w:hAnsi="宋体" w:cs="宋体"/>
              </w:rPr>
            </w:pPr>
            <w:r>
              <w:rPr>
                <w:rFonts w:hint="eastAsia" w:ascii="宋体" w:hAnsi="宋体" w:cs="宋体"/>
              </w:rPr>
              <w:t>企业至少应当于每年年度终了，对使用寿命有限的无形资产的使用寿命和摊销方法进行复核。无形资产的使用寿命和摊销方法与以前估计不同的，应当改变摊销期限和摊销方法，并按会计估计变更进行处理</w:t>
            </w:r>
          </w:p>
        </w:tc>
      </w:tr>
      <w:tr w14:paraId="0621E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vMerge w:val="continue"/>
          </w:tcPr>
          <w:p w14:paraId="16F18575">
            <w:pPr>
              <w:jc w:val="left"/>
              <w:rPr>
                <w:rFonts w:ascii="宋体" w:hAnsi="宋体" w:cs="宋体"/>
              </w:rPr>
            </w:pPr>
          </w:p>
        </w:tc>
        <w:tc>
          <w:tcPr>
            <w:tcW w:w="4573" w:type="pct"/>
            <w:gridSpan w:val="3"/>
          </w:tcPr>
          <w:p w14:paraId="6027D879">
            <w:pPr>
              <w:jc w:val="left"/>
              <w:rPr>
                <w:rFonts w:ascii="宋体" w:hAnsi="宋体" w:cs="宋体"/>
              </w:rPr>
            </w:pPr>
            <w:r>
              <w:rPr>
                <w:rFonts w:hint="eastAsia" w:ascii="宋体" w:hAnsi="宋体" w:cs="宋体"/>
              </w:rPr>
              <w:t>企业应当在每个会计期末对使用寿命不确定的无形资产的使用寿命进行复核。</w:t>
            </w:r>
          </w:p>
        </w:tc>
      </w:tr>
      <w:tr w14:paraId="54599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vMerge w:val="restart"/>
          </w:tcPr>
          <w:p w14:paraId="4E1AABD6">
            <w:pPr>
              <w:jc w:val="center"/>
              <w:rPr>
                <w:rFonts w:ascii="宋体" w:hAnsi="宋体" w:cs="宋体"/>
              </w:rPr>
            </w:pPr>
            <w:r>
              <w:rPr>
                <w:rFonts w:hint="eastAsia" w:ascii="宋体" w:hAnsi="宋体" w:cs="宋体"/>
              </w:rPr>
              <w:t>摊销</w:t>
            </w:r>
          </w:p>
        </w:tc>
        <w:tc>
          <w:tcPr>
            <w:tcW w:w="715" w:type="pct"/>
            <w:vMerge w:val="restart"/>
          </w:tcPr>
          <w:p w14:paraId="29F3F60B">
            <w:pPr>
              <w:jc w:val="center"/>
              <w:rPr>
                <w:rFonts w:ascii="宋体" w:hAnsi="宋体" w:cs="宋体"/>
              </w:rPr>
            </w:pPr>
            <w:r>
              <w:rPr>
                <w:rFonts w:hint="eastAsia" w:ascii="宋体" w:hAnsi="宋体" w:cs="宋体"/>
              </w:rPr>
              <w:t>摊销原则</w:t>
            </w:r>
          </w:p>
        </w:tc>
        <w:tc>
          <w:tcPr>
            <w:tcW w:w="3858" w:type="pct"/>
            <w:gridSpan w:val="2"/>
          </w:tcPr>
          <w:p w14:paraId="4BB2EF2A">
            <w:pPr>
              <w:jc w:val="left"/>
              <w:rPr>
                <w:rFonts w:ascii="宋体" w:hAnsi="宋体" w:cs="宋体"/>
              </w:rPr>
            </w:pPr>
            <w:r>
              <w:rPr>
                <w:rFonts w:hint="eastAsia" w:ascii="宋体" w:hAnsi="宋体" w:cs="宋体"/>
              </w:rPr>
              <w:t>无形资产的使用寿命如为有限的，进行摊销；需要进行减值测试</w:t>
            </w:r>
          </w:p>
        </w:tc>
      </w:tr>
      <w:tr w14:paraId="64FFB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vMerge w:val="continue"/>
          </w:tcPr>
          <w:p w14:paraId="0F80D121">
            <w:pPr>
              <w:jc w:val="left"/>
              <w:rPr>
                <w:rFonts w:ascii="宋体" w:hAnsi="宋体" w:cs="宋体"/>
              </w:rPr>
            </w:pPr>
          </w:p>
        </w:tc>
        <w:tc>
          <w:tcPr>
            <w:tcW w:w="715" w:type="pct"/>
            <w:vMerge w:val="continue"/>
          </w:tcPr>
          <w:p w14:paraId="036273B7">
            <w:pPr>
              <w:jc w:val="left"/>
              <w:rPr>
                <w:rFonts w:ascii="宋体" w:hAnsi="宋体" w:cs="宋体"/>
              </w:rPr>
            </w:pPr>
          </w:p>
        </w:tc>
        <w:tc>
          <w:tcPr>
            <w:tcW w:w="3858" w:type="pct"/>
            <w:gridSpan w:val="2"/>
          </w:tcPr>
          <w:p w14:paraId="2855A58B">
            <w:pPr>
              <w:jc w:val="left"/>
              <w:rPr>
                <w:rFonts w:ascii="宋体" w:hAnsi="宋体" w:cs="宋体"/>
              </w:rPr>
            </w:pPr>
            <w:r>
              <w:rPr>
                <w:rFonts w:hint="eastAsia" w:ascii="宋体" w:hAnsi="宋体" w:cs="宋体"/>
              </w:rPr>
              <w:t>使用寿命不确定的无形资产；不需要进行摊销，但是需要进行减值测试</w:t>
            </w:r>
          </w:p>
        </w:tc>
      </w:tr>
      <w:tr w14:paraId="213E1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vMerge w:val="continue"/>
          </w:tcPr>
          <w:p w14:paraId="448B247C">
            <w:pPr>
              <w:jc w:val="left"/>
              <w:rPr>
                <w:rFonts w:ascii="宋体" w:hAnsi="宋体" w:cs="宋体"/>
              </w:rPr>
            </w:pPr>
          </w:p>
        </w:tc>
        <w:tc>
          <w:tcPr>
            <w:tcW w:w="715" w:type="pct"/>
            <w:vMerge w:val="continue"/>
          </w:tcPr>
          <w:p w14:paraId="34A6F693">
            <w:pPr>
              <w:jc w:val="left"/>
              <w:rPr>
                <w:rFonts w:ascii="宋体" w:hAnsi="宋体" w:cs="宋体"/>
              </w:rPr>
            </w:pPr>
          </w:p>
        </w:tc>
        <w:tc>
          <w:tcPr>
            <w:tcW w:w="1287" w:type="pct"/>
            <w:vMerge w:val="restart"/>
          </w:tcPr>
          <w:p w14:paraId="399C997F">
            <w:pPr>
              <w:jc w:val="left"/>
              <w:rPr>
                <w:rFonts w:ascii="宋体" w:hAnsi="宋体" w:cs="宋体"/>
              </w:rPr>
            </w:pPr>
            <w:r>
              <w:rPr>
                <w:rFonts w:hint="eastAsia" w:ascii="宋体" w:hAnsi="宋体" w:cs="宋体"/>
              </w:rPr>
              <w:t xml:space="preserve">【链接】投资性房地产 </w:t>
            </w:r>
          </w:p>
        </w:tc>
        <w:tc>
          <w:tcPr>
            <w:tcW w:w="2571" w:type="pct"/>
          </w:tcPr>
          <w:p w14:paraId="2D25D50E">
            <w:pPr>
              <w:jc w:val="left"/>
              <w:rPr>
                <w:rFonts w:ascii="宋体" w:hAnsi="宋体" w:cs="宋体"/>
              </w:rPr>
            </w:pPr>
            <w:r>
              <w:rPr>
                <w:rFonts w:hint="eastAsia" w:ascii="宋体" w:hAnsi="宋体" w:cs="宋体"/>
              </w:rPr>
              <w:t xml:space="preserve">成本模式：有折旧、有摊销、有减值                    </w:t>
            </w:r>
          </w:p>
        </w:tc>
      </w:tr>
      <w:tr w14:paraId="4C815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vMerge w:val="continue"/>
          </w:tcPr>
          <w:p w14:paraId="2CE7E258">
            <w:pPr>
              <w:jc w:val="left"/>
              <w:rPr>
                <w:rFonts w:ascii="宋体" w:hAnsi="宋体" w:cs="宋体"/>
              </w:rPr>
            </w:pPr>
          </w:p>
        </w:tc>
        <w:tc>
          <w:tcPr>
            <w:tcW w:w="715" w:type="pct"/>
            <w:vMerge w:val="continue"/>
          </w:tcPr>
          <w:p w14:paraId="4362A810">
            <w:pPr>
              <w:jc w:val="left"/>
              <w:rPr>
                <w:rFonts w:ascii="宋体" w:hAnsi="宋体" w:cs="宋体"/>
              </w:rPr>
            </w:pPr>
          </w:p>
        </w:tc>
        <w:tc>
          <w:tcPr>
            <w:tcW w:w="1287" w:type="pct"/>
            <w:vMerge w:val="continue"/>
          </w:tcPr>
          <w:p w14:paraId="43445D53">
            <w:pPr>
              <w:jc w:val="left"/>
              <w:rPr>
                <w:rFonts w:ascii="宋体" w:hAnsi="宋体" w:cs="宋体"/>
              </w:rPr>
            </w:pPr>
          </w:p>
        </w:tc>
        <w:tc>
          <w:tcPr>
            <w:tcW w:w="2571" w:type="pct"/>
          </w:tcPr>
          <w:p w14:paraId="4F103A90">
            <w:pPr>
              <w:jc w:val="left"/>
              <w:rPr>
                <w:rFonts w:ascii="宋体" w:hAnsi="宋体" w:cs="宋体"/>
              </w:rPr>
            </w:pPr>
            <w:r>
              <w:rPr>
                <w:rFonts w:hint="eastAsia" w:ascii="宋体" w:hAnsi="宋体" w:cs="宋体"/>
              </w:rPr>
              <w:t>公允模式：无折旧、无摊销、无减值；有涨跌</w:t>
            </w:r>
          </w:p>
        </w:tc>
      </w:tr>
      <w:tr w14:paraId="576A8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vMerge w:val="continue"/>
          </w:tcPr>
          <w:p w14:paraId="151855A0">
            <w:pPr>
              <w:jc w:val="left"/>
              <w:rPr>
                <w:rFonts w:ascii="宋体" w:hAnsi="宋体" w:cs="宋体"/>
              </w:rPr>
            </w:pPr>
          </w:p>
        </w:tc>
        <w:tc>
          <w:tcPr>
            <w:tcW w:w="715" w:type="pct"/>
          </w:tcPr>
          <w:p w14:paraId="54A81D68">
            <w:pPr>
              <w:jc w:val="center"/>
              <w:rPr>
                <w:rFonts w:ascii="宋体" w:hAnsi="宋体" w:cs="宋体"/>
              </w:rPr>
            </w:pPr>
            <w:r>
              <w:rPr>
                <w:rFonts w:hint="eastAsia" w:ascii="宋体" w:hAnsi="宋体" w:cs="宋体"/>
              </w:rPr>
              <w:t>摊销方法</w:t>
            </w:r>
          </w:p>
        </w:tc>
        <w:tc>
          <w:tcPr>
            <w:tcW w:w="3858" w:type="pct"/>
            <w:gridSpan w:val="2"/>
          </w:tcPr>
          <w:p w14:paraId="5592ED63">
            <w:pPr>
              <w:jc w:val="left"/>
              <w:rPr>
                <w:rFonts w:ascii="宋体" w:hAnsi="宋体" w:cs="宋体"/>
              </w:rPr>
            </w:pPr>
            <w:r>
              <w:rPr>
                <w:rFonts w:hint="eastAsia" w:ascii="宋体" w:hAnsi="宋体" w:cs="宋体"/>
              </w:rPr>
              <w:t>直线法、产量法等</w:t>
            </w:r>
          </w:p>
        </w:tc>
      </w:tr>
      <w:tr w14:paraId="40984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vMerge w:val="continue"/>
          </w:tcPr>
          <w:p w14:paraId="2C362EEA">
            <w:pPr>
              <w:jc w:val="left"/>
              <w:rPr>
                <w:rFonts w:ascii="宋体" w:hAnsi="宋体" w:cs="宋体"/>
              </w:rPr>
            </w:pPr>
          </w:p>
        </w:tc>
        <w:tc>
          <w:tcPr>
            <w:tcW w:w="715" w:type="pct"/>
          </w:tcPr>
          <w:p w14:paraId="1AB46AB6">
            <w:pPr>
              <w:jc w:val="center"/>
              <w:rPr>
                <w:rFonts w:ascii="宋体" w:hAnsi="宋体" w:cs="宋体"/>
              </w:rPr>
            </w:pPr>
            <w:r>
              <w:rPr>
                <w:rFonts w:hint="eastAsia" w:ascii="宋体" w:hAnsi="宋体" w:cs="宋体"/>
              </w:rPr>
              <w:t>摊销时间</w:t>
            </w:r>
          </w:p>
        </w:tc>
        <w:tc>
          <w:tcPr>
            <w:tcW w:w="3858" w:type="pct"/>
            <w:gridSpan w:val="2"/>
          </w:tcPr>
          <w:p w14:paraId="072B8EB0">
            <w:pPr>
              <w:jc w:val="left"/>
              <w:rPr>
                <w:rFonts w:ascii="宋体" w:hAnsi="宋体" w:cs="宋体"/>
              </w:rPr>
            </w:pPr>
            <w:r>
              <w:rPr>
                <w:rFonts w:hint="eastAsia" w:ascii="宋体" w:hAnsi="宋体" w:cs="宋体"/>
              </w:rPr>
              <w:t xml:space="preserve">当月增加，当月开摊；当月减少，当月不摊  </w:t>
            </w:r>
          </w:p>
          <w:p w14:paraId="056A0150">
            <w:pPr>
              <w:jc w:val="left"/>
              <w:rPr>
                <w:rFonts w:ascii="宋体" w:hAnsi="宋体" w:cs="宋体"/>
              </w:rPr>
            </w:pPr>
            <w:r>
              <w:rPr>
                <w:rFonts w:hint="eastAsia" w:ascii="宋体" w:hAnsi="宋体" w:cs="宋体"/>
              </w:rPr>
              <w:t>【链接】固定资产折旧：当月增加，当月不提，下月开提；当月减少，当月照提，下月停提</w:t>
            </w:r>
          </w:p>
        </w:tc>
      </w:tr>
      <w:tr w14:paraId="55186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vMerge w:val="continue"/>
          </w:tcPr>
          <w:p w14:paraId="42BF006A">
            <w:pPr>
              <w:jc w:val="center"/>
              <w:rPr>
                <w:rFonts w:ascii="宋体" w:hAnsi="宋体" w:cs="宋体"/>
              </w:rPr>
            </w:pPr>
          </w:p>
        </w:tc>
        <w:tc>
          <w:tcPr>
            <w:tcW w:w="715" w:type="pct"/>
          </w:tcPr>
          <w:p w14:paraId="42FEF504">
            <w:pPr>
              <w:jc w:val="center"/>
              <w:rPr>
                <w:rFonts w:ascii="宋体" w:hAnsi="宋体" w:cs="宋体"/>
              </w:rPr>
            </w:pPr>
            <w:r>
              <w:rPr>
                <w:rFonts w:hint="eastAsia" w:ascii="宋体" w:hAnsi="宋体" w:cs="宋体"/>
              </w:rPr>
              <w:t>残值</w:t>
            </w:r>
          </w:p>
        </w:tc>
        <w:tc>
          <w:tcPr>
            <w:tcW w:w="3858" w:type="pct"/>
            <w:gridSpan w:val="2"/>
          </w:tcPr>
          <w:p w14:paraId="69341450">
            <w:pPr>
              <w:jc w:val="left"/>
              <w:rPr>
                <w:rFonts w:ascii="宋体" w:hAnsi="宋体" w:cs="宋体"/>
              </w:rPr>
            </w:pPr>
            <w:r>
              <w:rPr>
                <w:rFonts w:hint="eastAsia" w:ascii="宋体" w:hAnsi="宋体" w:cs="宋体"/>
              </w:rPr>
              <w:t>无形资产的残值一般为零；</w:t>
            </w:r>
          </w:p>
          <w:p w14:paraId="51551863">
            <w:pPr>
              <w:jc w:val="left"/>
              <w:rPr>
                <w:rFonts w:ascii="宋体" w:hAnsi="宋体" w:cs="宋体"/>
              </w:rPr>
            </w:pPr>
            <w:r>
              <w:rPr>
                <w:rFonts w:hint="eastAsia" w:ascii="宋体" w:hAnsi="宋体" w:cs="宋体"/>
              </w:rPr>
              <w:t>除非有第三方承诺在无形资产使用寿命结束时愿意以一定的价格购买该项无形资产，或者存在活跃的市场，通过市场可以得到无形资产使用寿命结束时的残值信息（使用寿命结束时，该市场还可能存在的情况下），可以预计无形资产的残值。</w:t>
            </w:r>
          </w:p>
        </w:tc>
      </w:tr>
      <w:tr w14:paraId="38405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vMerge w:val="continue"/>
          </w:tcPr>
          <w:p w14:paraId="37D42038">
            <w:pPr>
              <w:jc w:val="left"/>
              <w:rPr>
                <w:rFonts w:ascii="宋体" w:hAnsi="宋体" w:cs="宋体"/>
              </w:rPr>
            </w:pPr>
          </w:p>
        </w:tc>
        <w:tc>
          <w:tcPr>
            <w:tcW w:w="715" w:type="pct"/>
          </w:tcPr>
          <w:p w14:paraId="1176FB23">
            <w:pPr>
              <w:jc w:val="center"/>
              <w:rPr>
                <w:rFonts w:ascii="宋体" w:hAnsi="宋体" w:cs="宋体"/>
              </w:rPr>
            </w:pPr>
            <w:r>
              <w:rPr>
                <w:rFonts w:hint="eastAsia" w:ascii="宋体" w:hAnsi="宋体" w:cs="宋体"/>
              </w:rPr>
              <w:t>会计处理</w:t>
            </w:r>
          </w:p>
        </w:tc>
        <w:tc>
          <w:tcPr>
            <w:tcW w:w="3858" w:type="pct"/>
            <w:gridSpan w:val="2"/>
          </w:tcPr>
          <w:p w14:paraId="089ED23A">
            <w:pPr>
              <w:jc w:val="left"/>
              <w:rPr>
                <w:rFonts w:ascii="宋体" w:hAnsi="宋体" w:cs="宋体"/>
              </w:rPr>
            </w:pPr>
            <w:r>
              <w:rPr>
                <w:rFonts w:hint="eastAsia" w:ascii="宋体" w:hAnsi="宋体" w:cs="宋体"/>
              </w:rPr>
              <w:t xml:space="preserve">借：制造费用（用于特定产品生产的列入该产品的成本） </w:t>
            </w:r>
          </w:p>
          <w:p w14:paraId="6BB7F944">
            <w:pPr>
              <w:jc w:val="left"/>
              <w:rPr>
                <w:rFonts w:ascii="宋体" w:hAnsi="宋体" w:cs="宋体"/>
              </w:rPr>
            </w:pPr>
            <w:r>
              <w:rPr>
                <w:rFonts w:hint="eastAsia" w:ascii="宋体" w:hAnsi="宋体" w:cs="宋体"/>
              </w:rPr>
              <w:t xml:space="preserve">　　管理费用（一般情况） </w:t>
            </w:r>
          </w:p>
          <w:p w14:paraId="75EAE5C4">
            <w:pPr>
              <w:jc w:val="left"/>
              <w:rPr>
                <w:rFonts w:ascii="宋体" w:hAnsi="宋体" w:cs="宋体"/>
              </w:rPr>
            </w:pPr>
            <w:r>
              <w:rPr>
                <w:rFonts w:hint="eastAsia" w:ascii="宋体" w:hAnsi="宋体" w:cs="宋体"/>
              </w:rPr>
              <w:t xml:space="preserve">　　其他业务成本（出租） </w:t>
            </w:r>
          </w:p>
          <w:p w14:paraId="1F2F439A">
            <w:pPr>
              <w:jc w:val="left"/>
              <w:rPr>
                <w:rFonts w:ascii="宋体" w:hAnsi="宋体" w:cs="宋体"/>
              </w:rPr>
            </w:pPr>
            <w:r>
              <w:rPr>
                <w:rFonts w:hint="eastAsia" w:ascii="宋体" w:hAnsi="宋体" w:cs="宋体"/>
              </w:rPr>
              <w:t>　　贷：累计摊销</w:t>
            </w:r>
          </w:p>
        </w:tc>
      </w:tr>
      <w:tr w14:paraId="0C65A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2" w:type="pct"/>
            <w:gridSpan w:val="2"/>
          </w:tcPr>
          <w:p w14:paraId="649CBF1B">
            <w:pPr>
              <w:jc w:val="left"/>
              <w:rPr>
                <w:rFonts w:ascii="宋体" w:hAnsi="宋体" w:cs="宋体"/>
              </w:rPr>
            </w:pPr>
            <w:r>
              <w:rPr>
                <w:rFonts w:hint="eastAsia" w:ascii="宋体" w:hAnsi="宋体" w:cs="宋体"/>
              </w:rPr>
              <w:t>减值</w:t>
            </w:r>
          </w:p>
        </w:tc>
        <w:tc>
          <w:tcPr>
            <w:tcW w:w="3858" w:type="pct"/>
            <w:gridSpan w:val="2"/>
          </w:tcPr>
          <w:p w14:paraId="54FAD26F">
            <w:pPr>
              <w:jc w:val="left"/>
              <w:rPr>
                <w:rFonts w:ascii="宋体" w:hAnsi="宋体" w:cs="宋体"/>
              </w:rPr>
            </w:pPr>
            <w:r>
              <w:rPr>
                <w:rFonts w:hint="eastAsia" w:ascii="宋体" w:hAnsi="宋体" w:cs="宋体"/>
              </w:rPr>
              <w:t>借：资产减值损失</w:t>
            </w:r>
          </w:p>
          <w:p w14:paraId="35131D78">
            <w:pPr>
              <w:jc w:val="left"/>
              <w:rPr>
                <w:rFonts w:ascii="宋体" w:hAnsi="宋体" w:cs="宋体"/>
              </w:rPr>
            </w:pPr>
            <w:r>
              <w:rPr>
                <w:rFonts w:hint="eastAsia" w:ascii="宋体" w:hAnsi="宋体" w:cs="宋体"/>
              </w:rPr>
              <w:t>　　贷：无形资产减值准备</w:t>
            </w:r>
          </w:p>
          <w:p w14:paraId="7342B7B5">
            <w:pPr>
              <w:jc w:val="left"/>
              <w:rPr>
                <w:rFonts w:ascii="宋体" w:hAnsi="宋体" w:cs="宋体"/>
              </w:rPr>
            </w:pPr>
            <w:r>
              <w:rPr>
                <w:rFonts w:hint="eastAsia" w:ascii="宋体" w:hAnsi="宋体" w:cs="宋体"/>
              </w:rPr>
              <w:t>减值损失一经计提，不得转回。</w:t>
            </w:r>
          </w:p>
          <w:p w14:paraId="2C6D8424">
            <w:pPr>
              <w:jc w:val="left"/>
              <w:rPr>
                <w:rFonts w:ascii="宋体" w:hAnsi="宋体" w:cs="宋体"/>
              </w:rPr>
            </w:pPr>
            <w:r>
              <w:rPr>
                <w:rFonts w:hint="eastAsia" w:ascii="宋体" w:hAnsi="宋体" w:cs="宋体"/>
              </w:rPr>
              <w:t>【链接】可收回金额，公允价值－处置费用与未来现金流量现值两者孰高</w:t>
            </w:r>
          </w:p>
        </w:tc>
      </w:tr>
    </w:tbl>
    <w:p w14:paraId="1D8771C2">
      <w:pPr>
        <w:jc w:val="left"/>
        <w:rPr>
          <w:rFonts w:ascii="宋体" w:hAnsi="宋体" w:cs="宋体"/>
        </w:rPr>
      </w:pPr>
    </w:p>
    <w:tbl>
      <w:tblPr>
        <w:tblStyle w:val="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1"/>
        <w:gridCol w:w="5508"/>
        <w:gridCol w:w="3037"/>
      </w:tblGrid>
      <w:tr w14:paraId="24108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pct"/>
            <w:vMerge w:val="restart"/>
          </w:tcPr>
          <w:p w14:paraId="532D3500">
            <w:pPr>
              <w:jc w:val="left"/>
              <w:rPr>
                <w:rFonts w:ascii="宋体" w:hAnsi="宋体" w:cs="宋体"/>
              </w:rPr>
            </w:pPr>
            <w:r>
              <w:rPr>
                <w:rFonts w:hint="eastAsia" w:ascii="宋体" w:hAnsi="宋体" w:cs="宋体"/>
              </w:rPr>
              <w:t>出售和报废</w:t>
            </w:r>
          </w:p>
        </w:tc>
        <w:tc>
          <w:tcPr>
            <w:tcW w:w="2717" w:type="pct"/>
          </w:tcPr>
          <w:p w14:paraId="1C608DA7">
            <w:pPr>
              <w:jc w:val="center"/>
              <w:rPr>
                <w:rFonts w:ascii="宋体" w:hAnsi="宋体" w:cs="宋体"/>
              </w:rPr>
            </w:pPr>
            <w:r>
              <w:rPr>
                <w:rFonts w:hint="eastAsia" w:ascii="宋体" w:hAnsi="宋体" w:cs="宋体"/>
              </w:rPr>
              <w:t xml:space="preserve">出售（转让所有权） </w:t>
            </w:r>
          </w:p>
        </w:tc>
        <w:tc>
          <w:tcPr>
            <w:tcW w:w="1498" w:type="pct"/>
          </w:tcPr>
          <w:p w14:paraId="32EE391E">
            <w:pPr>
              <w:jc w:val="center"/>
              <w:rPr>
                <w:rFonts w:ascii="宋体" w:hAnsi="宋体" w:cs="宋体"/>
              </w:rPr>
            </w:pPr>
            <w:r>
              <w:rPr>
                <w:rFonts w:hint="eastAsia" w:ascii="宋体" w:hAnsi="宋体" w:cs="宋体"/>
              </w:rPr>
              <w:t>报废</w:t>
            </w:r>
          </w:p>
        </w:tc>
      </w:tr>
      <w:tr w14:paraId="73557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pct"/>
            <w:vMerge w:val="continue"/>
          </w:tcPr>
          <w:p w14:paraId="37012EA1">
            <w:pPr>
              <w:jc w:val="left"/>
              <w:rPr>
                <w:rFonts w:ascii="宋体" w:hAnsi="宋体" w:cs="宋体"/>
              </w:rPr>
            </w:pPr>
          </w:p>
        </w:tc>
        <w:tc>
          <w:tcPr>
            <w:tcW w:w="2717" w:type="pct"/>
          </w:tcPr>
          <w:p w14:paraId="37A5DA86">
            <w:pPr>
              <w:jc w:val="left"/>
              <w:rPr>
                <w:rFonts w:ascii="宋体" w:hAnsi="宋体" w:cs="宋体"/>
              </w:rPr>
            </w:pPr>
            <w:r>
              <w:rPr>
                <w:rFonts w:hint="eastAsia" w:ascii="宋体" w:hAnsi="宋体" w:cs="宋体"/>
              </w:rPr>
              <w:t>借：（4）银行存款</w:t>
            </w:r>
          </w:p>
          <w:p w14:paraId="5CE0A05D">
            <w:pPr>
              <w:jc w:val="left"/>
              <w:rPr>
                <w:rFonts w:ascii="宋体" w:hAnsi="宋体" w:cs="宋体"/>
              </w:rPr>
            </w:pPr>
            <w:r>
              <w:rPr>
                <w:rFonts w:hint="eastAsia" w:ascii="宋体" w:hAnsi="宋体" w:cs="宋体"/>
              </w:rPr>
              <w:t>　　（3）无形资产减值准备</w:t>
            </w:r>
          </w:p>
          <w:p w14:paraId="1A8853C7">
            <w:pPr>
              <w:jc w:val="left"/>
              <w:rPr>
                <w:rFonts w:ascii="宋体" w:hAnsi="宋体" w:cs="宋体"/>
              </w:rPr>
            </w:pPr>
            <w:r>
              <w:rPr>
                <w:rFonts w:hint="eastAsia" w:ascii="宋体" w:hAnsi="宋体" w:cs="宋体"/>
              </w:rPr>
              <w:t>　　（2）累计摊销</w:t>
            </w:r>
          </w:p>
          <w:p w14:paraId="7F3BEA57">
            <w:pPr>
              <w:jc w:val="left"/>
              <w:rPr>
                <w:rFonts w:ascii="宋体" w:hAnsi="宋体" w:cs="宋体"/>
              </w:rPr>
            </w:pPr>
            <w:r>
              <w:rPr>
                <w:rFonts w:hint="eastAsia" w:ascii="宋体" w:hAnsi="宋体" w:cs="宋体"/>
              </w:rPr>
              <w:t xml:space="preserve">　　（6）资产处置损益（借方差额） </w:t>
            </w:r>
          </w:p>
          <w:p w14:paraId="330C3F61">
            <w:pPr>
              <w:jc w:val="left"/>
              <w:rPr>
                <w:rFonts w:ascii="宋体" w:hAnsi="宋体" w:cs="宋体"/>
              </w:rPr>
            </w:pPr>
            <w:r>
              <w:rPr>
                <w:rFonts w:hint="eastAsia" w:ascii="宋体" w:hAnsi="宋体" w:cs="宋体"/>
              </w:rPr>
              <w:t>　　贷：（1）无形资产</w:t>
            </w:r>
          </w:p>
          <w:p w14:paraId="385D4E0B">
            <w:pPr>
              <w:jc w:val="left"/>
              <w:rPr>
                <w:rFonts w:ascii="宋体" w:hAnsi="宋体" w:cs="宋体"/>
              </w:rPr>
            </w:pPr>
            <w:r>
              <w:rPr>
                <w:rFonts w:hint="eastAsia" w:ascii="宋体" w:hAnsi="宋体" w:cs="宋体"/>
              </w:rPr>
              <w:t xml:space="preserve">　　　　（5）应交税费——应交增值税（销项税额） </w:t>
            </w:r>
          </w:p>
          <w:p w14:paraId="7C591732">
            <w:pPr>
              <w:jc w:val="left"/>
              <w:rPr>
                <w:rFonts w:ascii="宋体" w:hAnsi="宋体" w:cs="宋体"/>
              </w:rPr>
            </w:pPr>
            <w:r>
              <w:rPr>
                <w:rFonts w:hint="eastAsia" w:ascii="宋体" w:hAnsi="宋体" w:cs="宋体"/>
              </w:rPr>
              <w:t xml:space="preserve">　　　　（6）资产处置损益（贷方差额） </w:t>
            </w:r>
          </w:p>
        </w:tc>
        <w:tc>
          <w:tcPr>
            <w:tcW w:w="1498" w:type="pct"/>
          </w:tcPr>
          <w:p w14:paraId="6295562C">
            <w:pPr>
              <w:jc w:val="left"/>
              <w:rPr>
                <w:rFonts w:ascii="宋体" w:hAnsi="宋体" w:cs="宋体"/>
              </w:rPr>
            </w:pPr>
            <w:r>
              <w:rPr>
                <w:rFonts w:hint="eastAsia" w:ascii="宋体" w:hAnsi="宋体" w:cs="宋体"/>
              </w:rPr>
              <w:t>借：营业外支出</w:t>
            </w:r>
          </w:p>
          <w:p w14:paraId="22D1532B">
            <w:pPr>
              <w:jc w:val="left"/>
              <w:rPr>
                <w:rFonts w:ascii="宋体" w:hAnsi="宋体" w:cs="宋体"/>
              </w:rPr>
            </w:pPr>
            <w:r>
              <w:rPr>
                <w:rFonts w:hint="eastAsia" w:ascii="宋体" w:hAnsi="宋体" w:cs="宋体"/>
              </w:rPr>
              <w:t>　　累计摊销</w:t>
            </w:r>
          </w:p>
          <w:p w14:paraId="71D98E1F">
            <w:pPr>
              <w:jc w:val="left"/>
              <w:rPr>
                <w:rFonts w:ascii="宋体" w:hAnsi="宋体" w:cs="宋体"/>
              </w:rPr>
            </w:pPr>
            <w:r>
              <w:rPr>
                <w:rFonts w:hint="eastAsia" w:ascii="宋体" w:hAnsi="宋体" w:cs="宋体"/>
              </w:rPr>
              <w:t>　　无形资产减值准备</w:t>
            </w:r>
          </w:p>
          <w:p w14:paraId="58A9C8A4">
            <w:pPr>
              <w:jc w:val="left"/>
              <w:rPr>
                <w:rFonts w:ascii="宋体" w:hAnsi="宋体" w:cs="宋体"/>
              </w:rPr>
            </w:pPr>
            <w:r>
              <w:rPr>
                <w:rFonts w:hint="eastAsia" w:ascii="宋体" w:hAnsi="宋体" w:cs="宋体"/>
              </w:rPr>
              <w:t>　　贷：无形资产</w:t>
            </w:r>
          </w:p>
        </w:tc>
      </w:tr>
    </w:tbl>
    <w:p w14:paraId="2ED2C23E">
      <w:pPr>
        <w:jc w:val="left"/>
        <w:rPr>
          <w:rFonts w:hint="eastAsia"/>
        </w:rPr>
      </w:pPr>
    </w:p>
    <w:p w14:paraId="6EB1AE20">
      <w:pPr>
        <w:overflowPunct w:val="0"/>
        <w:jc w:val="center"/>
        <w:rPr>
          <w:rFonts w:ascii="宋体" w:hAnsi="宋体" w:cs="宋体"/>
          <w:b/>
          <w:bCs/>
        </w:rPr>
      </w:pPr>
      <w:r>
        <w:rPr>
          <w:rFonts w:hint="eastAsia" w:ascii="宋体" w:hAnsi="宋体" w:cs="宋体"/>
          <w:b/>
          <w:bCs/>
        </w:rPr>
        <w:t>第五章  投资性房地产</w:t>
      </w:r>
    </w:p>
    <w:p w14:paraId="6A4C6C09">
      <w:pPr>
        <w:jc w:val="left"/>
        <w:rPr>
          <w:rFonts w:ascii="宋体" w:hAnsi="宋体" w:cs="宋体"/>
        </w:rPr>
      </w:pPr>
      <w:r>
        <w:rPr>
          <w:rFonts w:hint="eastAsia" w:ascii="宋体" w:hAnsi="宋体" w:cs="宋体"/>
        </w:rPr>
        <w:t>预计今年考核客观题和主观题，分值在2-6分。</w:t>
      </w:r>
    </w:p>
    <w:p w14:paraId="07AF18FE">
      <w:pPr>
        <w:jc w:val="left"/>
        <w:rPr>
          <w:rFonts w:ascii="宋体" w:hAnsi="宋体" w:cs="宋体"/>
        </w:rPr>
      </w:pPr>
      <w:r>
        <w:rPr>
          <w:rFonts w:hint="eastAsia" w:ascii="宋体" w:hAnsi="宋体" w:cs="宋体"/>
        </w:rPr>
        <w:t>【考点总结】投资性房地产概述</w:t>
      </w:r>
    </w:p>
    <w:tbl>
      <w:tblPr>
        <w:tblStyle w:val="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5"/>
        <w:gridCol w:w="4348"/>
        <w:gridCol w:w="1806"/>
        <w:gridCol w:w="2537"/>
      </w:tblGrid>
      <w:tr w14:paraId="44592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3" w:type="pct"/>
            <w:vMerge w:val="restart"/>
          </w:tcPr>
          <w:p w14:paraId="7EC5BC06">
            <w:pPr>
              <w:jc w:val="center"/>
              <w:rPr>
                <w:rFonts w:ascii="宋体" w:hAnsi="宋体" w:cs="宋体"/>
              </w:rPr>
            </w:pPr>
            <w:r>
              <w:rPr>
                <w:rFonts w:hint="eastAsia" w:ascii="宋体" w:hAnsi="宋体" w:cs="宋体"/>
              </w:rPr>
              <w:t xml:space="preserve">范围 </w:t>
            </w:r>
          </w:p>
        </w:tc>
        <w:tc>
          <w:tcPr>
            <w:tcW w:w="2145" w:type="pct"/>
          </w:tcPr>
          <w:p w14:paraId="40F98518">
            <w:pPr>
              <w:jc w:val="center"/>
              <w:rPr>
                <w:rFonts w:ascii="宋体" w:hAnsi="宋体" w:cs="宋体"/>
              </w:rPr>
            </w:pPr>
            <w:r>
              <w:rPr>
                <w:rFonts w:hint="eastAsia" w:ascii="宋体" w:hAnsi="宋体" w:cs="宋体"/>
              </w:rPr>
              <w:t xml:space="preserve">属于 </w:t>
            </w:r>
          </w:p>
        </w:tc>
        <w:tc>
          <w:tcPr>
            <w:tcW w:w="2142" w:type="pct"/>
            <w:gridSpan w:val="2"/>
          </w:tcPr>
          <w:p w14:paraId="7F8114F6">
            <w:pPr>
              <w:jc w:val="center"/>
              <w:rPr>
                <w:rFonts w:ascii="宋体" w:hAnsi="宋体" w:cs="宋体"/>
              </w:rPr>
            </w:pPr>
            <w:r>
              <w:rPr>
                <w:rFonts w:hint="eastAsia" w:ascii="宋体" w:hAnsi="宋体" w:cs="宋体"/>
              </w:rPr>
              <w:t xml:space="preserve">不属于 </w:t>
            </w:r>
          </w:p>
        </w:tc>
      </w:tr>
      <w:tr w14:paraId="26B10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pct"/>
            <w:vMerge w:val="continue"/>
          </w:tcPr>
          <w:p w14:paraId="2F715B69">
            <w:pPr>
              <w:jc w:val="left"/>
              <w:rPr>
                <w:rFonts w:ascii="宋体" w:hAnsi="宋体" w:cs="宋体"/>
              </w:rPr>
            </w:pPr>
          </w:p>
        </w:tc>
        <w:tc>
          <w:tcPr>
            <w:tcW w:w="2145" w:type="pct"/>
            <w:vMerge w:val="restart"/>
          </w:tcPr>
          <w:p w14:paraId="1540C0D2">
            <w:pPr>
              <w:jc w:val="left"/>
              <w:rPr>
                <w:rFonts w:ascii="宋体" w:hAnsi="宋体" w:cs="宋体"/>
              </w:rPr>
            </w:pPr>
            <w:r>
              <w:rPr>
                <w:rFonts w:hint="eastAsia" w:ascii="宋体" w:hAnsi="宋体" w:cs="宋体"/>
              </w:rPr>
              <w:t xml:space="preserve">1.已出租的土地 </w:t>
            </w:r>
          </w:p>
          <w:p w14:paraId="332D5E2A">
            <w:pPr>
              <w:jc w:val="left"/>
              <w:rPr>
                <w:rFonts w:ascii="宋体" w:hAnsi="宋体" w:cs="宋体"/>
              </w:rPr>
            </w:pPr>
            <w:r>
              <w:rPr>
                <w:rFonts w:hint="eastAsia" w:ascii="宋体" w:hAnsi="宋体" w:cs="宋体"/>
              </w:rPr>
              <w:t xml:space="preserve">使用权 </w:t>
            </w:r>
          </w:p>
        </w:tc>
        <w:tc>
          <w:tcPr>
            <w:tcW w:w="2142" w:type="pct"/>
            <w:gridSpan w:val="2"/>
          </w:tcPr>
          <w:p w14:paraId="399A228C">
            <w:pPr>
              <w:jc w:val="left"/>
              <w:rPr>
                <w:rFonts w:ascii="宋体" w:hAnsi="宋体" w:cs="宋体"/>
              </w:rPr>
            </w:pPr>
            <w:r>
              <w:rPr>
                <w:rFonts w:hint="eastAsia" w:ascii="宋体" w:hAnsi="宋体" w:cs="宋体"/>
              </w:rPr>
              <w:t xml:space="preserve">1.持有并准备增值后转让的建筑物不是投资性房地产 </w:t>
            </w:r>
          </w:p>
        </w:tc>
      </w:tr>
      <w:tr w14:paraId="60AC6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pct"/>
            <w:vMerge w:val="continue"/>
          </w:tcPr>
          <w:p w14:paraId="08784F7B">
            <w:pPr>
              <w:jc w:val="left"/>
              <w:rPr>
                <w:rFonts w:ascii="宋体" w:hAnsi="宋体" w:cs="宋体"/>
              </w:rPr>
            </w:pPr>
          </w:p>
        </w:tc>
        <w:tc>
          <w:tcPr>
            <w:tcW w:w="2145" w:type="pct"/>
            <w:vMerge w:val="continue"/>
          </w:tcPr>
          <w:p w14:paraId="498D867A">
            <w:pPr>
              <w:jc w:val="left"/>
              <w:rPr>
                <w:rFonts w:ascii="宋体" w:hAnsi="宋体" w:cs="宋体"/>
              </w:rPr>
            </w:pPr>
          </w:p>
        </w:tc>
        <w:tc>
          <w:tcPr>
            <w:tcW w:w="2142" w:type="pct"/>
            <w:gridSpan w:val="2"/>
          </w:tcPr>
          <w:p w14:paraId="4200D935">
            <w:pPr>
              <w:jc w:val="left"/>
              <w:rPr>
                <w:rFonts w:ascii="宋体" w:hAnsi="宋体" w:cs="宋体"/>
              </w:rPr>
            </w:pPr>
            <w:r>
              <w:rPr>
                <w:rFonts w:hint="eastAsia" w:ascii="宋体" w:hAnsi="宋体" w:cs="宋体"/>
              </w:rPr>
              <w:t xml:space="preserve">2.企业计划出租但尚未出租的土地使用权 </w:t>
            </w:r>
          </w:p>
        </w:tc>
      </w:tr>
      <w:tr w14:paraId="11718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pct"/>
            <w:vMerge w:val="continue"/>
          </w:tcPr>
          <w:p w14:paraId="00BE65E5">
            <w:pPr>
              <w:jc w:val="left"/>
              <w:rPr>
                <w:rFonts w:ascii="宋体" w:hAnsi="宋体" w:cs="宋体"/>
              </w:rPr>
            </w:pPr>
          </w:p>
        </w:tc>
        <w:tc>
          <w:tcPr>
            <w:tcW w:w="2145" w:type="pct"/>
          </w:tcPr>
          <w:p w14:paraId="3F85C7C2">
            <w:pPr>
              <w:jc w:val="left"/>
              <w:rPr>
                <w:rFonts w:ascii="宋体" w:hAnsi="宋体" w:cs="宋体"/>
              </w:rPr>
            </w:pPr>
            <w:r>
              <w:rPr>
                <w:rFonts w:hint="eastAsia" w:ascii="宋体" w:hAnsi="宋体" w:cs="宋体"/>
              </w:rPr>
              <w:t xml:space="preserve">2.持有并准备增值后转让的土地使用权 </w:t>
            </w:r>
          </w:p>
        </w:tc>
        <w:tc>
          <w:tcPr>
            <w:tcW w:w="2142" w:type="pct"/>
            <w:gridSpan w:val="2"/>
          </w:tcPr>
          <w:p w14:paraId="2DBE4308">
            <w:pPr>
              <w:jc w:val="left"/>
              <w:rPr>
                <w:rFonts w:ascii="宋体" w:hAnsi="宋体" w:cs="宋体"/>
              </w:rPr>
            </w:pPr>
            <w:r>
              <w:rPr>
                <w:rFonts w:hint="eastAsia" w:ascii="宋体" w:hAnsi="宋体" w:cs="宋体"/>
              </w:rPr>
              <w:t xml:space="preserve">3.国家认定的闲置土地 </w:t>
            </w:r>
          </w:p>
        </w:tc>
      </w:tr>
      <w:tr w14:paraId="3EDF1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pct"/>
            <w:vMerge w:val="continue"/>
          </w:tcPr>
          <w:p w14:paraId="1E49388B">
            <w:pPr>
              <w:jc w:val="left"/>
              <w:rPr>
                <w:rFonts w:ascii="宋体" w:hAnsi="宋体" w:cs="宋体"/>
              </w:rPr>
            </w:pPr>
          </w:p>
        </w:tc>
        <w:tc>
          <w:tcPr>
            <w:tcW w:w="2145" w:type="pct"/>
          </w:tcPr>
          <w:p w14:paraId="195FD125">
            <w:pPr>
              <w:jc w:val="left"/>
              <w:rPr>
                <w:rFonts w:ascii="宋体" w:hAnsi="宋体" w:cs="宋体"/>
              </w:rPr>
            </w:pPr>
            <w:r>
              <w:rPr>
                <w:rFonts w:hint="eastAsia" w:ascii="宋体" w:hAnsi="宋体" w:cs="宋体"/>
              </w:rPr>
              <w:t xml:space="preserve">3.已出租的建筑物 </w:t>
            </w:r>
          </w:p>
        </w:tc>
        <w:tc>
          <w:tcPr>
            <w:tcW w:w="2142" w:type="pct"/>
            <w:gridSpan w:val="2"/>
          </w:tcPr>
          <w:p w14:paraId="2F926CA2">
            <w:pPr>
              <w:jc w:val="left"/>
              <w:rPr>
                <w:rFonts w:ascii="宋体" w:hAnsi="宋体" w:cs="宋体"/>
              </w:rPr>
            </w:pPr>
            <w:r>
              <w:rPr>
                <w:rFonts w:hint="eastAsia" w:ascii="宋体" w:hAnsi="宋体" w:cs="宋体"/>
              </w:rPr>
              <w:t xml:space="preserve">4.对于租入土地使用权再转租给其他单位的 </w:t>
            </w:r>
          </w:p>
        </w:tc>
      </w:tr>
      <w:tr w14:paraId="60D2B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pct"/>
            <w:vMerge w:val="continue"/>
          </w:tcPr>
          <w:p w14:paraId="5440BEFB">
            <w:pPr>
              <w:jc w:val="left"/>
              <w:rPr>
                <w:rFonts w:ascii="宋体" w:hAnsi="宋体" w:cs="宋体"/>
              </w:rPr>
            </w:pPr>
          </w:p>
        </w:tc>
        <w:tc>
          <w:tcPr>
            <w:tcW w:w="2145" w:type="pct"/>
            <w:vMerge w:val="restart"/>
          </w:tcPr>
          <w:p w14:paraId="2FD32276">
            <w:pPr>
              <w:jc w:val="left"/>
              <w:rPr>
                <w:rFonts w:ascii="宋体" w:hAnsi="宋体" w:cs="宋体"/>
              </w:rPr>
            </w:pPr>
            <w:r>
              <w:rPr>
                <w:rFonts w:hint="eastAsia" w:ascii="宋体" w:hAnsi="宋体" w:cs="宋体"/>
              </w:rPr>
              <w:t>4.董事会或类似机构作出书面决议，明确表明将其用于经营出租且持有意图短期内不再发生变化的房地产（即使尚未签订租赁协议）</w:t>
            </w:r>
          </w:p>
        </w:tc>
        <w:tc>
          <w:tcPr>
            <w:tcW w:w="2142" w:type="pct"/>
            <w:gridSpan w:val="2"/>
          </w:tcPr>
          <w:p w14:paraId="60D479D0">
            <w:pPr>
              <w:jc w:val="left"/>
              <w:rPr>
                <w:rFonts w:ascii="宋体" w:hAnsi="宋体" w:cs="宋体"/>
              </w:rPr>
            </w:pPr>
            <w:r>
              <w:rPr>
                <w:rFonts w:hint="eastAsia" w:ascii="宋体" w:hAnsi="宋体" w:cs="宋体"/>
              </w:rPr>
              <w:t xml:space="preserve">5.自用房地产 </w:t>
            </w:r>
          </w:p>
        </w:tc>
      </w:tr>
      <w:tr w14:paraId="21B4F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pct"/>
            <w:vMerge w:val="continue"/>
          </w:tcPr>
          <w:p w14:paraId="6EAC4BD2">
            <w:pPr>
              <w:jc w:val="left"/>
              <w:rPr>
                <w:rFonts w:ascii="宋体" w:hAnsi="宋体" w:cs="宋体"/>
              </w:rPr>
            </w:pPr>
          </w:p>
        </w:tc>
        <w:tc>
          <w:tcPr>
            <w:tcW w:w="2145" w:type="pct"/>
            <w:vMerge w:val="continue"/>
          </w:tcPr>
          <w:p w14:paraId="054ED151">
            <w:pPr>
              <w:jc w:val="left"/>
              <w:rPr>
                <w:rFonts w:ascii="宋体" w:hAnsi="宋体" w:cs="宋体"/>
              </w:rPr>
            </w:pPr>
          </w:p>
        </w:tc>
        <w:tc>
          <w:tcPr>
            <w:tcW w:w="2142" w:type="pct"/>
            <w:gridSpan w:val="2"/>
          </w:tcPr>
          <w:p w14:paraId="65A61688">
            <w:pPr>
              <w:jc w:val="left"/>
              <w:rPr>
                <w:rFonts w:ascii="宋体" w:hAnsi="宋体" w:cs="宋体"/>
              </w:rPr>
            </w:pPr>
            <w:r>
              <w:rPr>
                <w:rFonts w:hint="eastAsia" w:ascii="宋体" w:hAnsi="宋体" w:cs="宋体"/>
              </w:rPr>
              <w:t xml:space="preserve">6.作为存货的房地产　 </w:t>
            </w:r>
          </w:p>
        </w:tc>
      </w:tr>
      <w:tr w14:paraId="64D4F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pct"/>
            <w:vMerge w:val="continue"/>
          </w:tcPr>
          <w:p w14:paraId="2E1868E1">
            <w:pPr>
              <w:jc w:val="left"/>
              <w:rPr>
                <w:rFonts w:ascii="宋体" w:hAnsi="宋体" w:cs="宋体"/>
              </w:rPr>
            </w:pPr>
          </w:p>
        </w:tc>
        <w:tc>
          <w:tcPr>
            <w:tcW w:w="2145" w:type="pct"/>
            <w:vMerge w:val="restart"/>
          </w:tcPr>
          <w:p w14:paraId="2668DBDA">
            <w:pPr>
              <w:jc w:val="left"/>
              <w:rPr>
                <w:rFonts w:ascii="宋体" w:hAnsi="宋体" w:cs="宋体"/>
              </w:rPr>
            </w:pPr>
            <w:r>
              <w:rPr>
                <w:rFonts w:hint="eastAsia" w:ascii="宋体" w:hAnsi="宋体" w:cs="宋体"/>
              </w:rPr>
              <w:t xml:space="preserve">某项房地产，部分用于赚取租金或资本增值、部分用于生产商品、提供劳务或经营管理 </w:t>
            </w:r>
          </w:p>
        </w:tc>
        <w:tc>
          <w:tcPr>
            <w:tcW w:w="891" w:type="pct"/>
          </w:tcPr>
          <w:p w14:paraId="39F5A339">
            <w:pPr>
              <w:jc w:val="left"/>
              <w:rPr>
                <w:rFonts w:ascii="宋体" w:hAnsi="宋体" w:cs="宋体"/>
              </w:rPr>
            </w:pPr>
            <w:r>
              <w:rPr>
                <w:rFonts w:hint="eastAsia" w:ascii="宋体" w:hAnsi="宋体" w:cs="宋体"/>
              </w:rPr>
              <w:t xml:space="preserve">能够单独计量 </w:t>
            </w:r>
          </w:p>
        </w:tc>
        <w:tc>
          <w:tcPr>
            <w:tcW w:w="1251" w:type="pct"/>
          </w:tcPr>
          <w:p w14:paraId="4139E476">
            <w:pPr>
              <w:jc w:val="left"/>
              <w:rPr>
                <w:rFonts w:ascii="宋体" w:hAnsi="宋体" w:cs="宋体"/>
              </w:rPr>
            </w:pPr>
            <w:r>
              <w:rPr>
                <w:rFonts w:hint="eastAsia" w:ascii="宋体" w:hAnsi="宋体" w:cs="宋体"/>
              </w:rPr>
              <w:t xml:space="preserve">确认为投资性房地产 </w:t>
            </w:r>
          </w:p>
        </w:tc>
      </w:tr>
      <w:tr w14:paraId="19241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pct"/>
            <w:vMerge w:val="continue"/>
          </w:tcPr>
          <w:p w14:paraId="38DDAA19">
            <w:pPr>
              <w:jc w:val="left"/>
              <w:rPr>
                <w:rFonts w:ascii="宋体" w:hAnsi="宋体" w:cs="宋体"/>
              </w:rPr>
            </w:pPr>
          </w:p>
        </w:tc>
        <w:tc>
          <w:tcPr>
            <w:tcW w:w="2145" w:type="pct"/>
            <w:vMerge w:val="continue"/>
          </w:tcPr>
          <w:p w14:paraId="6EB2A545">
            <w:pPr>
              <w:jc w:val="left"/>
              <w:rPr>
                <w:rFonts w:ascii="宋体" w:hAnsi="宋体" w:cs="宋体"/>
              </w:rPr>
            </w:pPr>
          </w:p>
        </w:tc>
        <w:tc>
          <w:tcPr>
            <w:tcW w:w="891" w:type="pct"/>
          </w:tcPr>
          <w:p w14:paraId="3BA88F54">
            <w:pPr>
              <w:jc w:val="left"/>
              <w:rPr>
                <w:rFonts w:ascii="宋体" w:hAnsi="宋体" w:cs="宋体"/>
              </w:rPr>
            </w:pPr>
            <w:r>
              <w:rPr>
                <w:rFonts w:hint="eastAsia" w:ascii="宋体" w:hAnsi="宋体" w:cs="宋体"/>
              </w:rPr>
              <w:t xml:space="preserve">不能够单独计量 </w:t>
            </w:r>
          </w:p>
        </w:tc>
        <w:tc>
          <w:tcPr>
            <w:tcW w:w="1251" w:type="pct"/>
          </w:tcPr>
          <w:p w14:paraId="47708D07">
            <w:pPr>
              <w:jc w:val="left"/>
              <w:rPr>
                <w:rFonts w:ascii="宋体" w:hAnsi="宋体" w:cs="宋体"/>
              </w:rPr>
            </w:pPr>
            <w:r>
              <w:rPr>
                <w:rFonts w:hint="eastAsia" w:ascii="宋体" w:hAnsi="宋体" w:cs="宋体"/>
              </w:rPr>
              <w:t xml:space="preserve">不确认为投资性房地产 </w:t>
            </w:r>
          </w:p>
        </w:tc>
      </w:tr>
    </w:tbl>
    <w:p w14:paraId="7AC480A4">
      <w:pPr>
        <w:jc w:val="left"/>
        <w:rPr>
          <w:rFonts w:ascii="宋体" w:hAnsi="宋体" w:cs="宋体"/>
        </w:rPr>
      </w:pPr>
      <w:r>
        <w:rPr>
          <w:rFonts w:hint="eastAsia" w:ascii="宋体" w:hAnsi="宋体" w:cs="宋体"/>
        </w:rPr>
        <w:t>【考点】投资性房地产的后续计量</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4"/>
        <w:gridCol w:w="2462"/>
        <w:gridCol w:w="2178"/>
        <w:gridCol w:w="357"/>
        <w:gridCol w:w="2537"/>
      </w:tblGrid>
      <w:tr w14:paraId="0F93F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tcPr>
          <w:p w14:paraId="75CF69FE">
            <w:pPr>
              <w:jc w:val="left"/>
              <w:rPr>
                <w:rFonts w:ascii="宋体" w:hAnsi="宋体" w:cs="宋体"/>
              </w:rPr>
            </w:pPr>
            <w:r>
              <w:rPr>
                <w:rFonts w:hint="eastAsia" w:ascii="宋体" w:hAnsi="宋体" w:cs="宋体"/>
              </w:rPr>
              <w:t xml:space="preserve">企业通常应当采用成本模式，也可以采用公允价值模式对投资性房地产进行后续计量 </w:t>
            </w:r>
          </w:p>
        </w:tc>
      </w:tr>
      <w:tr w14:paraId="1F66B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tcPr>
          <w:p w14:paraId="7EBBF6E7">
            <w:pPr>
              <w:jc w:val="left"/>
              <w:rPr>
                <w:rFonts w:ascii="宋体" w:hAnsi="宋体" w:cs="宋体"/>
              </w:rPr>
            </w:pPr>
            <w:r>
              <w:rPr>
                <w:rFonts w:hint="eastAsia" w:ascii="宋体" w:hAnsi="宋体" w:cs="宋体"/>
              </w:rPr>
              <w:t xml:space="preserve">同一企业只能采用一种模式对所有投资性房地产进行后续计量，不得同时采用两种计量模式 </w:t>
            </w:r>
          </w:p>
        </w:tc>
      </w:tr>
      <w:tr w14:paraId="68193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gridSpan w:val="2"/>
          </w:tcPr>
          <w:p w14:paraId="07274290">
            <w:pPr>
              <w:jc w:val="left"/>
              <w:rPr>
                <w:rFonts w:ascii="宋体" w:hAnsi="宋体" w:cs="宋体"/>
              </w:rPr>
            </w:pPr>
            <w:r>
              <w:rPr>
                <w:rFonts w:hint="eastAsia" w:ascii="宋体" w:hAnsi="宋体" w:cs="宋体"/>
              </w:rPr>
              <w:t xml:space="preserve">成本模式 </w:t>
            </w:r>
          </w:p>
          <w:p w14:paraId="525FCB7B">
            <w:pPr>
              <w:jc w:val="left"/>
              <w:rPr>
                <w:rFonts w:ascii="宋体" w:hAnsi="宋体" w:cs="宋体"/>
              </w:rPr>
            </w:pPr>
            <w:r>
              <w:rPr>
                <w:rFonts w:hint="eastAsia" w:ascii="宋体" w:hAnsi="宋体" w:cs="宋体"/>
              </w:rPr>
              <w:t xml:space="preserve">（有折旧摊销、有减值、无涨跌） </w:t>
            </w:r>
          </w:p>
        </w:tc>
        <w:tc>
          <w:tcPr>
            <w:tcW w:w="2501" w:type="pct"/>
            <w:gridSpan w:val="3"/>
          </w:tcPr>
          <w:p w14:paraId="4DEA3AEE">
            <w:pPr>
              <w:jc w:val="left"/>
              <w:rPr>
                <w:rFonts w:ascii="宋体" w:hAnsi="宋体" w:cs="宋体"/>
              </w:rPr>
            </w:pPr>
            <w:r>
              <w:rPr>
                <w:rFonts w:hint="eastAsia" w:ascii="宋体" w:hAnsi="宋体" w:cs="宋体"/>
              </w:rPr>
              <w:t xml:space="preserve">公允价值模式（无折旧摊销、无减值、有涨跌） </w:t>
            </w:r>
          </w:p>
        </w:tc>
      </w:tr>
      <w:tr w14:paraId="152B1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pct"/>
          </w:tcPr>
          <w:p w14:paraId="7B9F982A">
            <w:pPr>
              <w:jc w:val="left"/>
              <w:rPr>
                <w:rFonts w:ascii="宋体" w:hAnsi="宋体" w:cs="宋体"/>
              </w:rPr>
            </w:pPr>
            <w:r>
              <w:rPr>
                <w:rFonts w:hint="eastAsia" w:ascii="宋体" w:hAnsi="宋体" w:cs="宋体"/>
              </w:rPr>
              <w:t xml:space="preserve">计提折旧或摊销 </w:t>
            </w:r>
          </w:p>
        </w:tc>
        <w:tc>
          <w:tcPr>
            <w:tcW w:w="1214" w:type="pct"/>
          </w:tcPr>
          <w:p w14:paraId="277ED0C4">
            <w:pPr>
              <w:jc w:val="left"/>
              <w:rPr>
                <w:rFonts w:ascii="宋体" w:hAnsi="宋体" w:cs="宋体"/>
              </w:rPr>
            </w:pPr>
            <w:r>
              <w:rPr>
                <w:rFonts w:hint="eastAsia" w:ascii="宋体" w:hAnsi="宋体" w:cs="宋体"/>
              </w:rPr>
              <w:t>借：其他业务成本</w:t>
            </w:r>
            <w:r>
              <w:rPr>
                <w:rFonts w:hint="eastAsia" w:ascii="宋体" w:hAnsi="宋体" w:cs="宋体"/>
              </w:rPr>
              <w:br w:type="textWrapping"/>
            </w:r>
            <w:r>
              <w:rPr>
                <w:rFonts w:hint="eastAsia" w:ascii="宋体" w:hAnsi="宋体" w:cs="宋体"/>
              </w:rPr>
              <w:t xml:space="preserve">　　贷：投资性房地产  累计折旧（摊销） </w:t>
            </w:r>
          </w:p>
        </w:tc>
        <w:tc>
          <w:tcPr>
            <w:tcW w:w="1074" w:type="pct"/>
          </w:tcPr>
          <w:p w14:paraId="774C78BE">
            <w:pPr>
              <w:jc w:val="left"/>
              <w:rPr>
                <w:rFonts w:ascii="宋体" w:hAnsi="宋体" w:cs="宋体"/>
              </w:rPr>
            </w:pPr>
            <w:r>
              <w:rPr>
                <w:rFonts w:hint="eastAsia" w:ascii="宋体" w:hAnsi="宋体" w:cs="宋体"/>
              </w:rPr>
              <w:t>涨价：公允＞账面</w:t>
            </w:r>
          </w:p>
        </w:tc>
        <w:tc>
          <w:tcPr>
            <w:tcW w:w="1427" w:type="pct"/>
            <w:gridSpan w:val="2"/>
          </w:tcPr>
          <w:p w14:paraId="698C9850">
            <w:pPr>
              <w:jc w:val="left"/>
              <w:rPr>
                <w:rFonts w:ascii="宋体" w:hAnsi="宋体" w:cs="宋体"/>
              </w:rPr>
            </w:pPr>
            <w:r>
              <w:rPr>
                <w:rFonts w:hint="eastAsia" w:ascii="宋体" w:hAnsi="宋体" w:cs="宋体"/>
              </w:rPr>
              <w:t xml:space="preserve">借：投资性房地产——公允价值变动 </w:t>
            </w:r>
          </w:p>
          <w:p w14:paraId="2CCAAB13">
            <w:pPr>
              <w:jc w:val="left"/>
              <w:rPr>
                <w:rFonts w:ascii="宋体" w:hAnsi="宋体" w:cs="宋体"/>
              </w:rPr>
            </w:pPr>
            <w:r>
              <w:rPr>
                <w:rFonts w:hint="eastAsia" w:ascii="宋体" w:hAnsi="宋体" w:cs="宋体"/>
              </w:rPr>
              <w:t xml:space="preserve">　　贷：公允价值变动损益 </w:t>
            </w:r>
          </w:p>
        </w:tc>
      </w:tr>
      <w:tr w14:paraId="07DB7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pct"/>
          </w:tcPr>
          <w:p w14:paraId="39789DFE">
            <w:pPr>
              <w:jc w:val="left"/>
              <w:rPr>
                <w:rFonts w:ascii="宋体" w:hAnsi="宋体" w:cs="宋体"/>
              </w:rPr>
            </w:pPr>
            <w:r>
              <w:rPr>
                <w:rFonts w:hint="eastAsia" w:ascii="宋体" w:hAnsi="宋体" w:cs="宋体"/>
              </w:rPr>
              <w:t>取得租金收入</w:t>
            </w:r>
          </w:p>
          <w:p w14:paraId="4D8BFC8F">
            <w:pPr>
              <w:jc w:val="left"/>
              <w:rPr>
                <w:rFonts w:ascii="宋体" w:hAnsi="宋体" w:cs="宋体"/>
              </w:rPr>
            </w:pPr>
            <w:r>
              <w:rPr>
                <w:rFonts w:hint="eastAsia" w:ascii="宋体" w:hAnsi="宋体" w:cs="宋体"/>
              </w:rPr>
              <w:t xml:space="preserve"> </w:t>
            </w:r>
          </w:p>
        </w:tc>
        <w:tc>
          <w:tcPr>
            <w:tcW w:w="1214" w:type="pct"/>
          </w:tcPr>
          <w:p w14:paraId="2F7ABD22">
            <w:pPr>
              <w:jc w:val="left"/>
              <w:rPr>
                <w:rFonts w:ascii="宋体" w:hAnsi="宋体" w:cs="宋体"/>
              </w:rPr>
            </w:pPr>
            <w:r>
              <w:rPr>
                <w:rFonts w:hint="eastAsia" w:ascii="宋体" w:hAnsi="宋体" w:cs="宋体"/>
              </w:rPr>
              <w:t>借：银行存款</w:t>
            </w:r>
            <w:r>
              <w:rPr>
                <w:rFonts w:hint="eastAsia" w:ascii="宋体" w:hAnsi="宋体" w:cs="宋体"/>
              </w:rPr>
              <w:br w:type="textWrapping"/>
            </w:r>
            <w:r>
              <w:rPr>
                <w:rFonts w:hint="eastAsia" w:ascii="宋体" w:hAnsi="宋体" w:cs="宋体"/>
              </w:rPr>
              <w:t xml:space="preserve">　　贷：其他业务收入 </w:t>
            </w:r>
          </w:p>
        </w:tc>
        <w:tc>
          <w:tcPr>
            <w:tcW w:w="1074" w:type="pct"/>
          </w:tcPr>
          <w:p w14:paraId="5B865DB3">
            <w:pPr>
              <w:jc w:val="left"/>
              <w:rPr>
                <w:rFonts w:ascii="宋体" w:hAnsi="宋体" w:cs="宋体"/>
              </w:rPr>
            </w:pPr>
            <w:r>
              <w:rPr>
                <w:rFonts w:hint="eastAsia" w:ascii="宋体" w:hAnsi="宋体" w:cs="宋体"/>
              </w:rPr>
              <w:t xml:space="preserve">跌价： </w:t>
            </w:r>
          </w:p>
          <w:p w14:paraId="45213687">
            <w:pPr>
              <w:jc w:val="left"/>
              <w:rPr>
                <w:rFonts w:ascii="宋体" w:hAnsi="宋体" w:cs="宋体"/>
              </w:rPr>
            </w:pPr>
            <w:r>
              <w:rPr>
                <w:rFonts w:hint="eastAsia" w:ascii="宋体" w:hAnsi="宋体" w:cs="宋体"/>
              </w:rPr>
              <w:t xml:space="preserve">公允＜账面 </w:t>
            </w:r>
          </w:p>
        </w:tc>
        <w:tc>
          <w:tcPr>
            <w:tcW w:w="1427" w:type="pct"/>
            <w:gridSpan w:val="2"/>
          </w:tcPr>
          <w:p w14:paraId="461055D8">
            <w:pPr>
              <w:jc w:val="left"/>
              <w:rPr>
                <w:rFonts w:ascii="宋体" w:hAnsi="宋体" w:cs="宋体"/>
              </w:rPr>
            </w:pPr>
            <w:r>
              <w:rPr>
                <w:rFonts w:hint="eastAsia" w:ascii="宋体" w:hAnsi="宋体" w:cs="宋体"/>
              </w:rPr>
              <w:t xml:space="preserve">借：公允价值变动损益 </w:t>
            </w:r>
          </w:p>
          <w:p w14:paraId="75020AD6">
            <w:pPr>
              <w:jc w:val="left"/>
              <w:rPr>
                <w:rFonts w:ascii="宋体" w:hAnsi="宋体" w:cs="宋体"/>
              </w:rPr>
            </w:pPr>
            <w:r>
              <w:rPr>
                <w:rFonts w:hint="eastAsia" w:ascii="宋体" w:hAnsi="宋体" w:cs="宋体"/>
              </w:rPr>
              <w:t xml:space="preserve">　　贷：投资性房地产——公允价值变动 </w:t>
            </w:r>
          </w:p>
        </w:tc>
      </w:tr>
      <w:tr w14:paraId="20A72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pct"/>
            <w:vMerge w:val="restart"/>
          </w:tcPr>
          <w:p w14:paraId="7CF732ED">
            <w:pPr>
              <w:jc w:val="left"/>
              <w:rPr>
                <w:rFonts w:ascii="宋体" w:hAnsi="宋体" w:cs="宋体"/>
              </w:rPr>
            </w:pPr>
            <w:r>
              <w:rPr>
                <w:rFonts w:hint="eastAsia" w:ascii="宋体" w:hAnsi="宋体" w:cs="宋体"/>
              </w:rPr>
              <w:t xml:space="preserve">计提减值准备 </w:t>
            </w:r>
          </w:p>
        </w:tc>
        <w:tc>
          <w:tcPr>
            <w:tcW w:w="1214" w:type="pct"/>
          </w:tcPr>
          <w:p w14:paraId="19CC68B1">
            <w:pPr>
              <w:jc w:val="left"/>
              <w:rPr>
                <w:rFonts w:ascii="宋体" w:hAnsi="宋体" w:cs="宋体"/>
              </w:rPr>
            </w:pPr>
            <w:r>
              <w:rPr>
                <w:rFonts w:hint="eastAsia" w:ascii="宋体" w:hAnsi="宋体" w:cs="宋体"/>
              </w:rPr>
              <w:t>借：资产减值损失</w:t>
            </w:r>
            <w:r>
              <w:rPr>
                <w:rFonts w:hint="eastAsia" w:ascii="宋体" w:hAnsi="宋体" w:cs="宋体"/>
              </w:rPr>
              <w:br w:type="textWrapping"/>
            </w:r>
            <w:r>
              <w:rPr>
                <w:rFonts w:hint="eastAsia" w:ascii="宋体" w:hAnsi="宋体" w:cs="宋体"/>
              </w:rPr>
              <w:t xml:space="preserve">　　贷：投资性房地产减值准备 </w:t>
            </w:r>
          </w:p>
        </w:tc>
        <w:tc>
          <w:tcPr>
            <w:tcW w:w="1074" w:type="pct"/>
          </w:tcPr>
          <w:p w14:paraId="5927CD1C">
            <w:pPr>
              <w:jc w:val="left"/>
              <w:rPr>
                <w:rFonts w:ascii="宋体" w:hAnsi="宋体" w:cs="宋体"/>
              </w:rPr>
            </w:pPr>
            <w:r>
              <w:rPr>
                <w:rFonts w:hint="eastAsia" w:ascii="宋体" w:hAnsi="宋体" w:cs="宋体"/>
              </w:rPr>
              <w:t xml:space="preserve">取得租金 </w:t>
            </w:r>
          </w:p>
          <w:p w14:paraId="5ED4D52C">
            <w:pPr>
              <w:jc w:val="left"/>
              <w:rPr>
                <w:rFonts w:ascii="宋体" w:hAnsi="宋体" w:cs="宋体"/>
              </w:rPr>
            </w:pPr>
            <w:r>
              <w:rPr>
                <w:rFonts w:hint="eastAsia" w:ascii="宋体" w:hAnsi="宋体" w:cs="宋体"/>
              </w:rPr>
              <w:t xml:space="preserve">收入 </w:t>
            </w:r>
          </w:p>
        </w:tc>
        <w:tc>
          <w:tcPr>
            <w:tcW w:w="1427" w:type="pct"/>
            <w:gridSpan w:val="2"/>
          </w:tcPr>
          <w:p w14:paraId="2A4A6ACB">
            <w:pPr>
              <w:jc w:val="left"/>
              <w:rPr>
                <w:rFonts w:ascii="宋体" w:hAnsi="宋体" w:cs="宋体"/>
              </w:rPr>
            </w:pPr>
            <w:r>
              <w:rPr>
                <w:rFonts w:hint="eastAsia" w:ascii="宋体" w:hAnsi="宋体" w:cs="宋体"/>
              </w:rPr>
              <w:t xml:space="preserve">借：银行存款 </w:t>
            </w:r>
          </w:p>
          <w:p w14:paraId="7178A010">
            <w:pPr>
              <w:jc w:val="left"/>
              <w:rPr>
                <w:rFonts w:ascii="宋体" w:hAnsi="宋体" w:cs="宋体"/>
              </w:rPr>
            </w:pPr>
            <w:r>
              <w:rPr>
                <w:rFonts w:hint="eastAsia" w:ascii="宋体" w:hAnsi="宋体" w:cs="宋体"/>
              </w:rPr>
              <w:t xml:space="preserve">　  贷：其他业务收入 </w:t>
            </w:r>
          </w:p>
        </w:tc>
      </w:tr>
      <w:tr w14:paraId="04ACD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pct"/>
            <w:vMerge w:val="continue"/>
          </w:tcPr>
          <w:p w14:paraId="10E9F88A">
            <w:pPr>
              <w:jc w:val="left"/>
              <w:rPr>
                <w:rFonts w:ascii="宋体" w:hAnsi="宋体" w:cs="宋体"/>
              </w:rPr>
            </w:pPr>
          </w:p>
        </w:tc>
        <w:tc>
          <w:tcPr>
            <w:tcW w:w="1214" w:type="pct"/>
          </w:tcPr>
          <w:p w14:paraId="2EFE2558">
            <w:pPr>
              <w:jc w:val="left"/>
              <w:rPr>
                <w:rFonts w:ascii="宋体" w:hAnsi="宋体" w:cs="宋体"/>
              </w:rPr>
            </w:pPr>
            <w:r>
              <w:rPr>
                <w:rFonts w:hint="eastAsia" w:ascii="宋体" w:hAnsi="宋体" w:cs="宋体"/>
              </w:rPr>
              <w:t xml:space="preserve">减值准备一经计提，在持有期间不得转回 </w:t>
            </w:r>
          </w:p>
        </w:tc>
        <w:tc>
          <w:tcPr>
            <w:tcW w:w="2501" w:type="pct"/>
            <w:gridSpan w:val="3"/>
          </w:tcPr>
          <w:p w14:paraId="43E994EE">
            <w:pPr>
              <w:jc w:val="left"/>
              <w:rPr>
                <w:rFonts w:ascii="宋体" w:hAnsi="宋体" w:cs="宋体"/>
              </w:rPr>
            </w:pPr>
            <w:r>
              <w:rPr>
                <w:rFonts w:hint="eastAsia" w:ascii="宋体" w:hAnsi="宋体" w:cs="宋体"/>
              </w:rPr>
              <w:t xml:space="preserve">无减值 </w:t>
            </w:r>
          </w:p>
        </w:tc>
      </w:tr>
      <w:tr w14:paraId="28862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pct"/>
            <w:vMerge w:val="restart"/>
          </w:tcPr>
          <w:p w14:paraId="3DCC73F0">
            <w:pPr>
              <w:jc w:val="left"/>
              <w:rPr>
                <w:rFonts w:ascii="宋体" w:hAnsi="宋体" w:cs="宋体"/>
              </w:rPr>
            </w:pPr>
            <w:r>
              <w:rPr>
                <w:rFonts w:hint="eastAsia" w:ascii="宋体" w:hAnsi="宋体" w:cs="宋体"/>
              </w:rPr>
              <w:t xml:space="preserve">后续计量模式的变更 </w:t>
            </w:r>
          </w:p>
        </w:tc>
        <w:tc>
          <w:tcPr>
            <w:tcW w:w="3715" w:type="pct"/>
            <w:gridSpan w:val="4"/>
          </w:tcPr>
          <w:p w14:paraId="007CEC6A">
            <w:pPr>
              <w:jc w:val="left"/>
              <w:rPr>
                <w:rFonts w:ascii="宋体" w:hAnsi="宋体" w:cs="宋体"/>
              </w:rPr>
            </w:pPr>
            <w:r>
              <w:rPr>
                <w:rFonts w:hint="eastAsia" w:ascii="宋体" w:hAnsi="宋体" w:cs="宋体"/>
              </w:rPr>
              <w:t xml:space="preserve">企业对投资性房地产的计量模式一经确定，不得随意变更 </w:t>
            </w:r>
          </w:p>
        </w:tc>
      </w:tr>
      <w:tr w14:paraId="650F2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pct"/>
            <w:vMerge w:val="continue"/>
          </w:tcPr>
          <w:p w14:paraId="05F786DB">
            <w:pPr>
              <w:jc w:val="left"/>
              <w:rPr>
                <w:rFonts w:ascii="宋体" w:hAnsi="宋体" w:cs="宋体"/>
              </w:rPr>
            </w:pPr>
          </w:p>
        </w:tc>
        <w:tc>
          <w:tcPr>
            <w:tcW w:w="1214" w:type="pct"/>
            <w:vMerge w:val="restart"/>
          </w:tcPr>
          <w:p w14:paraId="4C55C973">
            <w:pPr>
              <w:jc w:val="left"/>
              <w:rPr>
                <w:rFonts w:ascii="宋体" w:hAnsi="宋体" w:cs="宋体"/>
              </w:rPr>
            </w:pPr>
            <w:r>
              <w:rPr>
                <w:rFonts w:hint="eastAsia" w:ascii="宋体" w:hAnsi="宋体" w:cs="宋体"/>
              </w:rPr>
              <w:t xml:space="preserve">存在 </w:t>
            </w:r>
          </w:p>
          <w:p w14:paraId="23E8BC01">
            <w:pPr>
              <w:jc w:val="left"/>
              <w:rPr>
                <w:rFonts w:ascii="宋体" w:hAnsi="宋体" w:cs="宋体"/>
              </w:rPr>
            </w:pPr>
            <w:r>
              <w:rPr>
                <w:rFonts w:hint="eastAsia" w:ascii="宋体" w:hAnsi="宋体" w:cs="宋体"/>
              </w:rPr>
              <w:t xml:space="preserve">确凿 </w:t>
            </w:r>
          </w:p>
          <w:p w14:paraId="21A539AA">
            <w:pPr>
              <w:jc w:val="left"/>
              <w:rPr>
                <w:rFonts w:ascii="宋体" w:hAnsi="宋体" w:cs="宋体"/>
              </w:rPr>
            </w:pPr>
            <w:r>
              <w:rPr>
                <w:rFonts w:hint="eastAsia" w:ascii="宋体" w:hAnsi="宋体" w:cs="宋体"/>
              </w:rPr>
              <w:t xml:space="preserve">的证据表明 </w:t>
            </w:r>
          </w:p>
        </w:tc>
        <w:tc>
          <w:tcPr>
            <w:tcW w:w="1250" w:type="pct"/>
            <w:gridSpan w:val="2"/>
          </w:tcPr>
          <w:p w14:paraId="5E97E379">
            <w:pPr>
              <w:jc w:val="left"/>
              <w:rPr>
                <w:rFonts w:ascii="宋体" w:hAnsi="宋体" w:cs="宋体"/>
              </w:rPr>
            </w:pPr>
            <w:r>
              <w:rPr>
                <w:rFonts w:hint="eastAsia" w:ascii="宋体" w:hAnsi="宋体" w:cs="宋体"/>
              </w:rPr>
              <w:t xml:space="preserve">公允价值能够持续可靠取得 </w:t>
            </w:r>
          </w:p>
        </w:tc>
        <w:tc>
          <w:tcPr>
            <w:tcW w:w="1251" w:type="pct"/>
            <w:vMerge w:val="restart"/>
          </w:tcPr>
          <w:p w14:paraId="314E4FCA">
            <w:pPr>
              <w:jc w:val="left"/>
              <w:rPr>
                <w:rFonts w:ascii="宋体" w:hAnsi="宋体" w:cs="宋体"/>
              </w:rPr>
            </w:pPr>
            <w:r>
              <w:rPr>
                <w:rFonts w:hint="eastAsia" w:ascii="宋体" w:hAnsi="宋体" w:cs="宋体"/>
              </w:rPr>
              <w:t>不得从公允价值模式转为成本模式。</w:t>
            </w:r>
          </w:p>
        </w:tc>
      </w:tr>
      <w:tr w14:paraId="1A154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pct"/>
            <w:vMerge w:val="continue"/>
          </w:tcPr>
          <w:p w14:paraId="02732223">
            <w:pPr>
              <w:jc w:val="left"/>
              <w:rPr>
                <w:rFonts w:ascii="宋体" w:hAnsi="宋体" w:cs="宋体"/>
              </w:rPr>
            </w:pPr>
          </w:p>
        </w:tc>
        <w:tc>
          <w:tcPr>
            <w:tcW w:w="1214" w:type="pct"/>
            <w:vMerge w:val="continue"/>
          </w:tcPr>
          <w:p w14:paraId="3952B078">
            <w:pPr>
              <w:jc w:val="left"/>
              <w:rPr>
                <w:rFonts w:ascii="宋体" w:hAnsi="宋体" w:cs="宋体"/>
              </w:rPr>
            </w:pPr>
          </w:p>
        </w:tc>
        <w:tc>
          <w:tcPr>
            <w:tcW w:w="1250" w:type="pct"/>
            <w:gridSpan w:val="2"/>
          </w:tcPr>
          <w:p w14:paraId="6E5E0135">
            <w:pPr>
              <w:jc w:val="left"/>
              <w:rPr>
                <w:rFonts w:ascii="宋体" w:hAnsi="宋体" w:cs="宋体"/>
              </w:rPr>
            </w:pPr>
            <w:r>
              <w:rPr>
                <w:rFonts w:hint="eastAsia" w:ascii="宋体" w:hAnsi="宋体" w:cs="宋体"/>
              </w:rPr>
              <w:t xml:space="preserve">且能够满足采用公允价值模式条件 </w:t>
            </w:r>
          </w:p>
        </w:tc>
        <w:tc>
          <w:tcPr>
            <w:tcW w:w="1251" w:type="pct"/>
            <w:vMerge w:val="continue"/>
          </w:tcPr>
          <w:p w14:paraId="5FF1A7BB">
            <w:pPr>
              <w:jc w:val="left"/>
              <w:rPr>
                <w:rFonts w:ascii="宋体" w:hAnsi="宋体" w:cs="宋体"/>
              </w:rPr>
            </w:pPr>
          </w:p>
        </w:tc>
      </w:tr>
      <w:tr w14:paraId="77596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pct"/>
          </w:tcPr>
          <w:p w14:paraId="6E88C7C4">
            <w:pPr>
              <w:jc w:val="left"/>
              <w:rPr>
                <w:rFonts w:ascii="宋体" w:hAnsi="宋体" w:cs="宋体"/>
              </w:rPr>
            </w:pPr>
            <w:r>
              <w:rPr>
                <w:rFonts w:hint="eastAsia" w:ascii="宋体" w:hAnsi="宋体" w:cs="宋体"/>
              </w:rPr>
              <w:t xml:space="preserve">后续计量模式的变更 </w:t>
            </w:r>
          </w:p>
        </w:tc>
        <w:tc>
          <w:tcPr>
            <w:tcW w:w="3715" w:type="pct"/>
            <w:gridSpan w:val="4"/>
          </w:tcPr>
          <w:p w14:paraId="454C071A">
            <w:pPr>
              <w:jc w:val="left"/>
              <w:rPr>
                <w:rFonts w:ascii="宋体" w:hAnsi="宋体" w:cs="宋体"/>
              </w:rPr>
            </w:pPr>
            <w:r>
              <w:rPr>
                <w:rFonts w:hint="eastAsia" w:ascii="宋体" w:hAnsi="宋体" w:cs="宋体"/>
              </w:rPr>
              <w:t>成本模式转为公允价值模式的，应当作为会计政策变更处理（追溯调整法），将计量模式变更时公允价值与账面价值的差额，调整期初留存收益。</w:t>
            </w:r>
          </w:p>
          <w:p w14:paraId="77E639C6">
            <w:pPr>
              <w:jc w:val="left"/>
              <w:rPr>
                <w:rFonts w:ascii="宋体" w:hAnsi="宋体" w:cs="宋体"/>
              </w:rPr>
            </w:pPr>
            <w:r>
              <w:rPr>
                <w:rFonts w:hint="eastAsia" w:ascii="宋体" w:hAnsi="宋体" w:cs="宋体"/>
              </w:rPr>
              <w:t>借：投资性房地产—成本   （公允价）　　</w:t>
            </w:r>
          </w:p>
          <w:p w14:paraId="2228C82D">
            <w:pPr>
              <w:jc w:val="left"/>
              <w:rPr>
                <w:rFonts w:ascii="宋体" w:hAnsi="宋体" w:cs="宋体"/>
              </w:rPr>
            </w:pPr>
            <w:r>
              <w:rPr>
                <w:rFonts w:hint="eastAsia" w:ascii="宋体" w:hAnsi="宋体" w:cs="宋体"/>
              </w:rPr>
              <w:t>　　投资性房地产累计折旧（摊销）　　　　</w:t>
            </w:r>
          </w:p>
          <w:p w14:paraId="1DA250E4">
            <w:pPr>
              <w:jc w:val="left"/>
              <w:rPr>
                <w:rFonts w:ascii="宋体" w:hAnsi="宋体" w:cs="宋体"/>
              </w:rPr>
            </w:pPr>
            <w:r>
              <w:rPr>
                <w:rFonts w:hint="eastAsia" w:ascii="宋体" w:hAnsi="宋体" w:cs="宋体"/>
              </w:rPr>
              <w:t>　　投资性房地产减值准备　　　　　　　</w:t>
            </w:r>
          </w:p>
          <w:p w14:paraId="28CE3E66">
            <w:pPr>
              <w:jc w:val="left"/>
              <w:rPr>
                <w:rFonts w:ascii="宋体" w:hAnsi="宋体" w:cs="宋体"/>
              </w:rPr>
            </w:pPr>
            <w:r>
              <w:rPr>
                <w:rFonts w:hint="eastAsia" w:ascii="宋体" w:hAnsi="宋体" w:cs="宋体"/>
              </w:rPr>
              <w:t xml:space="preserve">　　利润分配—未分配利润（亏） </w:t>
            </w:r>
          </w:p>
          <w:p w14:paraId="31590E55">
            <w:pPr>
              <w:jc w:val="left"/>
              <w:rPr>
                <w:rFonts w:ascii="宋体" w:hAnsi="宋体" w:cs="宋体"/>
              </w:rPr>
            </w:pPr>
            <w:r>
              <w:rPr>
                <w:rFonts w:hint="eastAsia" w:ascii="宋体" w:hAnsi="宋体" w:cs="宋体"/>
              </w:rPr>
              <w:t xml:space="preserve">　　盈余公积（亏） </w:t>
            </w:r>
          </w:p>
          <w:p w14:paraId="13E9B949">
            <w:pPr>
              <w:jc w:val="left"/>
              <w:rPr>
                <w:rFonts w:ascii="宋体" w:hAnsi="宋体" w:cs="宋体"/>
              </w:rPr>
            </w:pPr>
            <w:r>
              <w:rPr>
                <w:rFonts w:hint="eastAsia" w:ascii="宋体" w:hAnsi="宋体" w:cs="宋体"/>
              </w:rPr>
              <w:t>　　贷：投资性房地产　　　　　　　　　　　　</w:t>
            </w:r>
          </w:p>
          <w:p w14:paraId="0D90F352">
            <w:pPr>
              <w:jc w:val="left"/>
              <w:rPr>
                <w:rFonts w:ascii="宋体" w:hAnsi="宋体" w:cs="宋体"/>
              </w:rPr>
            </w:pPr>
            <w:r>
              <w:rPr>
                <w:rFonts w:hint="eastAsia" w:ascii="宋体" w:hAnsi="宋体" w:cs="宋体"/>
              </w:rPr>
              <w:t>　　　　利润分配—未分配利润（赚）　　　　　</w:t>
            </w:r>
          </w:p>
          <w:p w14:paraId="44FBF522">
            <w:pPr>
              <w:jc w:val="left"/>
              <w:rPr>
                <w:rFonts w:ascii="宋体" w:hAnsi="宋体" w:cs="宋体"/>
              </w:rPr>
            </w:pPr>
            <w:r>
              <w:rPr>
                <w:rFonts w:hint="eastAsia" w:ascii="宋体" w:hAnsi="宋体" w:cs="宋体"/>
              </w:rPr>
              <w:t>　　　　盈余公积（赚）　　　　　　　　　　  　</w:t>
            </w:r>
          </w:p>
        </w:tc>
      </w:tr>
    </w:tbl>
    <w:p w14:paraId="2B0A238A">
      <w:pPr>
        <w:jc w:val="left"/>
        <w:rPr>
          <w:rFonts w:ascii="宋体" w:hAnsi="宋体" w:cs="宋体"/>
        </w:rPr>
      </w:pPr>
      <w:r>
        <w:rPr>
          <w:rFonts w:hint="eastAsia" w:ascii="宋体" w:hAnsi="宋体" w:cs="宋体"/>
        </w:rPr>
        <w:t>【考点】投资性房地产的转换</w:t>
      </w:r>
    </w:p>
    <w:tbl>
      <w:tblPr>
        <w:tblStyle w:val="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0"/>
        <w:gridCol w:w="1883"/>
        <w:gridCol w:w="3481"/>
        <w:gridCol w:w="3762"/>
      </w:tblGrid>
      <w:tr w14:paraId="2D22B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tcPr>
          <w:p w14:paraId="7813F5EE">
            <w:pPr>
              <w:jc w:val="center"/>
              <w:rPr>
                <w:rFonts w:ascii="宋体" w:hAnsi="宋体" w:cs="宋体"/>
              </w:rPr>
            </w:pPr>
            <w:r>
              <w:rPr>
                <w:rFonts w:hint="eastAsia" w:ascii="宋体" w:hAnsi="宋体" w:cs="宋体"/>
              </w:rPr>
              <w:t> </w:t>
            </w:r>
          </w:p>
        </w:tc>
        <w:tc>
          <w:tcPr>
            <w:tcW w:w="929" w:type="pct"/>
          </w:tcPr>
          <w:p w14:paraId="2F370428">
            <w:pPr>
              <w:jc w:val="center"/>
              <w:rPr>
                <w:rFonts w:ascii="宋体" w:hAnsi="宋体" w:cs="宋体"/>
              </w:rPr>
            </w:pPr>
            <w:r>
              <w:rPr>
                <w:rFonts w:hint="eastAsia" w:ascii="宋体" w:hAnsi="宋体" w:cs="宋体"/>
              </w:rPr>
              <w:t>转换情形</w:t>
            </w:r>
          </w:p>
        </w:tc>
        <w:tc>
          <w:tcPr>
            <w:tcW w:w="1717" w:type="pct"/>
          </w:tcPr>
          <w:p w14:paraId="5786BD6D">
            <w:pPr>
              <w:jc w:val="center"/>
              <w:rPr>
                <w:rFonts w:ascii="宋体" w:hAnsi="宋体" w:cs="宋体"/>
              </w:rPr>
            </w:pPr>
            <w:r>
              <w:rPr>
                <w:rFonts w:hint="eastAsia" w:ascii="宋体" w:hAnsi="宋体" w:cs="宋体"/>
              </w:rPr>
              <w:t>成本模式</w:t>
            </w:r>
          </w:p>
        </w:tc>
        <w:tc>
          <w:tcPr>
            <w:tcW w:w="1856" w:type="pct"/>
          </w:tcPr>
          <w:p w14:paraId="59BAB183">
            <w:pPr>
              <w:jc w:val="center"/>
              <w:rPr>
                <w:rFonts w:ascii="宋体" w:hAnsi="宋体" w:cs="宋体"/>
              </w:rPr>
            </w:pPr>
            <w:r>
              <w:rPr>
                <w:rFonts w:hint="eastAsia" w:ascii="宋体" w:hAnsi="宋体" w:cs="宋体"/>
              </w:rPr>
              <w:t>公允价值模式</w:t>
            </w:r>
          </w:p>
        </w:tc>
      </w:tr>
      <w:tr w14:paraId="4B5E5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tcPr>
          <w:p w14:paraId="539EF470">
            <w:pPr>
              <w:jc w:val="center"/>
              <w:rPr>
                <w:rFonts w:ascii="宋体" w:hAnsi="宋体" w:cs="宋体"/>
              </w:rPr>
            </w:pPr>
            <w:r>
              <w:rPr>
                <w:rFonts w:hint="eastAsia" w:ascii="宋体" w:hAnsi="宋体" w:cs="宋体"/>
              </w:rPr>
              <w:t xml:space="preserve">1 </w:t>
            </w:r>
          </w:p>
        </w:tc>
        <w:tc>
          <w:tcPr>
            <w:tcW w:w="929" w:type="pct"/>
          </w:tcPr>
          <w:p w14:paraId="69B93833">
            <w:pPr>
              <w:jc w:val="left"/>
              <w:rPr>
                <w:rFonts w:ascii="宋体" w:hAnsi="宋体" w:cs="宋体"/>
              </w:rPr>
            </w:pPr>
            <w:r>
              <w:rPr>
                <w:rFonts w:hint="eastAsia" w:ascii="宋体" w:hAnsi="宋体" w:cs="宋体"/>
              </w:rPr>
              <w:t>正转：投资性房地产到固定资产或无形资产</w:t>
            </w:r>
          </w:p>
        </w:tc>
        <w:tc>
          <w:tcPr>
            <w:tcW w:w="1717" w:type="pct"/>
          </w:tcPr>
          <w:p w14:paraId="01933374">
            <w:pPr>
              <w:jc w:val="left"/>
              <w:rPr>
                <w:rFonts w:ascii="宋体" w:hAnsi="宋体" w:cs="宋体"/>
              </w:rPr>
            </w:pPr>
            <w:r>
              <w:rPr>
                <w:rFonts w:hint="eastAsia" w:ascii="宋体" w:hAnsi="宋体" w:cs="宋体"/>
              </w:rPr>
              <w:t xml:space="preserve">借：固定资产、无形资产  </w:t>
            </w:r>
          </w:p>
          <w:p w14:paraId="25BFBACC">
            <w:pPr>
              <w:jc w:val="left"/>
              <w:rPr>
                <w:rFonts w:ascii="宋体" w:hAnsi="宋体" w:cs="宋体"/>
              </w:rPr>
            </w:pPr>
            <w:r>
              <w:rPr>
                <w:rFonts w:hint="eastAsia" w:ascii="宋体" w:hAnsi="宋体" w:cs="宋体"/>
              </w:rPr>
              <w:t xml:space="preserve">（按转换时的账面余额计量） </w:t>
            </w:r>
          </w:p>
          <w:p w14:paraId="5B602E8A">
            <w:pPr>
              <w:jc w:val="left"/>
              <w:rPr>
                <w:rFonts w:ascii="宋体" w:hAnsi="宋体" w:cs="宋体"/>
              </w:rPr>
            </w:pPr>
            <w:r>
              <w:rPr>
                <w:rFonts w:hint="eastAsia" w:ascii="宋体" w:hAnsi="宋体" w:cs="宋体"/>
              </w:rPr>
              <w:t>　　投资性房地产累计折旧</w:t>
            </w:r>
          </w:p>
          <w:p w14:paraId="431F01A2">
            <w:pPr>
              <w:jc w:val="left"/>
              <w:rPr>
                <w:rFonts w:ascii="宋体" w:hAnsi="宋体" w:cs="宋体"/>
              </w:rPr>
            </w:pPr>
            <w:r>
              <w:rPr>
                <w:rFonts w:hint="eastAsia" w:ascii="宋体" w:hAnsi="宋体" w:cs="宋体"/>
              </w:rPr>
              <w:t xml:space="preserve">（摊销） </w:t>
            </w:r>
          </w:p>
          <w:p w14:paraId="25AEB051">
            <w:pPr>
              <w:jc w:val="left"/>
              <w:rPr>
                <w:rFonts w:ascii="宋体" w:hAnsi="宋体" w:cs="宋体"/>
              </w:rPr>
            </w:pPr>
            <w:r>
              <w:rPr>
                <w:rFonts w:hint="eastAsia" w:ascii="宋体" w:hAnsi="宋体" w:cs="宋体"/>
              </w:rPr>
              <w:t>　　投资性房地产减值准备</w:t>
            </w:r>
          </w:p>
          <w:p w14:paraId="26D0CAEF">
            <w:pPr>
              <w:jc w:val="left"/>
              <w:rPr>
                <w:rFonts w:ascii="宋体" w:hAnsi="宋体" w:cs="宋体"/>
              </w:rPr>
            </w:pPr>
            <w:r>
              <w:rPr>
                <w:rFonts w:hint="eastAsia" w:ascii="宋体" w:hAnsi="宋体" w:cs="宋体"/>
              </w:rPr>
              <w:t>　　贷：投资性房地产</w:t>
            </w:r>
          </w:p>
          <w:p w14:paraId="408425DC">
            <w:pPr>
              <w:jc w:val="left"/>
              <w:rPr>
                <w:rFonts w:ascii="宋体" w:hAnsi="宋体" w:cs="宋体"/>
              </w:rPr>
            </w:pPr>
            <w:r>
              <w:rPr>
                <w:rFonts w:hint="eastAsia" w:ascii="宋体" w:hAnsi="宋体" w:cs="宋体"/>
              </w:rPr>
              <w:t xml:space="preserve">　　　　累计折旧（摊销） </w:t>
            </w:r>
          </w:p>
          <w:p w14:paraId="6D71E155">
            <w:pPr>
              <w:jc w:val="left"/>
              <w:rPr>
                <w:rFonts w:ascii="宋体" w:hAnsi="宋体" w:cs="宋体"/>
              </w:rPr>
            </w:pPr>
            <w:r>
              <w:rPr>
                <w:rFonts w:hint="eastAsia" w:ascii="宋体" w:hAnsi="宋体" w:cs="宋体"/>
              </w:rPr>
              <w:t>　　　　固定资产（无形资产）减值准备</w:t>
            </w:r>
          </w:p>
        </w:tc>
        <w:tc>
          <w:tcPr>
            <w:tcW w:w="1856" w:type="pct"/>
          </w:tcPr>
          <w:p w14:paraId="40EE7E57">
            <w:pPr>
              <w:jc w:val="left"/>
              <w:rPr>
                <w:rFonts w:ascii="宋体" w:hAnsi="宋体" w:cs="宋体"/>
              </w:rPr>
            </w:pPr>
            <w:r>
              <w:rPr>
                <w:rFonts w:hint="eastAsia" w:ascii="宋体" w:hAnsi="宋体" w:cs="宋体"/>
              </w:rPr>
              <w:t>借：固定资产、无形资产</w:t>
            </w:r>
          </w:p>
          <w:p w14:paraId="2642010A">
            <w:pPr>
              <w:jc w:val="left"/>
              <w:rPr>
                <w:rFonts w:ascii="宋体" w:hAnsi="宋体" w:cs="宋体"/>
              </w:rPr>
            </w:pPr>
            <w:r>
              <w:rPr>
                <w:rFonts w:hint="eastAsia" w:ascii="宋体" w:hAnsi="宋体" w:cs="宋体"/>
              </w:rPr>
              <w:t xml:space="preserve">（公允价值计量） </w:t>
            </w:r>
          </w:p>
          <w:p w14:paraId="4B20F8EF">
            <w:pPr>
              <w:jc w:val="left"/>
              <w:rPr>
                <w:rFonts w:ascii="宋体" w:hAnsi="宋体" w:cs="宋体"/>
              </w:rPr>
            </w:pPr>
            <w:r>
              <w:rPr>
                <w:rFonts w:hint="eastAsia" w:ascii="宋体" w:hAnsi="宋体" w:cs="宋体"/>
              </w:rPr>
              <w:t xml:space="preserve">　　公允价值变动损益（亏） </w:t>
            </w:r>
          </w:p>
          <w:p w14:paraId="589D393A">
            <w:pPr>
              <w:jc w:val="left"/>
              <w:rPr>
                <w:rFonts w:ascii="宋体" w:hAnsi="宋体" w:cs="宋体"/>
              </w:rPr>
            </w:pPr>
            <w:r>
              <w:rPr>
                <w:rFonts w:hint="eastAsia" w:ascii="宋体" w:hAnsi="宋体" w:cs="宋体"/>
              </w:rPr>
              <w:t>　　贷：投资性房地产——成本</w:t>
            </w:r>
          </w:p>
          <w:p w14:paraId="3964D403">
            <w:pPr>
              <w:jc w:val="left"/>
              <w:rPr>
                <w:rFonts w:ascii="宋体" w:hAnsi="宋体" w:cs="宋体"/>
              </w:rPr>
            </w:pPr>
            <w:r>
              <w:rPr>
                <w:rFonts w:hint="eastAsia" w:ascii="宋体" w:hAnsi="宋体" w:cs="宋体"/>
              </w:rPr>
              <w:t xml:space="preserve">　　　　　　　　　　——公允价值变动 </w:t>
            </w:r>
          </w:p>
          <w:p w14:paraId="08A587A0">
            <w:pPr>
              <w:jc w:val="left"/>
              <w:rPr>
                <w:rFonts w:ascii="宋体" w:hAnsi="宋体" w:cs="宋体"/>
              </w:rPr>
            </w:pPr>
            <w:r>
              <w:rPr>
                <w:rFonts w:hint="eastAsia" w:ascii="宋体" w:hAnsi="宋体" w:cs="宋体"/>
              </w:rPr>
              <w:t xml:space="preserve">　　　　公允价值变动损益（赚） </w:t>
            </w:r>
          </w:p>
        </w:tc>
      </w:tr>
      <w:tr w14:paraId="288E7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tcPr>
          <w:p w14:paraId="6D50FBC1">
            <w:pPr>
              <w:jc w:val="center"/>
              <w:rPr>
                <w:rFonts w:ascii="宋体" w:hAnsi="宋体" w:cs="宋体"/>
              </w:rPr>
            </w:pPr>
            <w:r>
              <w:rPr>
                <w:rFonts w:hint="eastAsia" w:ascii="宋体" w:hAnsi="宋体" w:cs="宋体"/>
              </w:rPr>
              <w:t xml:space="preserve">2 </w:t>
            </w:r>
          </w:p>
        </w:tc>
        <w:tc>
          <w:tcPr>
            <w:tcW w:w="929" w:type="pct"/>
          </w:tcPr>
          <w:p w14:paraId="625F619B">
            <w:pPr>
              <w:jc w:val="left"/>
              <w:rPr>
                <w:rFonts w:ascii="宋体" w:hAnsi="宋体" w:cs="宋体"/>
              </w:rPr>
            </w:pPr>
            <w:r>
              <w:rPr>
                <w:rFonts w:hint="eastAsia" w:ascii="宋体" w:hAnsi="宋体" w:cs="宋体"/>
              </w:rPr>
              <w:t>正转：投资性房地产到存货</w:t>
            </w:r>
          </w:p>
        </w:tc>
        <w:tc>
          <w:tcPr>
            <w:tcW w:w="1717" w:type="pct"/>
          </w:tcPr>
          <w:p w14:paraId="63DA9920">
            <w:pPr>
              <w:jc w:val="left"/>
              <w:rPr>
                <w:rFonts w:ascii="宋体" w:hAnsi="宋体" w:cs="宋体"/>
              </w:rPr>
            </w:pPr>
            <w:r>
              <w:rPr>
                <w:rFonts w:hint="eastAsia" w:ascii="宋体" w:hAnsi="宋体" w:cs="宋体"/>
              </w:rPr>
              <w:t>借：开发产品</w:t>
            </w:r>
          </w:p>
          <w:p w14:paraId="73012570">
            <w:pPr>
              <w:jc w:val="left"/>
              <w:rPr>
                <w:rFonts w:ascii="宋体" w:hAnsi="宋体" w:cs="宋体"/>
              </w:rPr>
            </w:pPr>
            <w:r>
              <w:rPr>
                <w:rFonts w:hint="eastAsia" w:ascii="宋体" w:hAnsi="宋体" w:cs="宋体"/>
              </w:rPr>
              <w:t>　　投资性房地产累计折旧</w:t>
            </w:r>
          </w:p>
          <w:p w14:paraId="67D5D233">
            <w:pPr>
              <w:jc w:val="left"/>
              <w:rPr>
                <w:rFonts w:ascii="宋体" w:hAnsi="宋体" w:cs="宋体"/>
              </w:rPr>
            </w:pPr>
            <w:r>
              <w:rPr>
                <w:rFonts w:hint="eastAsia" w:ascii="宋体" w:hAnsi="宋体" w:cs="宋体"/>
              </w:rPr>
              <w:t>　　投资性房地产减值准备</w:t>
            </w:r>
          </w:p>
          <w:p w14:paraId="08E866C7">
            <w:pPr>
              <w:jc w:val="left"/>
              <w:rPr>
                <w:rFonts w:ascii="宋体" w:hAnsi="宋体" w:cs="宋体"/>
              </w:rPr>
            </w:pPr>
            <w:r>
              <w:rPr>
                <w:rFonts w:hint="eastAsia" w:ascii="宋体" w:hAnsi="宋体" w:cs="宋体"/>
              </w:rPr>
              <w:t>　　贷：投资性房地产</w:t>
            </w:r>
          </w:p>
        </w:tc>
        <w:tc>
          <w:tcPr>
            <w:tcW w:w="1856" w:type="pct"/>
          </w:tcPr>
          <w:p w14:paraId="1823A5D4">
            <w:pPr>
              <w:jc w:val="left"/>
              <w:rPr>
                <w:rFonts w:ascii="宋体" w:hAnsi="宋体" w:cs="宋体"/>
              </w:rPr>
            </w:pPr>
            <w:r>
              <w:rPr>
                <w:rFonts w:hint="eastAsia" w:ascii="宋体" w:hAnsi="宋体" w:cs="宋体"/>
              </w:rPr>
              <w:t xml:space="preserve">借：开发产品（公允价值计量） </w:t>
            </w:r>
          </w:p>
          <w:p w14:paraId="4C361CA8">
            <w:pPr>
              <w:jc w:val="left"/>
              <w:rPr>
                <w:rFonts w:ascii="宋体" w:hAnsi="宋体" w:cs="宋体"/>
              </w:rPr>
            </w:pPr>
            <w:r>
              <w:rPr>
                <w:rFonts w:hint="eastAsia" w:ascii="宋体" w:hAnsi="宋体" w:cs="宋体"/>
              </w:rPr>
              <w:t xml:space="preserve">　　公允价值变动损益（亏） </w:t>
            </w:r>
          </w:p>
          <w:p w14:paraId="15BFBE10">
            <w:pPr>
              <w:jc w:val="left"/>
              <w:rPr>
                <w:rFonts w:ascii="宋体" w:hAnsi="宋体" w:cs="宋体"/>
              </w:rPr>
            </w:pPr>
            <w:r>
              <w:rPr>
                <w:rFonts w:hint="eastAsia" w:ascii="宋体" w:hAnsi="宋体" w:cs="宋体"/>
              </w:rPr>
              <w:t>　　贷：投资性房地产——成本</w:t>
            </w:r>
          </w:p>
          <w:p w14:paraId="69641168">
            <w:pPr>
              <w:jc w:val="left"/>
              <w:rPr>
                <w:rFonts w:ascii="宋体" w:hAnsi="宋体" w:cs="宋体"/>
              </w:rPr>
            </w:pPr>
            <w:r>
              <w:rPr>
                <w:rFonts w:hint="eastAsia" w:ascii="宋体" w:hAnsi="宋体" w:cs="宋体"/>
              </w:rPr>
              <w:t>　　　　　　　　　　——公允价值变动</w:t>
            </w:r>
          </w:p>
          <w:p w14:paraId="1E43B037">
            <w:pPr>
              <w:jc w:val="left"/>
              <w:rPr>
                <w:rFonts w:ascii="宋体" w:hAnsi="宋体" w:cs="宋体"/>
              </w:rPr>
            </w:pPr>
            <w:r>
              <w:rPr>
                <w:rFonts w:hint="eastAsia" w:ascii="宋体" w:hAnsi="宋体" w:cs="宋体"/>
              </w:rPr>
              <w:t xml:space="preserve">　　　　公允价值变动损益（赚） </w:t>
            </w:r>
          </w:p>
        </w:tc>
      </w:tr>
      <w:tr w14:paraId="73F0E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tcPr>
          <w:p w14:paraId="7CFC7B87">
            <w:pPr>
              <w:jc w:val="center"/>
              <w:rPr>
                <w:rFonts w:ascii="宋体" w:hAnsi="宋体" w:cs="宋体"/>
              </w:rPr>
            </w:pPr>
            <w:r>
              <w:rPr>
                <w:rFonts w:hint="eastAsia" w:ascii="宋体" w:hAnsi="宋体" w:cs="宋体"/>
              </w:rPr>
              <w:t xml:space="preserve">3 </w:t>
            </w:r>
          </w:p>
        </w:tc>
        <w:tc>
          <w:tcPr>
            <w:tcW w:w="929" w:type="pct"/>
          </w:tcPr>
          <w:p w14:paraId="020F8F8B">
            <w:pPr>
              <w:jc w:val="left"/>
              <w:rPr>
                <w:rFonts w:ascii="宋体" w:hAnsi="宋体" w:cs="宋体"/>
              </w:rPr>
            </w:pPr>
            <w:r>
              <w:rPr>
                <w:rFonts w:hint="eastAsia" w:ascii="宋体" w:hAnsi="宋体" w:cs="宋体"/>
              </w:rPr>
              <w:t>逆转：存货到投资性房地产</w:t>
            </w:r>
          </w:p>
        </w:tc>
        <w:tc>
          <w:tcPr>
            <w:tcW w:w="1717" w:type="pct"/>
          </w:tcPr>
          <w:p w14:paraId="6B9D01D1">
            <w:pPr>
              <w:jc w:val="left"/>
              <w:rPr>
                <w:rFonts w:ascii="宋体" w:hAnsi="宋体" w:cs="宋体"/>
              </w:rPr>
            </w:pPr>
            <w:r>
              <w:rPr>
                <w:rFonts w:hint="eastAsia" w:ascii="宋体" w:hAnsi="宋体" w:cs="宋体"/>
              </w:rPr>
              <w:t>借：投资性房地产</w:t>
            </w:r>
          </w:p>
          <w:p w14:paraId="0A943AD5">
            <w:pPr>
              <w:jc w:val="left"/>
              <w:rPr>
                <w:rFonts w:ascii="宋体" w:hAnsi="宋体" w:cs="宋体"/>
              </w:rPr>
            </w:pPr>
            <w:r>
              <w:rPr>
                <w:rFonts w:hint="eastAsia" w:ascii="宋体" w:hAnsi="宋体" w:cs="宋体"/>
              </w:rPr>
              <w:t>　　存货跌价准备</w:t>
            </w:r>
          </w:p>
          <w:p w14:paraId="1489FBEF">
            <w:pPr>
              <w:jc w:val="left"/>
              <w:rPr>
                <w:rFonts w:ascii="宋体" w:hAnsi="宋体" w:cs="宋体"/>
              </w:rPr>
            </w:pPr>
            <w:r>
              <w:rPr>
                <w:rFonts w:hint="eastAsia" w:ascii="宋体" w:hAnsi="宋体" w:cs="宋体"/>
              </w:rPr>
              <w:t>　　贷：开发产品</w:t>
            </w:r>
          </w:p>
        </w:tc>
        <w:tc>
          <w:tcPr>
            <w:tcW w:w="1856" w:type="pct"/>
          </w:tcPr>
          <w:p w14:paraId="48B3424F">
            <w:pPr>
              <w:jc w:val="left"/>
              <w:rPr>
                <w:rFonts w:ascii="宋体" w:hAnsi="宋体" w:cs="宋体"/>
              </w:rPr>
            </w:pPr>
            <w:r>
              <w:rPr>
                <w:rFonts w:hint="eastAsia" w:ascii="宋体" w:hAnsi="宋体" w:cs="宋体"/>
              </w:rPr>
              <w:t>借：投资性房地产——成本（公允价值）　</w:t>
            </w:r>
          </w:p>
          <w:p w14:paraId="6B2EDEC5">
            <w:pPr>
              <w:jc w:val="left"/>
              <w:rPr>
                <w:rFonts w:ascii="宋体" w:hAnsi="宋体" w:cs="宋体"/>
              </w:rPr>
            </w:pPr>
            <w:r>
              <w:rPr>
                <w:rFonts w:hint="eastAsia" w:ascii="宋体" w:hAnsi="宋体" w:cs="宋体"/>
              </w:rPr>
              <w:t xml:space="preserve">　　公允价值变动损益（亏） </w:t>
            </w:r>
          </w:p>
          <w:p w14:paraId="65F42F5D">
            <w:pPr>
              <w:jc w:val="left"/>
              <w:rPr>
                <w:rFonts w:ascii="宋体" w:hAnsi="宋体" w:cs="宋体"/>
              </w:rPr>
            </w:pPr>
            <w:r>
              <w:rPr>
                <w:rFonts w:hint="eastAsia" w:ascii="宋体" w:hAnsi="宋体" w:cs="宋体"/>
              </w:rPr>
              <w:t xml:space="preserve">　　存货跌价准备 </w:t>
            </w:r>
          </w:p>
          <w:p w14:paraId="03971BE7">
            <w:pPr>
              <w:jc w:val="left"/>
              <w:rPr>
                <w:rFonts w:ascii="宋体" w:hAnsi="宋体" w:cs="宋体"/>
              </w:rPr>
            </w:pPr>
            <w:r>
              <w:rPr>
                <w:rFonts w:hint="eastAsia" w:ascii="宋体" w:hAnsi="宋体" w:cs="宋体"/>
              </w:rPr>
              <w:t xml:space="preserve">　　贷：开发产品（账面余额） </w:t>
            </w:r>
          </w:p>
          <w:p w14:paraId="77298EEA">
            <w:pPr>
              <w:jc w:val="left"/>
              <w:rPr>
                <w:rFonts w:ascii="宋体" w:hAnsi="宋体" w:cs="宋体"/>
              </w:rPr>
            </w:pPr>
            <w:r>
              <w:rPr>
                <w:rFonts w:hint="eastAsia" w:ascii="宋体" w:hAnsi="宋体" w:cs="宋体"/>
              </w:rPr>
              <w:t xml:space="preserve">　　　　其他综合收益（公允价值大于账面价值的差额） </w:t>
            </w:r>
          </w:p>
        </w:tc>
      </w:tr>
      <w:tr w14:paraId="3A3FC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tcPr>
          <w:p w14:paraId="316995BB">
            <w:pPr>
              <w:jc w:val="center"/>
              <w:rPr>
                <w:rFonts w:ascii="宋体" w:hAnsi="宋体" w:cs="宋体"/>
              </w:rPr>
            </w:pPr>
            <w:r>
              <w:rPr>
                <w:rFonts w:hint="eastAsia" w:ascii="宋体" w:hAnsi="宋体" w:cs="宋体"/>
              </w:rPr>
              <w:t xml:space="preserve">4 </w:t>
            </w:r>
          </w:p>
        </w:tc>
        <w:tc>
          <w:tcPr>
            <w:tcW w:w="929" w:type="pct"/>
          </w:tcPr>
          <w:p w14:paraId="0C5B6AFC">
            <w:pPr>
              <w:jc w:val="left"/>
              <w:rPr>
                <w:rFonts w:ascii="宋体" w:hAnsi="宋体" w:cs="宋体"/>
              </w:rPr>
            </w:pPr>
            <w:r>
              <w:rPr>
                <w:rFonts w:hint="eastAsia" w:ascii="宋体" w:hAnsi="宋体" w:cs="宋体"/>
              </w:rPr>
              <w:t>逆转：固定资产到投资性房地产</w:t>
            </w:r>
          </w:p>
        </w:tc>
        <w:tc>
          <w:tcPr>
            <w:tcW w:w="1717" w:type="pct"/>
            <w:vMerge w:val="restart"/>
          </w:tcPr>
          <w:p w14:paraId="65E1318F">
            <w:pPr>
              <w:jc w:val="left"/>
              <w:rPr>
                <w:rFonts w:ascii="宋体" w:hAnsi="宋体" w:cs="宋体"/>
              </w:rPr>
            </w:pPr>
            <w:r>
              <w:rPr>
                <w:rFonts w:hint="eastAsia" w:ascii="宋体" w:hAnsi="宋体" w:cs="宋体"/>
              </w:rPr>
              <w:t>借：投资性房地产</w:t>
            </w:r>
          </w:p>
          <w:p w14:paraId="496BC7E4">
            <w:pPr>
              <w:jc w:val="left"/>
              <w:rPr>
                <w:rFonts w:ascii="宋体" w:hAnsi="宋体" w:cs="宋体"/>
              </w:rPr>
            </w:pPr>
            <w:r>
              <w:rPr>
                <w:rFonts w:hint="eastAsia" w:ascii="宋体" w:hAnsi="宋体" w:cs="宋体"/>
              </w:rPr>
              <w:t xml:space="preserve">　    累计折旧（摊销） </w:t>
            </w:r>
          </w:p>
          <w:p w14:paraId="24CBE064">
            <w:pPr>
              <w:jc w:val="left"/>
              <w:rPr>
                <w:rFonts w:ascii="宋体" w:hAnsi="宋体" w:cs="宋体"/>
              </w:rPr>
            </w:pPr>
            <w:r>
              <w:rPr>
                <w:rFonts w:hint="eastAsia" w:ascii="宋体" w:hAnsi="宋体" w:cs="宋体"/>
              </w:rPr>
              <w:t xml:space="preserve">　　固定资产（无形资产）减值准备 </w:t>
            </w:r>
          </w:p>
          <w:p w14:paraId="55FAEF8B">
            <w:pPr>
              <w:jc w:val="left"/>
              <w:rPr>
                <w:rFonts w:ascii="宋体" w:hAnsi="宋体" w:cs="宋体"/>
              </w:rPr>
            </w:pPr>
            <w:r>
              <w:rPr>
                <w:rFonts w:hint="eastAsia" w:ascii="宋体" w:hAnsi="宋体" w:cs="宋体"/>
              </w:rPr>
              <w:t>　　贷：固定资产、无形资产</w:t>
            </w:r>
          </w:p>
          <w:p w14:paraId="0C4AFBF1">
            <w:pPr>
              <w:jc w:val="left"/>
              <w:rPr>
                <w:rFonts w:ascii="宋体" w:hAnsi="宋体" w:cs="宋体"/>
              </w:rPr>
            </w:pPr>
            <w:r>
              <w:rPr>
                <w:rFonts w:hint="eastAsia" w:ascii="宋体" w:hAnsi="宋体" w:cs="宋体"/>
              </w:rPr>
              <w:t xml:space="preserve">（按转换时的账面余额计量） </w:t>
            </w:r>
          </w:p>
          <w:p w14:paraId="705D1654">
            <w:pPr>
              <w:jc w:val="left"/>
              <w:rPr>
                <w:rFonts w:ascii="宋体" w:hAnsi="宋体" w:cs="宋体"/>
              </w:rPr>
            </w:pPr>
            <w:r>
              <w:rPr>
                <w:rFonts w:hint="eastAsia" w:ascii="宋体" w:hAnsi="宋体" w:cs="宋体"/>
              </w:rPr>
              <w:t>　　　　投资性房地产累计折旧</w:t>
            </w:r>
          </w:p>
          <w:p w14:paraId="197E59C1">
            <w:pPr>
              <w:jc w:val="left"/>
              <w:rPr>
                <w:rFonts w:ascii="宋体" w:hAnsi="宋体" w:cs="宋体"/>
              </w:rPr>
            </w:pPr>
            <w:r>
              <w:rPr>
                <w:rFonts w:hint="eastAsia" w:ascii="宋体" w:hAnsi="宋体" w:cs="宋体"/>
              </w:rPr>
              <w:t xml:space="preserve">（摊销） </w:t>
            </w:r>
          </w:p>
          <w:p w14:paraId="4437AE92">
            <w:pPr>
              <w:jc w:val="left"/>
              <w:rPr>
                <w:rFonts w:ascii="宋体" w:hAnsi="宋体" w:cs="宋体"/>
              </w:rPr>
            </w:pPr>
            <w:r>
              <w:rPr>
                <w:rFonts w:hint="eastAsia" w:ascii="宋体" w:hAnsi="宋体" w:cs="宋体"/>
              </w:rPr>
              <w:t xml:space="preserve">　　　　投资性房地产减值准备 </w:t>
            </w:r>
          </w:p>
        </w:tc>
        <w:tc>
          <w:tcPr>
            <w:tcW w:w="1856" w:type="pct"/>
            <w:vMerge w:val="restart"/>
          </w:tcPr>
          <w:p w14:paraId="3C37DD05">
            <w:pPr>
              <w:jc w:val="left"/>
              <w:rPr>
                <w:rFonts w:ascii="宋体" w:hAnsi="宋体" w:cs="宋体"/>
              </w:rPr>
            </w:pPr>
            <w:r>
              <w:rPr>
                <w:rFonts w:hint="eastAsia" w:ascii="宋体" w:hAnsi="宋体" w:cs="宋体"/>
              </w:rPr>
              <w:t>借： 投资性房地产——成本</w:t>
            </w:r>
          </w:p>
          <w:p w14:paraId="2990D035">
            <w:pPr>
              <w:jc w:val="left"/>
              <w:rPr>
                <w:rFonts w:ascii="宋体" w:hAnsi="宋体" w:cs="宋体"/>
              </w:rPr>
            </w:pPr>
            <w:r>
              <w:rPr>
                <w:rFonts w:hint="eastAsia" w:ascii="宋体" w:hAnsi="宋体" w:cs="宋体"/>
              </w:rPr>
              <w:t xml:space="preserve">（公允价值计量） </w:t>
            </w:r>
          </w:p>
          <w:p w14:paraId="78F225BE">
            <w:pPr>
              <w:jc w:val="left"/>
              <w:rPr>
                <w:rFonts w:ascii="宋体" w:hAnsi="宋体" w:cs="宋体"/>
              </w:rPr>
            </w:pPr>
            <w:r>
              <w:rPr>
                <w:rFonts w:hint="eastAsia" w:ascii="宋体" w:hAnsi="宋体" w:cs="宋体"/>
              </w:rPr>
              <w:t xml:space="preserve">　　公允价值变动损益（亏） </w:t>
            </w:r>
          </w:p>
          <w:p w14:paraId="4D1EA789">
            <w:pPr>
              <w:jc w:val="left"/>
              <w:rPr>
                <w:rFonts w:ascii="宋体" w:hAnsi="宋体" w:cs="宋体"/>
              </w:rPr>
            </w:pPr>
            <w:r>
              <w:rPr>
                <w:rFonts w:hint="eastAsia" w:ascii="宋体" w:hAnsi="宋体" w:cs="宋体"/>
              </w:rPr>
              <w:t xml:space="preserve">　　累计折旧（摊销） </w:t>
            </w:r>
          </w:p>
          <w:p w14:paraId="20B389CE">
            <w:pPr>
              <w:jc w:val="left"/>
              <w:rPr>
                <w:rFonts w:ascii="宋体" w:hAnsi="宋体" w:cs="宋体"/>
              </w:rPr>
            </w:pPr>
            <w:r>
              <w:rPr>
                <w:rFonts w:hint="eastAsia" w:ascii="宋体" w:hAnsi="宋体" w:cs="宋体"/>
              </w:rPr>
              <w:t>　　固定资产（无形资产）减值准备</w:t>
            </w:r>
          </w:p>
          <w:p w14:paraId="601169FB">
            <w:pPr>
              <w:jc w:val="left"/>
              <w:rPr>
                <w:rFonts w:ascii="宋体" w:hAnsi="宋体" w:cs="宋体"/>
              </w:rPr>
            </w:pPr>
            <w:r>
              <w:rPr>
                <w:rFonts w:hint="eastAsia" w:ascii="宋体" w:hAnsi="宋体" w:cs="宋体"/>
              </w:rPr>
              <w:t>　　贷：固定资产、无形资产</w:t>
            </w:r>
          </w:p>
          <w:p w14:paraId="7589D26E">
            <w:pPr>
              <w:jc w:val="left"/>
              <w:rPr>
                <w:rFonts w:ascii="宋体" w:hAnsi="宋体" w:cs="宋体"/>
              </w:rPr>
            </w:pPr>
            <w:r>
              <w:rPr>
                <w:rFonts w:hint="eastAsia" w:ascii="宋体" w:hAnsi="宋体" w:cs="宋体"/>
              </w:rPr>
              <w:t xml:space="preserve">（账面价值） </w:t>
            </w:r>
          </w:p>
          <w:p w14:paraId="74D24A76">
            <w:pPr>
              <w:jc w:val="left"/>
              <w:rPr>
                <w:rFonts w:ascii="宋体" w:hAnsi="宋体" w:cs="宋体"/>
              </w:rPr>
            </w:pPr>
            <w:r>
              <w:rPr>
                <w:rFonts w:hint="eastAsia" w:ascii="宋体" w:hAnsi="宋体" w:cs="宋体"/>
              </w:rPr>
              <w:t xml:space="preserve">　　　　其他综合收益（赚） </w:t>
            </w:r>
          </w:p>
        </w:tc>
      </w:tr>
      <w:tr w14:paraId="15D46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tcPr>
          <w:p w14:paraId="335E6E09">
            <w:pPr>
              <w:jc w:val="center"/>
              <w:rPr>
                <w:rFonts w:ascii="宋体" w:hAnsi="宋体" w:cs="宋体"/>
              </w:rPr>
            </w:pPr>
            <w:r>
              <w:rPr>
                <w:rFonts w:hint="eastAsia" w:ascii="宋体" w:hAnsi="宋体" w:cs="宋体"/>
              </w:rPr>
              <w:t xml:space="preserve">5 </w:t>
            </w:r>
          </w:p>
        </w:tc>
        <w:tc>
          <w:tcPr>
            <w:tcW w:w="929" w:type="pct"/>
          </w:tcPr>
          <w:p w14:paraId="1CF5BC04">
            <w:pPr>
              <w:jc w:val="left"/>
              <w:rPr>
                <w:rFonts w:ascii="宋体" w:hAnsi="宋体" w:cs="宋体"/>
              </w:rPr>
            </w:pPr>
            <w:r>
              <w:rPr>
                <w:rFonts w:hint="eastAsia" w:ascii="宋体" w:hAnsi="宋体" w:cs="宋体"/>
              </w:rPr>
              <w:t>无形资产到投资性房地产</w:t>
            </w:r>
          </w:p>
        </w:tc>
        <w:tc>
          <w:tcPr>
            <w:tcW w:w="1717" w:type="pct"/>
            <w:vMerge w:val="continue"/>
          </w:tcPr>
          <w:p w14:paraId="0D301174">
            <w:pPr>
              <w:jc w:val="left"/>
              <w:rPr>
                <w:rFonts w:ascii="宋体" w:hAnsi="宋体" w:cs="宋体"/>
              </w:rPr>
            </w:pPr>
          </w:p>
        </w:tc>
        <w:tc>
          <w:tcPr>
            <w:tcW w:w="1856" w:type="pct"/>
            <w:vMerge w:val="continue"/>
          </w:tcPr>
          <w:p w14:paraId="2C1F7D8F">
            <w:pPr>
              <w:jc w:val="left"/>
              <w:rPr>
                <w:rFonts w:ascii="宋体" w:hAnsi="宋体" w:cs="宋体"/>
              </w:rPr>
            </w:pPr>
          </w:p>
        </w:tc>
      </w:tr>
    </w:tbl>
    <w:p w14:paraId="5CEC818B">
      <w:pPr>
        <w:jc w:val="left"/>
      </w:pPr>
    </w:p>
    <w:p w14:paraId="13B8B3ED">
      <w:pPr>
        <w:overflowPunct w:val="0"/>
        <w:jc w:val="center"/>
        <w:rPr>
          <w:rFonts w:hint="eastAsia" w:ascii="宋体" w:hAnsi="宋体" w:cs="宋体"/>
          <w:b/>
          <w:bCs/>
        </w:rPr>
      </w:pPr>
      <w:r>
        <w:rPr>
          <w:rFonts w:hint="eastAsia" w:ascii="宋体" w:hAnsi="宋体" w:cs="宋体"/>
          <w:b/>
          <w:bCs/>
        </w:rPr>
        <w:t>第六章  长期股权投资和合营安排</w:t>
      </w:r>
    </w:p>
    <w:p w14:paraId="145EF65A">
      <w:pPr>
        <w:jc w:val="left"/>
        <w:rPr>
          <w:rFonts w:ascii="宋体" w:hAnsi="宋体" w:cs="宋体"/>
        </w:rPr>
      </w:pPr>
      <w:r>
        <w:rPr>
          <w:rFonts w:hint="eastAsia" w:ascii="宋体" w:hAnsi="宋体" w:cs="宋体"/>
        </w:rPr>
        <w:t>本章考核主观题和客观题，一般为5～15分。</w:t>
      </w:r>
    </w:p>
    <w:p w14:paraId="4F4100C6">
      <w:pPr>
        <w:jc w:val="left"/>
        <w:rPr>
          <w:rFonts w:hint="eastAsia" w:ascii="宋体" w:hAnsi="宋体" w:cs="宋体"/>
        </w:rPr>
      </w:pPr>
      <w:r>
        <w:rPr>
          <w:rFonts w:hint="eastAsia" w:ascii="宋体" w:hAnsi="宋体" w:cs="宋体"/>
        </w:rPr>
        <w:t>【考点】★★★长期股权投资的初始计量</w:t>
      </w:r>
    </w:p>
    <w:tbl>
      <w:tblPr>
        <w:tblStyle w:val="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78"/>
        <w:gridCol w:w="3379"/>
        <w:gridCol w:w="3379"/>
      </w:tblGrid>
      <w:tr w14:paraId="2F4C8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14:paraId="41F86120">
            <w:pPr>
              <w:jc w:val="center"/>
              <w:rPr>
                <w:rFonts w:ascii="宋体" w:hAnsi="宋体" w:cs="宋体"/>
              </w:rPr>
            </w:pPr>
            <w:r>
              <w:rPr>
                <w:rFonts w:hint="eastAsia" w:ascii="宋体" w:hAnsi="宋体" w:cs="宋体"/>
              </w:rPr>
              <w:t>事项</w:t>
            </w:r>
          </w:p>
        </w:tc>
        <w:tc>
          <w:tcPr>
            <w:tcW w:w="1666" w:type="pct"/>
          </w:tcPr>
          <w:p w14:paraId="7C80FF11">
            <w:pPr>
              <w:jc w:val="left"/>
              <w:rPr>
                <w:rFonts w:ascii="宋体" w:hAnsi="宋体" w:cs="宋体"/>
              </w:rPr>
            </w:pPr>
            <w:r>
              <w:rPr>
                <w:rFonts w:hint="eastAsia" w:ascii="宋体" w:hAnsi="宋体" w:cs="宋体"/>
              </w:rPr>
              <w:t>同一控制下（看对方账面）</w:t>
            </w:r>
          </w:p>
        </w:tc>
        <w:tc>
          <w:tcPr>
            <w:tcW w:w="1666" w:type="pct"/>
          </w:tcPr>
          <w:p w14:paraId="53A2C4BF">
            <w:pPr>
              <w:jc w:val="left"/>
              <w:rPr>
                <w:rFonts w:ascii="宋体" w:hAnsi="宋体" w:cs="宋体"/>
              </w:rPr>
            </w:pPr>
            <w:r>
              <w:rPr>
                <w:rFonts w:hint="eastAsia" w:ascii="宋体" w:hAnsi="宋体" w:cs="宋体"/>
              </w:rPr>
              <w:t>非同一控制下（自己的公允）</w:t>
            </w:r>
          </w:p>
        </w:tc>
      </w:tr>
      <w:tr w14:paraId="235A1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14:paraId="7D81A776">
            <w:pPr>
              <w:jc w:val="center"/>
              <w:rPr>
                <w:rFonts w:ascii="宋体" w:hAnsi="宋体" w:cs="宋体"/>
              </w:rPr>
            </w:pPr>
            <w:r>
              <w:rPr>
                <w:rFonts w:hint="eastAsia" w:ascii="宋体" w:hAnsi="宋体" w:cs="宋体"/>
              </w:rPr>
              <w:t>初始计量</w:t>
            </w:r>
          </w:p>
        </w:tc>
        <w:tc>
          <w:tcPr>
            <w:tcW w:w="1666" w:type="pct"/>
          </w:tcPr>
          <w:p w14:paraId="3B600E96">
            <w:pPr>
              <w:jc w:val="left"/>
              <w:rPr>
                <w:rFonts w:ascii="宋体" w:hAnsi="宋体" w:cs="宋体"/>
              </w:rPr>
            </w:pPr>
            <w:r>
              <w:rPr>
                <w:rFonts w:hint="eastAsia" w:ascii="宋体" w:hAnsi="宋体" w:cs="宋体"/>
              </w:rPr>
              <w:t>按照享有被合并方在最终控制方合并财务报表中的净资产的账面价值份额，确认长期股权投资</w:t>
            </w:r>
          </w:p>
        </w:tc>
        <w:tc>
          <w:tcPr>
            <w:tcW w:w="1666" w:type="pct"/>
          </w:tcPr>
          <w:p w14:paraId="6FFE601E">
            <w:pPr>
              <w:jc w:val="left"/>
              <w:rPr>
                <w:rFonts w:ascii="宋体" w:hAnsi="宋体" w:cs="宋体"/>
              </w:rPr>
            </w:pPr>
            <w:r>
              <w:rPr>
                <w:rFonts w:hint="eastAsia" w:ascii="宋体" w:hAnsi="宋体" w:cs="宋体"/>
              </w:rPr>
              <w:t xml:space="preserve">按付出资产的公允价值（合并成本）确认长期股权投资 </w:t>
            </w:r>
          </w:p>
          <w:p w14:paraId="32FA3E18">
            <w:pPr>
              <w:jc w:val="left"/>
              <w:rPr>
                <w:rFonts w:ascii="宋体" w:hAnsi="宋体" w:cs="宋体"/>
              </w:rPr>
            </w:pPr>
            <w:r>
              <w:rPr>
                <w:rFonts w:hint="eastAsia" w:ascii="宋体" w:hAnsi="宋体" w:cs="宋体"/>
              </w:rPr>
              <w:t>看自己公允（出了多少钱）</w:t>
            </w:r>
          </w:p>
        </w:tc>
      </w:tr>
      <w:tr w14:paraId="16ECF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14:paraId="7A71B726">
            <w:pPr>
              <w:jc w:val="center"/>
              <w:rPr>
                <w:rFonts w:ascii="宋体" w:hAnsi="宋体" w:cs="宋体"/>
              </w:rPr>
            </w:pPr>
            <w:r>
              <w:rPr>
                <w:rFonts w:hint="eastAsia" w:ascii="宋体" w:hAnsi="宋体" w:cs="宋体"/>
              </w:rPr>
              <w:t>支付对价的差额</w:t>
            </w:r>
          </w:p>
        </w:tc>
        <w:tc>
          <w:tcPr>
            <w:tcW w:w="1666" w:type="pct"/>
          </w:tcPr>
          <w:p w14:paraId="022488EF">
            <w:pPr>
              <w:jc w:val="left"/>
              <w:rPr>
                <w:rFonts w:ascii="宋体" w:hAnsi="宋体" w:cs="宋体"/>
              </w:rPr>
            </w:pPr>
            <w:r>
              <w:rPr>
                <w:rFonts w:hint="eastAsia" w:ascii="宋体" w:hAnsi="宋体" w:cs="宋体"/>
              </w:rPr>
              <w:t xml:space="preserve">支付对价的账面价值与长期股权投资的差额计入资本公积、留存收益等 </w:t>
            </w:r>
          </w:p>
        </w:tc>
        <w:tc>
          <w:tcPr>
            <w:tcW w:w="1666" w:type="pct"/>
          </w:tcPr>
          <w:p w14:paraId="68F39028">
            <w:pPr>
              <w:jc w:val="left"/>
              <w:rPr>
                <w:rFonts w:ascii="宋体" w:hAnsi="宋体" w:cs="宋体"/>
              </w:rPr>
            </w:pPr>
            <w:r>
              <w:rPr>
                <w:rFonts w:hint="eastAsia" w:ascii="宋体" w:hAnsi="宋体" w:cs="宋体"/>
              </w:rPr>
              <w:t>付出资产公允价值与账面价值的差额计入损益</w:t>
            </w:r>
          </w:p>
        </w:tc>
      </w:tr>
    </w:tbl>
    <w:p w14:paraId="11075697">
      <w:pPr>
        <w:jc w:val="left"/>
        <w:rPr>
          <w:rFonts w:hint="eastAsia" w:ascii="宋体" w:hAnsi="宋体" w:cs="宋体"/>
        </w:rPr>
      </w:pP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35"/>
        <w:gridCol w:w="5503"/>
      </w:tblGrid>
      <w:tr w14:paraId="57155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86" w:type="pct"/>
          </w:tcPr>
          <w:p w14:paraId="3E070FF3">
            <w:pPr>
              <w:jc w:val="left"/>
              <w:rPr>
                <w:rFonts w:ascii="宋体" w:hAnsi="宋体" w:cs="宋体"/>
              </w:rPr>
            </w:pPr>
            <w:r>
              <w:rPr>
                <w:rFonts w:hint="eastAsia" w:ascii="宋体" w:hAnsi="宋体" w:cs="宋体"/>
              </w:rPr>
              <w:t>发生的审计、法律服务、评估咨询等中介费用</w:t>
            </w:r>
          </w:p>
        </w:tc>
        <w:tc>
          <w:tcPr>
            <w:tcW w:w="2714" w:type="pct"/>
          </w:tcPr>
          <w:p w14:paraId="3B0ACF5F">
            <w:pPr>
              <w:jc w:val="left"/>
              <w:rPr>
                <w:rFonts w:ascii="宋体" w:hAnsi="宋体" w:cs="宋体"/>
              </w:rPr>
            </w:pPr>
            <w:r>
              <w:rPr>
                <w:rFonts w:hint="eastAsia" w:ascii="宋体" w:hAnsi="宋体" w:cs="宋体"/>
              </w:rPr>
              <w:t>应当于发生时计入当期损益（管理费用）</w:t>
            </w:r>
          </w:p>
        </w:tc>
      </w:tr>
      <w:tr w14:paraId="3C51D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6" w:type="pct"/>
          </w:tcPr>
          <w:p w14:paraId="317BCE57">
            <w:pPr>
              <w:jc w:val="left"/>
              <w:rPr>
                <w:rFonts w:ascii="宋体" w:hAnsi="宋体" w:cs="宋体"/>
              </w:rPr>
            </w:pPr>
            <w:r>
              <w:rPr>
                <w:rFonts w:hint="eastAsia" w:ascii="宋体" w:hAnsi="宋体" w:cs="宋体"/>
              </w:rPr>
              <w:t>购买方作为合并对价发行的权益性证券或债务性证券的交易费用</w:t>
            </w:r>
          </w:p>
        </w:tc>
        <w:tc>
          <w:tcPr>
            <w:tcW w:w="2714" w:type="pct"/>
          </w:tcPr>
          <w:p w14:paraId="162A67EB">
            <w:pPr>
              <w:jc w:val="left"/>
              <w:rPr>
                <w:rFonts w:ascii="宋体" w:hAnsi="宋体" w:cs="宋体"/>
              </w:rPr>
            </w:pPr>
            <w:r>
              <w:rPr>
                <w:rFonts w:hint="eastAsia" w:ascii="宋体" w:hAnsi="宋体" w:cs="宋体"/>
              </w:rPr>
              <w:t xml:space="preserve">1.股票发行手续费 </w:t>
            </w:r>
          </w:p>
          <w:p w14:paraId="7937E6C1">
            <w:pPr>
              <w:jc w:val="left"/>
              <w:rPr>
                <w:rFonts w:ascii="宋体" w:hAnsi="宋体" w:cs="宋体"/>
              </w:rPr>
            </w:pPr>
            <w:r>
              <w:rPr>
                <w:rFonts w:hint="eastAsia" w:ascii="宋体" w:hAnsi="宋体" w:cs="宋体"/>
              </w:rPr>
              <w:t xml:space="preserve">借：资本公积——股本溢价 </w:t>
            </w:r>
          </w:p>
          <w:p w14:paraId="143D4966">
            <w:pPr>
              <w:jc w:val="left"/>
              <w:rPr>
                <w:rFonts w:ascii="宋体" w:hAnsi="宋体" w:cs="宋体"/>
              </w:rPr>
            </w:pPr>
            <w:r>
              <w:rPr>
                <w:rFonts w:hint="eastAsia" w:ascii="宋体" w:hAnsi="宋体" w:cs="宋体"/>
              </w:rPr>
              <w:t xml:space="preserve">　　盈余公积（上一科目余额不足冲减时） </w:t>
            </w:r>
          </w:p>
          <w:p w14:paraId="5615C443">
            <w:pPr>
              <w:jc w:val="left"/>
              <w:rPr>
                <w:rFonts w:ascii="宋体" w:hAnsi="宋体" w:cs="宋体"/>
              </w:rPr>
            </w:pPr>
            <w:r>
              <w:rPr>
                <w:rFonts w:hint="eastAsia" w:ascii="宋体" w:hAnsi="宋体" w:cs="宋体"/>
              </w:rPr>
              <w:t xml:space="preserve">　　利润分配——未分配利润（上一科目余额不足冲减时） </w:t>
            </w:r>
          </w:p>
          <w:p w14:paraId="3B084A9E">
            <w:pPr>
              <w:jc w:val="left"/>
              <w:rPr>
                <w:rFonts w:ascii="宋体" w:hAnsi="宋体" w:cs="宋体"/>
              </w:rPr>
            </w:pPr>
            <w:r>
              <w:rPr>
                <w:rFonts w:hint="eastAsia" w:ascii="宋体" w:hAnsi="宋体" w:cs="宋体"/>
              </w:rPr>
              <w:t xml:space="preserve">　　贷：银行存款等 </w:t>
            </w:r>
          </w:p>
          <w:p w14:paraId="64FFB7C6">
            <w:pPr>
              <w:jc w:val="left"/>
              <w:rPr>
                <w:rFonts w:ascii="宋体" w:hAnsi="宋体" w:cs="宋体"/>
              </w:rPr>
            </w:pPr>
            <w:r>
              <w:rPr>
                <w:rFonts w:hint="eastAsia" w:ascii="宋体" w:hAnsi="宋体" w:cs="宋体"/>
              </w:rPr>
              <w:t>2.债券发行手续费</w:t>
            </w:r>
          </w:p>
          <w:p w14:paraId="78B20572">
            <w:pPr>
              <w:jc w:val="left"/>
              <w:rPr>
                <w:rFonts w:ascii="宋体" w:hAnsi="宋体" w:cs="宋体"/>
              </w:rPr>
            </w:pPr>
            <w:r>
              <w:rPr>
                <w:rFonts w:hint="eastAsia" w:ascii="宋体" w:hAnsi="宋体" w:cs="宋体"/>
              </w:rPr>
              <w:t xml:space="preserve">借：应付债券——利息调整　 </w:t>
            </w:r>
          </w:p>
          <w:p w14:paraId="55E17866">
            <w:pPr>
              <w:jc w:val="left"/>
              <w:rPr>
                <w:rFonts w:ascii="宋体" w:hAnsi="宋体" w:cs="宋体"/>
              </w:rPr>
            </w:pPr>
            <w:r>
              <w:rPr>
                <w:rFonts w:hint="eastAsia" w:ascii="宋体" w:hAnsi="宋体" w:cs="宋体"/>
              </w:rPr>
              <w:t xml:space="preserve">　　贷：银行存款　 </w:t>
            </w:r>
          </w:p>
        </w:tc>
      </w:tr>
    </w:tbl>
    <w:p w14:paraId="62B3A028">
      <w:pPr>
        <w:jc w:val="left"/>
        <w:rPr>
          <w:rFonts w:hint="eastAsia" w:ascii="宋体" w:hAnsi="宋体" w:cs="宋体"/>
        </w:rPr>
      </w:pPr>
      <w:r>
        <w:rPr>
          <w:rFonts w:hint="eastAsia" w:ascii="宋体" w:hAnsi="宋体" w:cs="宋体"/>
        </w:rPr>
        <w:t>除企业合并外（持有50％或以下股份）以其他方式取得的长期股权投资的初始投资成本</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0"/>
        <w:gridCol w:w="8258"/>
      </w:tblGrid>
      <w:tr w14:paraId="5AAC5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pct"/>
          </w:tcPr>
          <w:p w14:paraId="10C6AF6D">
            <w:pPr>
              <w:jc w:val="left"/>
              <w:rPr>
                <w:rFonts w:ascii="宋体" w:hAnsi="宋体" w:cs="宋体"/>
              </w:rPr>
            </w:pPr>
            <w:r>
              <w:rPr>
                <w:rFonts w:hint="eastAsia" w:ascii="宋体" w:hAnsi="宋体" w:cs="宋体"/>
              </w:rPr>
              <w:t>购买</w:t>
            </w:r>
          </w:p>
        </w:tc>
        <w:tc>
          <w:tcPr>
            <w:tcW w:w="4073" w:type="pct"/>
          </w:tcPr>
          <w:p w14:paraId="79985C36">
            <w:pPr>
              <w:jc w:val="left"/>
              <w:rPr>
                <w:rFonts w:ascii="宋体" w:hAnsi="宋体" w:cs="宋体"/>
              </w:rPr>
            </w:pPr>
            <w:r>
              <w:rPr>
                <w:rFonts w:hint="eastAsia" w:ascii="宋体" w:hAnsi="宋体" w:cs="宋体"/>
              </w:rPr>
              <w:t>买价＋费用－应收股利</w:t>
            </w:r>
          </w:p>
        </w:tc>
      </w:tr>
      <w:tr w14:paraId="10426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pct"/>
          </w:tcPr>
          <w:p w14:paraId="2886FC6E">
            <w:pPr>
              <w:jc w:val="left"/>
              <w:rPr>
                <w:rFonts w:ascii="宋体" w:hAnsi="宋体" w:cs="宋体"/>
              </w:rPr>
            </w:pPr>
            <w:r>
              <w:rPr>
                <w:rFonts w:hint="eastAsia" w:ascii="宋体" w:hAnsi="宋体" w:cs="宋体"/>
              </w:rPr>
              <w:t>中介费用</w:t>
            </w:r>
          </w:p>
        </w:tc>
        <w:tc>
          <w:tcPr>
            <w:tcW w:w="4073" w:type="pct"/>
          </w:tcPr>
          <w:p w14:paraId="605246C0">
            <w:pPr>
              <w:jc w:val="left"/>
              <w:rPr>
                <w:rFonts w:ascii="宋体" w:hAnsi="宋体" w:cs="宋体"/>
              </w:rPr>
            </w:pPr>
            <w:r>
              <w:rPr>
                <w:rFonts w:hint="eastAsia" w:ascii="宋体" w:hAnsi="宋体" w:cs="宋体"/>
              </w:rPr>
              <w:t>计入初始成本</w:t>
            </w:r>
          </w:p>
          <w:p w14:paraId="09EC5DA8">
            <w:pPr>
              <w:jc w:val="left"/>
              <w:rPr>
                <w:rFonts w:ascii="宋体" w:hAnsi="宋体" w:cs="宋体"/>
              </w:rPr>
            </w:pPr>
            <w:r>
              <w:rPr>
                <w:rFonts w:hint="eastAsia" w:ascii="宋体" w:hAnsi="宋体" w:cs="宋体"/>
              </w:rPr>
              <w:t>【注意】</w:t>
            </w:r>
          </w:p>
          <w:p w14:paraId="4A1525A9">
            <w:pPr>
              <w:jc w:val="left"/>
              <w:rPr>
                <w:rFonts w:ascii="宋体" w:hAnsi="宋体" w:cs="宋体"/>
              </w:rPr>
            </w:pPr>
            <w:r>
              <w:rPr>
                <w:rFonts w:hint="eastAsia" w:ascii="宋体" w:hAnsi="宋体" w:cs="宋体"/>
              </w:rPr>
              <w:t>（1）交易性金融资产的交易费用（双交）计入投资收益（借方）；</w:t>
            </w:r>
          </w:p>
          <w:p w14:paraId="26CE349D">
            <w:pPr>
              <w:jc w:val="left"/>
              <w:rPr>
                <w:rFonts w:ascii="宋体" w:hAnsi="宋体" w:cs="宋体"/>
              </w:rPr>
            </w:pPr>
            <w:r>
              <w:rPr>
                <w:rFonts w:hint="eastAsia" w:ascii="宋体" w:hAnsi="宋体" w:cs="宋体"/>
              </w:rPr>
              <w:t>（2）债权投资、其他债权投资、其他权益工具投资的交易费用计入成本。</w:t>
            </w:r>
          </w:p>
        </w:tc>
      </w:tr>
      <w:tr w14:paraId="77132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pct"/>
          </w:tcPr>
          <w:p w14:paraId="24739C84">
            <w:pPr>
              <w:jc w:val="left"/>
              <w:rPr>
                <w:rFonts w:ascii="宋体" w:hAnsi="宋体" w:cs="宋体"/>
              </w:rPr>
            </w:pPr>
            <w:r>
              <w:rPr>
                <w:rFonts w:hint="eastAsia" w:ascii="宋体" w:hAnsi="宋体" w:cs="宋体"/>
              </w:rPr>
              <w:t>发行权益性证券</w:t>
            </w:r>
          </w:p>
        </w:tc>
        <w:tc>
          <w:tcPr>
            <w:tcW w:w="4073" w:type="pct"/>
          </w:tcPr>
          <w:p w14:paraId="47462FAA">
            <w:pPr>
              <w:jc w:val="left"/>
              <w:rPr>
                <w:rFonts w:ascii="宋体" w:hAnsi="宋体" w:cs="宋体"/>
              </w:rPr>
            </w:pPr>
            <w:r>
              <w:rPr>
                <w:rFonts w:hint="eastAsia" w:ascii="宋体" w:hAnsi="宋体" w:cs="宋体"/>
              </w:rPr>
              <w:t>按照发行权益性证券的公允价值作为初始投资成本；发行的手续费、佣金等，冲减资本公积的溢价发行收入，溢价收入不足冲减的，依次冲减盈余公积和未分配利润。</w:t>
            </w:r>
          </w:p>
        </w:tc>
      </w:tr>
    </w:tbl>
    <w:p w14:paraId="5C951FD1">
      <w:pPr>
        <w:jc w:val="left"/>
        <w:rPr>
          <w:rFonts w:ascii="宋体" w:hAnsi="宋体" w:cs="宋体"/>
          <w:color w:val="FF0000"/>
        </w:rPr>
      </w:pPr>
      <w:r>
        <w:rPr>
          <w:rFonts w:hint="eastAsia" w:ascii="宋体" w:hAnsi="宋体" w:cs="宋体"/>
          <w:color w:val="FF0000"/>
        </w:rPr>
        <w:t>【考点】★★★成本法与权益法账务处理的比较</w:t>
      </w:r>
    </w:p>
    <w:p w14:paraId="0A5747AE">
      <w:pPr>
        <w:jc w:val="left"/>
        <w:rPr>
          <w:rFonts w:hint="eastAsia" w:ascii="宋体" w:hAnsi="宋体" w:cs="宋体"/>
        </w:rPr>
      </w:pPr>
      <w:r>
        <w:rPr>
          <w:rFonts w:hint="eastAsia" w:ascii="宋体" w:hAnsi="宋体" w:cs="宋体"/>
        </w:rPr>
        <w:t>假设：权益法下被投资单位可辨认净资产的账面价值与公允价值一致。</w:t>
      </w:r>
    </w:p>
    <w:tbl>
      <w:tblPr>
        <w:tblStyle w:val="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1164"/>
        <w:gridCol w:w="2175"/>
        <w:gridCol w:w="2173"/>
        <w:gridCol w:w="3760"/>
      </w:tblGrid>
      <w:tr w14:paraId="0CEAD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tcPr>
          <w:p w14:paraId="3384BEE5">
            <w:pPr>
              <w:jc w:val="left"/>
              <w:rPr>
                <w:rFonts w:ascii="宋体" w:hAnsi="宋体" w:cs="宋体"/>
              </w:rPr>
            </w:pPr>
            <w:r>
              <w:rPr>
                <w:rFonts w:hint="eastAsia" w:ascii="宋体" w:hAnsi="宋体" w:cs="宋体"/>
              </w:rPr>
              <w:t>序号</w:t>
            </w:r>
          </w:p>
        </w:tc>
        <w:tc>
          <w:tcPr>
            <w:tcW w:w="574" w:type="pct"/>
          </w:tcPr>
          <w:p w14:paraId="18B6B3C4">
            <w:pPr>
              <w:jc w:val="left"/>
              <w:rPr>
                <w:rFonts w:ascii="宋体" w:hAnsi="宋体" w:cs="宋体"/>
              </w:rPr>
            </w:pPr>
            <w:r>
              <w:rPr>
                <w:rFonts w:hint="eastAsia" w:ascii="宋体" w:hAnsi="宋体" w:cs="宋体"/>
              </w:rPr>
              <w:t>事项</w:t>
            </w:r>
          </w:p>
        </w:tc>
        <w:tc>
          <w:tcPr>
            <w:tcW w:w="1073" w:type="pct"/>
          </w:tcPr>
          <w:p w14:paraId="2004F9C3">
            <w:pPr>
              <w:jc w:val="left"/>
              <w:rPr>
                <w:rFonts w:ascii="宋体" w:hAnsi="宋体" w:cs="宋体"/>
              </w:rPr>
            </w:pPr>
            <w:r>
              <w:rPr>
                <w:rFonts w:hint="eastAsia" w:ascii="宋体" w:hAnsi="宋体" w:cs="宋体"/>
              </w:rPr>
              <w:t>成本法</w:t>
            </w:r>
          </w:p>
        </w:tc>
        <w:tc>
          <w:tcPr>
            <w:tcW w:w="2926" w:type="pct"/>
            <w:gridSpan w:val="2"/>
          </w:tcPr>
          <w:p w14:paraId="34220A90">
            <w:pPr>
              <w:jc w:val="left"/>
              <w:rPr>
                <w:rFonts w:ascii="宋体" w:hAnsi="宋体" w:cs="宋体"/>
              </w:rPr>
            </w:pPr>
            <w:r>
              <w:rPr>
                <w:rFonts w:hint="eastAsia" w:ascii="宋体" w:hAnsi="宋体" w:cs="宋体"/>
              </w:rPr>
              <w:t>权益法</w:t>
            </w:r>
          </w:p>
        </w:tc>
      </w:tr>
      <w:tr w14:paraId="1C70B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restart"/>
          </w:tcPr>
          <w:p w14:paraId="4B7F9ED5">
            <w:pPr>
              <w:jc w:val="center"/>
              <w:rPr>
                <w:rFonts w:ascii="宋体" w:hAnsi="宋体" w:cs="宋体"/>
              </w:rPr>
            </w:pPr>
            <w:r>
              <w:rPr>
                <w:rFonts w:hint="eastAsia" w:ascii="宋体" w:hAnsi="宋体" w:cs="宋体"/>
              </w:rPr>
              <w:t>1</w:t>
            </w:r>
          </w:p>
        </w:tc>
        <w:tc>
          <w:tcPr>
            <w:tcW w:w="574" w:type="pct"/>
            <w:vMerge w:val="restart"/>
          </w:tcPr>
          <w:p w14:paraId="6665E819">
            <w:pPr>
              <w:jc w:val="center"/>
              <w:rPr>
                <w:rFonts w:ascii="宋体" w:hAnsi="宋体" w:cs="宋体"/>
              </w:rPr>
            </w:pPr>
            <w:r>
              <w:rPr>
                <w:rFonts w:hint="eastAsia" w:ascii="宋体" w:hAnsi="宋体" w:cs="宋体"/>
              </w:rPr>
              <w:t>投资时</w:t>
            </w:r>
          </w:p>
        </w:tc>
        <w:tc>
          <w:tcPr>
            <w:tcW w:w="1073" w:type="pct"/>
            <w:vMerge w:val="restart"/>
          </w:tcPr>
          <w:p w14:paraId="20E492FA">
            <w:pPr>
              <w:jc w:val="left"/>
              <w:rPr>
                <w:rFonts w:ascii="宋体" w:hAnsi="宋体" w:cs="宋体"/>
              </w:rPr>
            </w:pPr>
            <w:r>
              <w:rPr>
                <w:rFonts w:hint="eastAsia" w:ascii="宋体" w:hAnsi="宋体" w:cs="宋体"/>
              </w:rPr>
              <w:t>借：长期股权投资</w:t>
            </w:r>
          </w:p>
          <w:p w14:paraId="5D094B7E">
            <w:pPr>
              <w:jc w:val="left"/>
              <w:rPr>
                <w:rFonts w:ascii="宋体" w:hAnsi="宋体" w:cs="宋体"/>
              </w:rPr>
            </w:pPr>
            <w:r>
              <w:rPr>
                <w:rFonts w:hint="eastAsia" w:ascii="宋体" w:hAnsi="宋体" w:cs="宋体"/>
              </w:rPr>
              <w:t>　　贷：银行存款</w:t>
            </w:r>
          </w:p>
        </w:tc>
        <w:tc>
          <w:tcPr>
            <w:tcW w:w="1072" w:type="pct"/>
          </w:tcPr>
          <w:p w14:paraId="082DE251">
            <w:pPr>
              <w:jc w:val="left"/>
              <w:rPr>
                <w:rFonts w:ascii="宋体" w:hAnsi="宋体" w:cs="宋体"/>
              </w:rPr>
            </w:pPr>
            <w:r>
              <w:rPr>
                <w:rFonts w:hint="eastAsia" w:ascii="宋体" w:hAnsi="宋体" w:cs="宋体"/>
              </w:rPr>
              <w:t>投资额＞所占份额</w:t>
            </w:r>
          </w:p>
          <w:p w14:paraId="43B94A6E">
            <w:pPr>
              <w:jc w:val="left"/>
              <w:rPr>
                <w:rFonts w:ascii="宋体" w:hAnsi="宋体" w:cs="宋体"/>
              </w:rPr>
            </w:pPr>
            <w:r>
              <w:rPr>
                <w:rFonts w:hint="eastAsia" w:ascii="宋体" w:hAnsi="宋体" w:cs="宋体"/>
              </w:rPr>
              <w:t xml:space="preserve">（两者孰高计入 </w:t>
            </w:r>
          </w:p>
          <w:p w14:paraId="50612E41">
            <w:pPr>
              <w:jc w:val="left"/>
              <w:rPr>
                <w:rFonts w:ascii="宋体" w:hAnsi="宋体" w:cs="宋体"/>
              </w:rPr>
            </w:pPr>
            <w:r>
              <w:rPr>
                <w:rFonts w:hint="eastAsia" w:ascii="宋体" w:hAnsi="宋体" w:cs="宋体"/>
              </w:rPr>
              <w:t xml:space="preserve">成本） </w:t>
            </w:r>
          </w:p>
        </w:tc>
        <w:tc>
          <w:tcPr>
            <w:tcW w:w="1854" w:type="pct"/>
          </w:tcPr>
          <w:p w14:paraId="7B4B535C">
            <w:pPr>
              <w:jc w:val="left"/>
              <w:rPr>
                <w:rFonts w:ascii="宋体" w:hAnsi="宋体" w:cs="宋体"/>
              </w:rPr>
            </w:pPr>
            <w:r>
              <w:rPr>
                <w:rFonts w:hint="eastAsia" w:ascii="宋体" w:hAnsi="宋体" w:cs="宋体"/>
              </w:rPr>
              <w:t>借：长期股权投资——投资成本（投资额） 　　</w:t>
            </w:r>
          </w:p>
          <w:p w14:paraId="5199CA5C">
            <w:pPr>
              <w:jc w:val="left"/>
              <w:rPr>
                <w:rFonts w:ascii="宋体" w:hAnsi="宋体" w:cs="宋体"/>
              </w:rPr>
            </w:pPr>
            <w:r>
              <w:rPr>
                <w:rFonts w:hint="eastAsia" w:ascii="宋体" w:hAnsi="宋体" w:cs="宋体"/>
              </w:rPr>
              <w:t>　　贷：银行存款</w:t>
            </w:r>
          </w:p>
        </w:tc>
      </w:tr>
      <w:tr w14:paraId="2F5DE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tcPr>
          <w:p w14:paraId="77807686">
            <w:pPr>
              <w:jc w:val="left"/>
              <w:rPr>
                <w:rFonts w:ascii="宋体" w:hAnsi="宋体" w:cs="宋体"/>
              </w:rPr>
            </w:pPr>
          </w:p>
        </w:tc>
        <w:tc>
          <w:tcPr>
            <w:tcW w:w="574" w:type="pct"/>
            <w:vMerge w:val="continue"/>
          </w:tcPr>
          <w:p w14:paraId="22F2D862">
            <w:pPr>
              <w:jc w:val="left"/>
              <w:rPr>
                <w:rFonts w:ascii="宋体" w:hAnsi="宋体" w:cs="宋体"/>
              </w:rPr>
            </w:pPr>
          </w:p>
        </w:tc>
        <w:tc>
          <w:tcPr>
            <w:tcW w:w="1073" w:type="pct"/>
            <w:vMerge w:val="continue"/>
          </w:tcPr>
          <w:p w14:paraId="7D1FEDCA">
            <w:pPr>
              <w:jc w:val="left"/>
              <w:rPr>
                <w:rFonts w:ascii="宋体" w:hAnsi="宋体" w:cs="宋体"/>
              </w:rPr>
            </w:pPr>
          </w:p>
        </w:tc>
        <w:tc>
          <w:tcPr>
            <w:tcW w:w="1072" w:type="pct"/>
          </w:tcPr>
          <w:p w14:paraId="1FAD0947">
            <w:pPr>
              <w:jc w:val="left"/>
              <w:rPr>
                <w:rFonts w:ascii="宋体" w:hAnsi="宋体" w:cs="宋体"/>
              </w:rPr>
            </w:pPr>
            <w:r>
              <w:rPr>
                <w:rFonts w:hint="eastAsia" w:ascii="宋体" w:hAnsi="宋体" w:cs="宋体"/>
              </w:rPr>
              <w:t>投资额＜所占份额</w:t>
            </w:r>
          </w:p>
        </w:tc>
        <w:tc>
          <w:tcPr>
            <w:tcW w:w="1854" w:type="pct"/>
          </w:tcPr>
          <w:p w14:paraId="2494537B">
            <w:pPr>
              <w:jc w:val="left"/>
              <w:rPr>
                <w:rFonts w:ascii="宋体" w:hAnsi="宋体" w:cs="宋体"/>
              </w:rPr>
            </w:pPr>
            <w:r>
              <w:rPr>
                <w:rFonts w:hint="eastAsia" w:ascii="宋体" w:hAnsi="宋体" w:cs="宋体"/>
              </w:rPr>
              <w:t xml:space="preserve">借：长期股权投资——投资成本（份额） </w:t>
            </w:r>
          </w:p>
          <w:p w14:paraId="094475F0">
            <w:pPr>
              <w:jc w:val="left"/>
              <w:rPr>
                <w:rFonts w:ascii="宋体" w:hAnsi="宋体" w:cs="宋体"/>
              </w:rPr>
            </w:pPr>
            <w:r>
              <w:rPr>
                <w:rFonts w:hint="eastAsia" w:ascii="宋体" w:hAnsi="宋体" w:cs="宋体"/>
              </w:rPr>
              <w:t>　　贷：银行存款</w:t>
            </w:r>
          </w:p>
          <w:p w14:paraId="0CB8187B">
            <w:pPr>
              <w:jc w:val="left"/>
              <w:rPr>
                <w:rFonts w:ascii="宋体" w:hAnsi="宋体" w:cs="宋体"/>
              </w:rPr>
            </w:pPr>
            <w:r>
              <w:rPr>
                <w:rFonts w:hint="eastAsia" w:ascii="宋体" w:hAnsi="宋体" w:cs="宋体"/>
              </w:rPr>
              <w:t>　　　　营业外收入</w:t>
            </w:r>
          </w:p>
        </w:tc>
      </w:tr>
      <w:tr w14:paraId="02E48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tcPr>
          <w:p w14:paraId="05C64826">
            <w:pPr>
              <w:jc w:val="center"/>
              <w:rPr>
                <w:rFonts w:ascii="宋体" w:hAnsi="宋体" w:cs="宋体"/>
              </w:rPr>
            </w:pPr>
            <w:r>
              <w:rPr>
                <w:rFonts w:hint="eastAsia" w:ascii="宋体" w:hAnsi="宋体" w:cs="宋体"/>
              </w:rPr>
              <w:t>2</w:t>
            </w:r>
          </w:p>
        </w:tc>
        <w:tc>
          <w:tcPr>
            <w:tcW w:w="574" w:type="pct"/>
          </w:tcPr>
          <w:p w14:paraId="3FA51391">
            <w:pPr>
              <w:jc w:val="left"/>
              <w:rPr>
                <w:rFonts w:ascii="宋体" w:hAnsi="宋体" w:cs="宋体"/>
              </w:rPr>
            </w:pPr>
            <w:r>
              <w:rPr>
                <w:rFonts w:hint="eastAsia" w:ascii="宋体" w:hAnsi="宋体" w:cs="宋体"/>
              </w:rPr>
              <w:t>被投资方其他综合收益变动</w:t>
            </w:r>
          </w:p>
        </w:tc>
        <w:tc>
          <w:tcPr>
            <w:tcW w:w="1073" w:type="pct"/>
          </w:tcPr>
          <w:p w14:paraId="65D85AEC">
            <w:pPr>
              <w:jc w:val="left"/>
              <w:rPr>
                <w:rFonts w:ascii="宋体" w:hAnsi="宋体" w:cs="宋体"/>
              </w:rPr>
            </w:pPr>
            <w:r>
              <w:rPr>
                <w:rFonts w:hint="eastAsia" w:ascii="宋体" w:hAnsi="宋体" w:cs="宋体"/>
              </w:rPr>
              <w:t>不做账</w:t>
            </w:r>
          </w:p>
        </w:tc>
        <w:tc>
          <w:tcPr>
            <w:tcW w:w="2926" w:type="pct"/>
            <w:gridSpan w:val="2"/>
          </w:tcPr>
          <w:p w14:paraId="4F7A614A">
            <w:pPr>
              <w:jc w:val="left"/>
              <w:rPr>
                <w:rFonts w:ascii="宋体" w:hAnsi="宋体" w:cs="宋体"/>
              </w:rPr>
            </w:pPr>
            <w:r>
              <w:rPr>
                <w:rFonts w:hint="eastAsia" w:ascii="宋体" w:hAnsi="宋体" w:cs="宋体"/>
              </w:rPr>
              <w:t xml:space="preserve">借：长期股权投资——其他综合收益 </w:t>
            </w:r>
          </w:p>
          <w:p w14:paraId="10051413">
            <w:pPr>
              <w:jc w:val="left"/>
              <w:rPr>
                <w:rFonts w:ascii="宋体" w:hAnsi="宋体" w:cs="宋体"/>
              </w:rPr>
            </w:pPr>
            <w:r>
              <w:rPr>
                <w:rFonts w:hint="eastAsia" w:ascii="宋体" w:hAnsi="宋体" w:cs="宋体"/>
              </w:rPr>
              <w:t xml:space="preserve">　　贷：其他综合收益（赚） </w:t>
            </w:r>
          </w:p>
          <w:p w14:paraId="04EF075D">
            <w:pPr>
              <w:jc w:val="left"/>
              <w:rPr>
                <w:rFonts w:ascii="宋体" w:hAnsi="宋体" w:cs="宋体"/>
              </w:rPr>
            </w:pPr>
            <w:r>
              <w:rPr>
                <w:rFonts w:hint="eastAsia" w:ascii="宋体" w:hAnsi="宋体" w:cs="宋体"/>
              </w:rPr>
              <w:t xml:space="preserve">或 </w:t>
            </w:r>
          </w:p>
          <w:p w14:paraId="3592812B">
            <w:pPr>
              <w:jc w:val="left"/>
              <w:rPr>
                <w:rFonts w:ascii="宋体" w:hAnsi="宋体" w:cs="宋体"/>
              </w:rPr>
            </w:pPr>
            <w:r>
              <w:rPr>
                <w:rFonts w:hint="eastAsia" w:ascii="宋体" w:hAnsi="宋体" w:cs="宋体"/>
              </w:rPr>
              <w:t xml:space="preserve">借：其他综合收益（亏） </w:t>
            </w:r>
          </w:p>
          <w:p w14:paraId="0C37C9FE">
            <w:pPr>
              <w:jc w:val="left"/>
              <w:rPr>
                <w:rFonts w:ascii="宋体" w:hAnsi="宋体" w:cs="宋体"/>
              </w:rPr>
            </w:pPr>
            <w:r>
              <w:rPr>
                <w:rFonts w:hint="eastAsia" w:ascii="宋体" w:hAnsi="宋体" w:cs="宋体"/>
              </w:rPr>
              <w:t xml:space="preserve">　　贷：长期股权投资——其他综合收益 </w:t>
            </w:r>
          </w:p>
        </w:tc>
      </w:tr>
      <w:tr w14:paraId="7D27F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tcPr>
          <w:p w14:paraId="7DCFA2B9">
            <w:pPr>
              <w:jc w:val="center"/>
              <w:rPr>
                <w:rFonts w:ascii="宋体" w:hAnsi="宋体" w:cs="宋体"/>
              </w:rPr>
            </w:pPr>
            <w:r>
              <w:rPr>
                <w:rFonts w:hint="eastAsia" w:ascii="宋体" w:hAnsi="宋体" w:cs="宋体"/>
              </w:rPr>
              <w:t>3</w:t>
            </w:r>
          </w:p>
        </w:tc>
        <w:tc>
          <w:tcPr>
            <w:tcW w:w="574" w:type="pct"/>
          </w:tcPr>
          <w:p w14:paraId="0C2FD3C9">
            <w:pPr>
              <w:jc w:val="left"/>
              <w:rPr>
                <w:rFonts w:ascii="宋体" w:hAnsi="宋体" w:cs="宋体"/>
              </w:rPr>
            </w:pPr>
            <w:r>
              <w:rPr>
                <w:rFonts w:hint="eastAsia" w:ascii="宋体" w:hAnsi="宋体" w:cs="宋体"/>
              </w:rPr>
              <w:t>被投资方所有者权益其他变动</w:t>
            </w:r>
          </w:p>
        </w:tc>
        <w:tc>
          <w:tcPr>
            <w:tcW w:w="1073" w:type="pct"/>
          </w:tcPr>
          <w:p w14:paraId="0A256C06">
            <w:pPr>
              <w:jc w:val="left"/>
              <w:rPr>
                <w:rFonts w:ascii="宋体" w:hAnsi="宋体" w:cs="宋体"/>
              </w:rPr>
            </w:pPr>
            <w:r>
              <w:rPr>
                <w:rFonts w:hint="eastAsia" w:ascii="宋体" w:hAnsi="宋体" w:cs="宋体"/>
              </w:rPr>
              <w:t>不做账</w:t>
            </w:r>
          </w:p>
        </w:tc>
        <w:tc>
          <w:tcPr>
            <w:tcW w:w="2926" w:type="pct"/>
            <w:gridSpan w:val="2"/>
          </w:tcPr>
          <w:p w14:paraId="48DD3E01">
            <w:pPr>
              <w:jc w:val="left"/>
              <w:rPr>
                <w:rFonts w:ascii="宋体" w:hAnsi="宋体" w:cs="宋体"/>
              </w:rPr>
            </w:pPr>
            <w:r>
              <w:rPr>
                <w:rFonts w:hint="eastAsia" w:ascii="宋体" w:hAnsi="宋体" w:cs="宋体"/>
              </w:rPr>
              <w:t>借：长期股权投资——其他权益变动</w:t>
            </w:r>
          </w:p>
          <w:p w14:paraId="18B1BBCA">
            <w:pPr>
              <w:jc w:val="left"/>
              <w:rPr>
                <w:rFonts w:ascii="宋体" w:hAnsi="宋体" w:cs="宋体"/>
              </w:rPr>
            </w:pPr>
            <w:r>
              <w:rPr>
                <w:rFonts w:hint="eastAsia" w:ascii="宋体" w:hAnsi="宋体" w:cs="宋体"/>
              </w:rPr>
              <w:t>　　贷：资本公积——其他资本公积（赚）</w:t>
            </w:r>
          </w:p>
          <w:p w14:paraId="5ABA2363">
            <w:pPr>
              <w:jc w:val="left"/>
              <w:rPr>
                <w:rFonts w:ascii="宋体" w:hAnsi="宋体" w:cs="宋体"/>
              </w:rPr>
            </w:pPr>
            <w:r>
              <w:rPr>
                <w:rFonts w:hint="eastAsia" w:ascii="宋体" w:hAnsi="宋体" w:cs="宋体"/>
              </w:rPr>
              <w:t>或借：资本公积——其他资本公积（亏）</w:t>
            </w:r>
          </w:p>
          <w:p w14:paraId="666C9AC6">
            <w:pPr>
              <w:jc w:val="left"/>
              <w:rPr>
                <w:rFonts w:ascii="宋体" w:hAnsi="宋体" w:cs="宋体"/>
              </w:rPr>
            </w:pPr>
            <w:r>
              <w:rPr>
                <w:rFonts w:hint="eastAsia" w:ascii="宋体" w:hAnsi="宋体" w:cs="宋体"/>
              </w:rPr>
              <w:t>　　　贷：长期股权投资</w:t>
            </w:r>
          </w:p>
          <w:p w14:paraId="4D74952C">
            <w:pPr>
              <w:jc w:val="left"/>
              <w:rPr>
                <w:rFonts w:ascii="宋体" w:hAnsi="宋体" w:cs="宋体"/>
              </w:rPr>
            </w:pPr>
            <w:r>
              <w:rPr>
                <w:rFonts w:hint="eastAsia" w:ascii="宋体" w:hAnsi="宋体" w:cs="宋体"/>
              </w:rPr>
              <w:t>　　　　　——其他权益变动</w:t>
            </w:r>
          </w:p>
        </w:tc>
      </w:tr>
      <w:tr w14:paraId="228EB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tcPr>
          <w:p w14:paraId="2EABA14D">
            <w:pPr>
              <w:jc w:val="center"/>
              <w:rPr>
                <w:rFonts w:ascii="宋体" w:hAnsi="宋体" w:cs="宋体"/>
              </w:rPr>
            </w:pPr>
            <w:r>
              <w:rPr>
                <w:rFonts w:hint="eastAsia" w:ascii="宋体" w:hAnsi="宋体" w:cs="宋体"/>
              </w:rPr>
              <w:t>4</w:t>
            </w:r>
          </w:p>
        </w:tc>
        <w:tc>
          <w:tcPr>
            <w:tcW w:w="574" w:type="pct"/>
          </w:tcPr>
          <w:p w14:paraId="6AFFB141">
            <w:pPr>
              <w:jc w:val="left"/>
              <w:rPr>
                <w:rFonts w:ascii="宋体" w:hAnsi="宋体" w:cs="宋体"/>
              </w:rPr>
            </w:pPr>
            <w:r>
              <w:rPr>
                <w:rFonts w:hint="eastAsia" w:ascii="宋体" w:hAnsi="宋体" w:cs="宋体"/>
              </w:rPr>
              <w:t>超额亏损</w:t>
            </w:r>
          </w:p>
        </w:tc>
        <w:tc>
          <w:tcPr>
            <w:tcW w:w="1073" w:type="pct"/>
          </w:tcPr>
          <w:p w14:paraId="39213479">
            <w:pPr>
              <w:jc w:val="left"/>
              <w:rPr>
                <w:rFonts w:ascii="宋体" w:hAnsi="宋体" w:cs="宋体"/>
              </w:rPr>
            </w:pPr>
            <w:r>
              <w:rPr>
                <w:rFonts w:hint="eastAsia" w:ascii="宋体" w:hAnsi="宋体" w:cs="宋体"/>
              </w:rPr>
              <w:t>不做账</w:t>
            </w:r>
          </w:p>
        </w:tc>
        <w:tc>
          <w:tcPr>
            <w:tcW w:w="2926" w:type="pct"/>
            <w:gridSpan w:val="2"/>
          </w:tcPr>
          <w:p w14:paraId="00A724CB">
            <w:pPr>
              <w:jc w:val="left"/>
              <w:rPr>
                <w:rFonts w:ascii="宋体" w:hAnsi="宋体" w:cs="宋体"/>
              </w:rPr>
            </w:pPr>
            <w:r>
              <w:rPr>
                <w:rFonts w:hint="eastAsia" w:ascii="宋体" w:hAnsi="宋体" w:cs="宋体"/>
              </w:rPr>
              <w:t xml:space="preserve">借：投资收益 </w:t>
            </w:r>
          </w:p>
          <w:p w14:paraId="0BBC94B6">
            <w:pPr>
              <w:jc w:val="left"/>
              <w:rPr>
                <w:rFonts w:ascii="宋体" w:hAnsi="宋体" w:cs="宋体"/>
              </w:rPr>
            </w:pPr>
            <w:r>
              <w:rPr>
                <w:rFonts w:hint="eastAsia" w:ascii="宋体" w:hAnsi="宋体" w:cs="宋体"/>
              </w:rPr>
              <w:t xml:space="preserve">　　贷：长期股权投资——损益调整 </w:t>
            </w:r>
          </w:p>
          <w:p w14:paraId="7D0A3C1D">
            <w:pPr>
              <w:jc w:val="left"/>
              <w:rPr>
                <w:rFonts w:ascii="宋体" w:hAnsi="宋体" w:cs="宋体"/>
              </w:rPr>
            </w:pPr>
            <w:r>
              <w:rPr>
                <w:rFonts w:hint="eastAsia" w:ascii="宋体" w:hAnsi="宋体" w:cs="宋体"/>
              </w:rPr>
              <w:t xml:space="preserve">　　　　长期应收款 </w:t>
            </w:r>
          </w:p>
          <w:p w14:paraId="6F110E1E">
            <w:pPr>
              <w:jc w:val="left"/>
              <w:rPr>
                <w:rFonts w:ascii="宋体" w:hAnsi="宋体" w:cs="宋体"/>
              </w:rPr>
            </w:pPr>
            <w:r>
              <w:rPr>
                <w:rFonts w:hint="eastAsia" w:ascii="宋体" w:hAnsi="宋体" w:cs="宋体"/>
              </w:rPr>
              <w:t xml:space="preserve">　　　　预计负债   </w:t>
            </w:r>
          </w:p>
          <w:p w14:paraId="4E39213B">
            <w:pPr>
              <w:jc w:val="left"/>
              <w:rPr>
                <w:rFonts w:ascii="宋体" w:hAnsi="宋体" w:cs="宋体"/>
              </w:rPr>
            </w:pPr>
            <w:r>
              <w:rPr>
                <w:rFonts w:hint="eastAsia" w:ascii="宋体" w:hAnsi="宋体" w:cs="宋体"/>
              </w:rPr>
              <w:t>记入备查账</w:t>
            </w:r>
          </w:p>
        </w:tc>
      </w:tr>
      <w:tr w14:paraId="43DBF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tcPr>
          <w:p w14:paraId="247D356A">
            <w:pPr>
              <w:jc w:val="center"/>
              <w:rPr>
                <w:rFonts w:ascii="宋体" w:hAnsi="宋体" w:cs="宋体"/>
              </w:rPr>
            </w:pPr>
            <w:r>
              <w:rPr>
                <w:rFonts w:hint="eastAsia" w:ascii="宋体" w:hAnsi="宋体" w:cs="宋体"/>
              </w:rPr>
              <w:t>5</w:t>
            </w:r>
          </w:p>
        </w:tc>
        <w:tc>
          <w:tcPr>
            <w:tcW w:w="574" w:type="pct"/>
          </w:tcPr>
          <w:p w14:paraId="1230AF5B">
            <w:pPr>
              <w:jc w:val="left"/>
              <w:rPr>
                <w:rFonts w:ascii="宋体" w:hAnsi="宋体" w:cs="宋体"/>
              </w:rPr>
            </w:pPr>
            <w:r>
              <w:rPr>
                <w:rFonts w:hint="eastAsia" w:ascii="宋体" w:hAnsi="宋体" w:cs="宋体"/>
              </w:rPr>
              <w:t>减值</w:t>
            </w:r>
          </w:p>
        </w:tc>
        <w:tc>
          <w:tcPr>
            <w:tcW w:w="3999" w:type="pct"/>
            <w:gridSpan w:val="3"/>
          </w:tcPr>
          <w:p w14:paraId="56356E2E">
            <w:pPr>
              <w:jc w:val="left"/>
              <w:rPr>
                <w:rFonts w:ascii="宋体" w:hAnsi="宋体" w:cs="宋体"/>
              </w:rPr>
            </w:pPr>
            <w:r>
              <w:rPr>
                <w:rFonts w:hint="eastAsia" w:ascii="宋体" w:hAnsi="宋体" w:cs="宋体"/>
              </w:rPr>
              <w:t>借：资产减值损失</w:t>
            </w:r>
          </w:p>
          <w:p w14:paraId="4E034756">
            <w:pPr>
              <w:jc w:val="left"/>
              <w:rPr>
                <w:rFonts w:ascii="宋体" w:hAnsi="宋体" w:cs="宋体"/>
              </w:rPr>
            </w:pPr>
            <w:r>
              <w:rPr>
                <w:rFonts w:hint="eastAsia" w:ascii="宋体" w:hAnsi="宋体" w:cs="宋体"/>
              </w:rPr>
              <w:t>　　贷：长期股权投资减值准备</w:t>
            </w:r>
          </w:p>
          <w:p w14:paraId="26754DF6">
            <w:pPr>
              <w:jc w:val="left"/>
              <w:rPr>
                <w:rFonts w:ascii="宋体" w:hAnsi="宋体" w:cs="宋体"/>
              </w:rPr>
            </w:pPr>
            <w:r>
              <w:rPr>
                <w:rFonts w:hint="eastAsia" w:ascii="宋体" w:hAnsi="宋体" w:cs="宋体"/>
              </w:rPr>
              <w:t>减值准备一经计提，不准转回。</w:t>
            </w:r>
          </w:p>
        </w:tc>
      </w:tr>
      <w:tr w14:paraId="4DCC0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tcPr>
          <w:p w14:paraId="0D40C76E">
            <w:pPr>
              <w:jc w:val="center"/>
              <w:rPr>
                <w:rFonts w:ascii="宋体" w:hAnsi="宋体" w:cs="宋体"/>
              </w:rPr>
            </w:pPr>
            <w:r>
              <w:rPr>
                <w:rFonts w:hint="eastAsia" w:ascii="宋体" w:hAnsi="宋体" w:cs="宋体"/>
              </w:rPr>
              <w:t>6</w:t>
            </w:r>
          </w:p>
        </w:tc>
        <w:tc>
          <w:tcPr>
            <w:tcW w:w="574" w:type="pct"/>
          </w:tcPr>
          <w:p w14:paraId="3FD97E79">
            <w:pPr>
              <w:jc w:val="left"/>
              <w:rPr>
                <w:rFonts w:ascii="宋体" w:hAnsi="宋体" w:cs="宋体"/>
              </w:rPr>
            </w:pPr>
            <w:r>
              <w:rPr>
                <w:rFonts w:hint="eastAsia" w:ascii="宋体" w:hAnsi="宋体" w:cs="宋体"/>
              </w:rPr>
              <w:t>处置</w:t>
            </w:r>
          </w:p>
        </w:tc>
        <w:tc>
          <w:tcPr>
            <w:tcW w:w="1073" w:type="pct"/>
          </w:tcPr>
          <w:p w14:paraId="500FEC15">
            <w:pPr>
              <w:jc w:val="left"/>
              <w:rPr>
                <w:rFonts w:ascii="宋体" w:hAnsi="宋体" w:cs="宋体"/>
              </w:rPr>
            </w:pPr>
            <w:r>
              <w:rPr>
                <w:rFonts w:hint="eastAsia" w:ascii="宋体" w:hAnsi="宋体" w:cs="宋体"/>
              </w:rPr>
              <w:t>借：银行存款</w:t>
            </w:r>
          </w:p>
          <w:p w14:paraId="4E1F145A">
            <w:pPr>
              <w:jc w:val="left"/>
              <w:rPr>
                <w:rFonts w:ascii="宋体" w:hAnsi="宋体" w:cs="宋体"/>
              </w:rPr>
            </w:pPr>
            <w:r>
              <w:rPr>
                <w:rFonts w:hint="eastAsia" w:ascii="宋体" w:hAnsi="宋体" w:cs="宋体"/>
              </w:rPr>
              <w:t xml:space="preserve">　　投资收益（亏） </w:t>
            </w:r>
          </w:p>
          <w:p w14:paraId="7575D03F">
            <w:pPr>
              <w:jc w:val="left"/>
              <w:rPr>
                <w:rFonts w:ascii="宋体" w:hAnsi="宋体" w:cs="宋体"/>
              </w:rPr>
            </w:pPr>
            <w:r>
              <w:rPr>
                <w:rFonts w:hint="eastAsia" w:ascii="宋体" w:hAnsi="宋体" w:cs="宋体"/>
              </w:rPr>
              <w:t>　　长期股权投资减值准备</w:t>
            </w:r>
          </w:p>
          <w:p w14:paraId="335ECDAF">
            <w:pPr>
              <w:jc w:val="left"/>
              <w:rPr>
                <w:rFonts w:ascii="宋体" w:hAnsi="宋体" w:cs="宋体"/>
              </w:rPr>
            </w:pPr>
            <w:r>
              <w:rPr>
                <w:rFonts w:hint="eastAsia" w:ascii="宋体" w:hAnsi="宋体" w:cs="宋体"/>
              </w:rPr>
              <w:t>　　贷：长期股权投资</w:t>
            </w:r>
          </w:p>
          <w:p w14:paraId="3D9AA104">
            <w:pPr>
              <w:jc w:val="left"/>
              <w:rPr>
                <w:rFonts w:ascii="宋体" w:hAnsi="宋体" w:cs="宋体"/>
              </w:rPr>
            </w:pPr>
            <w:r>
              <w:rPr>
                <w:rFonts w:hint="eastAsia" w:ascii="宋体" w:hAnsi="宋体" w:cs="宋体"/>
              </w:rPr>
              <w:t>　　　　应收股利</w:t>
            </w:r>
          </w:p>
          <w:p w14:paraId="640CA1C0">
            <w:pPr>
              <w:jc w:val="left"/>
              <w:rPr>
                <w:rFonts w:ascii="宋体" w:hAnsi="宋体" w:cs="宋体"/>
              </w:rPr>
            </w:pPr>
            <w:r>
              <w:rPr>
                <w:rFonts w:hint="eastAsia" w:ascii="宋体" w:hAnsi="宋体" w:cs="宋体"/>
              </w:rPr>
              <w:t xml:space="preserve">　　　　投资收益（赚） </w:t>
            </w:r>
          </w:p>
        </w:tc>
        <w:tc>
          <w:tcPr>
            <w:tcW w:w="2926" w:type="pct"/>
            <w:gridSpan w:val="2"/>
          </w:tcPr>
          <w:p w14:paraId="0C1B4485">
            <w:pPr>
              <w:jc w:val="left"/>
              <w:rPr>
                <w:rFonts w:ascii="宋体" w:hAnsi="宋体" w:cs="宋体"/>
              </w:rPr>
            </w:pPr>
            <w:r>
              <w:rPr>
                <w:rFonts w:hint="eastAsia" w:ascii="宋体" w:hAnsi="宋体" w:cs="宋体"/>
              </w:rPr>
              <w:t xml:space="preserve">三步走： </w:t>
            </w:r>
          </w:p>
          <w:p w14:paraId="51375C5A">
            <w:pPr>
              <w:jc w:val="left"/>
              <w:rPr>
                <w:rFonts w:ascii="宋体" w:hAnsi="宋体" w:cs="宋体"/>
              </w:rPr>
            </w:pPr>
            <w:r>
              <w:rPr>
                <w:rFonts w:hint="eastAsia" w:ascii="宋体" w:hAnsi="宋体" w:cs="宋体"/>
              </w:rPr>
              <w:t xml:space="preserve">第一步： </w:t>
            </w:r>
          </w:p>
          <w:p w14:paraId="0F23C12B">
            <w:pPr>
              <w:jc w:val="left"/>
              <w:rPr>
                <w:rFonts w:ascii="宋体" w:hAnsi="宋体" w:cs="宋体"/>
              </w:rPr>
            </w:pPr>
            <w:r>
              <w:rPr>
                <w:rFonts w:hint="eastAsia" w:ascii="宋体" w:hAnsi="宋体" w:cs="宋体"/>
              </w:rPr>
              <w:t>借：银行存款</w:t>
            </w:r>
          </w:p>
          <w:p w14:paraId="4D73979E">
            <w:pPr>
              <w:jc w:val="left"/>
              <w:rPr>
                <w:rFonts w:ascii="宋体" w:hAnsi="宋体" w:cs="宋体"/>
              </w:rPr>
            </w:pPr>
            <w:r>
              <w:rPr>
                <w:rFonts w:hint="eastAsia" w:ascii="宋体" w:hAnsi="宋体" w:cs="宋体"/>
              </w:rPr>
              <w:t xml:space="preserve">　　投资收益（亏） </w:t>
            </w:r>
          </w:p>
          <w:p w14:paraId="50CA1C0D">
            <w:pPr>
              <w:jc w:val="left"/>
              <w:rPr>
                <w:rFonts w:ascii="宋体" w:hAnsi="宋体" w:cs="宋体"/>
              </w:rPr>
            </w:pPr>
            <w:r>
              <w:rPr>
                <w:rFonts w:hint="eastAsia" w:ascii="宋体" w:hAnsi="宋体" w:cs="宋体"/>
              </w:rPr>
              <w:t>　　长期股权投资减值准备</w:t>
            </w:r>
          </w:p>
          <w:p w14:paraId="154A3057">
            <w:pPr>
              <w:jc w:val="left"/>
              <w:rPr>
                <w:rFonts w:ascii="宋体" w:hAnsi="宋体" w:cs="宋体"/>
              </w:rPr>
            </w:pPr>
            <w:r>
              <w:rPr>
                <w:rFonts w:hint="eastAsia" w:ascii="宋体" w:hAnsi="宋体" w:cs="宋体"/>
              </w:rPr>
              <w:t xml:space="preserve">　　贷：长期股权投资——投资成本  </w:t>
            </w:r>
          </w:p>
          <w:p w14:paraId="491A547D">
            <w:pPr>
              <w:jc w:val="left"/>
              <w:rPr>
                <w:rFonts w:ascii="宋体" w:hAnsi="宋体" w:cs="宋体"/>
              </w:rPr>
            </w:pPr>
            <w:r>
              <w:rPr>
                <w:rFonts w:hint="eastAsia" w:ascii="宋体" w:hAnsi="宋体" w:cs="宋体"/>
              </w:rPr>
              <w:t>　　　　　　　　　　——损益调整（或借记）</w:t>
            </w:r>
          </w:p>
          <w:p w14:paraId="45CF4D23">
            <w:pPr>
              <w:jc w:val="left"/>
              <w:rPr>
                <w:rFonts w:ascii="宋体" w:hAnsi="宋体" w:cs="宋体"/>
              </w:rPr>
            </w:pPr>
            <w:r>
              <w:rPr>
                <w:rFonts w:hint="eastAsia" w:ascii="宋体" w:hAnsi="宋体" w:cs="宋体"/>
              </w:rPr>
              <w:t>　　　　　　　　　　——其他综合收益（或借记）</w:t>
            </w:r>
          </w:p>
          <w:p w14:paraId="61D02A40">
            <w:pPr>
              <w:jc w:val="left"/>
              <w:rPr>
                <w:rFonts w:ascii="宋体" w:hAnsi="宋体" w:cs="宋体"/>
              </w:rPr>
            </w:pPr>
            <w:r>
              <w:rPr>
                <w:rFonts w:hint="eastAsia" w:ascii="宋体" w:hAnsi="宋体" w:cs="宋体"/>
              </w:rPr>
              <w:t>　　　　　　　　　　——其他权益变动（或借记）</w:t>
            </w:r>
          </w:p>
          <w:p w14:paraId="49BDF9D6">
            <w:pPr>
              <w:jc w:val="left"/>
              <w:rPr>
                <w:rFonts w:ascii="宋体" w:hAnsi="宋体" w:cs="宋体"/>
              </w:rPr>
            </w:pPr>
            <w:r>
              <w:rPr>
                <w:rFonts w:hint="eastAsia" w:ascii="宋体" w:hAnsi="宋体" w:cs="宋体"/>
              </w:rPr>
              <w:t>　　　　　投资收益（赚）</w:t>
            </w:r>
          </w:p>
        </w:tc>
      </w:tr>
      <w:tr w14:paraId="373D7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tcPr>
          <w:p w14:paraId="704B3ED3">
            <w:pPr>
              <w:jc w:val="center"/>
              <w:rPr>
                <w:rFonts w:ascii="宋体" w:hAnsi="宋体" w:cs="宋体"/>
              </w:rPr>
            </w:pPr>
            <w:r>
              <w:rPr>
                <w:rFonts w:hint="eastAsia" w:ascii="宋体" w:hAnsi="宋体" w:cs="宋体"/>
              </w:rPr>
              <w:t>6</w:t>
            </w:r>
          </w:p>
        </w:tc>
        <w:tc>
          <w:tcPr>
            <w:tcW w:w="574" w:type="pct"/>
          </w:tcPr>
          <w:p w14:paraId="1254D83C">
            <w:pPr>
              <w:jc w:val="left"/>
              <w:rPr>
                <w:rFonts w:ascii="宋体" w:hAnsi="宋体" w:cs="宋体"/>
              </w:rPr>
            </w:pPr>
            <w:r>
              <w:rPr>
                <w:rFonts w:hint="eastAsia" w:ascii="宋体" w:hAnsi="宋体" w:cs="宋体"/>
              </w:rPr>
              <w:t>处置</w:t>
            </w:r>
          </w:p>
        </w:tc>
        <w:tc>
          <w:tcPr>
            <w:tcW w:w="1071" w:type="pct"/>
          </w:tcPr>
          <w:p w14:paraId="79FF377F">
            <w:pPr>
              <w:jc w:val="left"/>
              <w:rPr>
                <w:rFonts w:ascii="宋体" w:hAnsi="宋体" w:cs="宋体"/>
              </w:rPr>
            </w:pPr>
            <w:r>
              <w:rPr>
                <w:rFonts w:hint="eastAsia" w:ascii="宋体" w:hAnsi="宋体" w:cs="宋体"/>
              </w:rPr>
              <w:t>借：银行存款</w:t>
            </w:r>
          </w:p>
          <w:p w14:paraId="31DFCAAF">
            <w:pPr>
              <w:jc w:val="left"/>
              <w:rPr>
                <w:rFonts w:ascii="宋体" w:hAnsi="宋体" w:cs="宋体"/>
              </w:rPr>
            </w:pPr>
            <w:r>
              <w:rPr>
                <w:rFonts w:hint="eastAsia" w:ascii="宋体" w:hAnsi="宋体" w:cs="宋体"/>
              </w:rPr>
              <w:t xml:space="preserve">　　投资收益（亏） </w:t>
            </w:r>
          </w:p>
          <w:p w14:paraId="2DB76203">
            <w:pPr>
              <w:jc w:val="left"/>
              <w:rPr>
                <w:rFonts w:ascii="宋体" w:hAnsi="宋体" w:cs="宋体"/>
              </w:rPr>
            </w:pPr>
            <w:r>
              <w:rPr>
                <w:rFonts w:hint="eastAsia" w:ascii="宋体" w:hAnsi="宋体" w:cs="宋体"/>
              </w:rPr>
              <w:t>　　长期股权投资减值准备</w:t>
            </w:r>
          </w:p>
          <w:p w14:paraId="0077AC7D">
            <w:pPr>
              <w:jc w:val="left"/>
              <w:rPr>
                <w:rFonts w:ascii="宋体" w:hAnsi="宋体" w:cs="宋体"/>
              </w:rPr>
            </w:pPr>
            <w:r>
              <w:rPr>
                <w:rFonts w:hint="eastAsia" w:ascii="宋体" w:hAnsi="宋体" w:cs="宋体"/>
              </w:rPr>
              <w:t>　　贷：长期股权投资</w:t>
            </w:r>
          </w:p>
          <w:p w14:paraId="3B075071">
            <w:pPr>
              <w:jc w:val="left"/>
              <w:rPr>
                <w:rFonts w:ascii="宋体" w:hAnsi="宋体" w:cs="宋体"/>
              </w:rPr>
            </w:pPr>
            <w:r>
              <w:rPr>
                <w:rFonts w:hint="eastAsia" w:ascii="宋体" w:hAnsi="宋体" w:cs="宋体"/>
              </w:rPr>
              <w:t>　　　　应收股利</w:t>
            </w:r>
          </w:p>
          <w:p w14:paraId="1287C995">
            <w:pPr>
              <w:jc w:val="left"/>
              <w:rPr>
                <w:rFonts w:ascii="宋体" w:hAnsi="宋体" w:cs="宋体"/>
              </w:rPr>
            </w:pPr>
            <w:r>
              <w:rPr>
                <w:rFonts w:hint="eastAsia" w:ascii="宋体" w:hAnsi="宋体" w:cs="宋体"/>
              </w:rPr>
              <w:t xml:space="preserve">　　　　投资收益（赚） </w:t>
            </w:r>
          </w:p>
        </w:tc>
        <w:tc>
          <w:tcPr>
            <w:tcW w:w="2928" w:type="pct"/>
            <w:gridSpan w:val="2"/>
          </w:tcPr>
          <w:p w14:paraId="2E1ADE8A">
            <w:pPr>
              <w:jc w:val="left"/>
              <w:rPr>
                <w:rFonts w:ascii="宋体" w:hAnsi="宋体" w:cs="宋体"/>
              </w:rPr>
            </w:pPr>
            <w:r>
              <w:rPr>
                <w:rFonts w:hint="eastAsia" w:ascii="宋体" w:hAnsi="宋体" w:cs="宋体"/>
              </w:rPr>
              <w:t xml:space="preserve">第二步： </w:t>
            </w:r>
          </w:p>
          <w:p w14:paraId="1BBF9F2D">
            <w:pPr>
              <w:jc w:val="left"/>
              <w:rPr>
                <w:rFonts w:ascii="宋体" w:hAnsi="宋体" w:cs="宋体"/>
              </w:rPr>
            </w:pPr>
            <w:r>
              <w:rPr>
                <w:rFonts w:hint="eastAsia" w:ascii="宋体" w:hAnsi="宋体" w:cs="宋体"/>
              </w:rPr>
              <w:t xml:space="preserve">借：其他综合收益（赚） </w:t>
            </w:r>
          </w:p>
          <w:p w14:paraId="24F22C29">
            <w:pPr>
              <w:jc w:val="left"/>
              <w:rPr>
                <w:rFonts w:ascii="宋体" w:hAnsi="宋体" w:cs="宋体"/>
              </w:rPr>
            </w:pPr>
            <w:r>
              <w:rPr>
                <w:rFonts w:hint="eastAsia" w:ascii="宋体" w:hAnsi="宋体" w:cs="宋体"/>
              </w:rPr>
              <w:t xml:space="preserve">　　贷：投资收益          </w:t>
            </w:r>
          </w:p>
          <w:p w14:paraId="3C4BC395">
            <w:pPr>
              <w:jc w:val="left"/>
              <w:rPr>
                <w:rFonts w:ascii="宋体" w:hAnsi="宋体" w:cs="宋体"/>
              </w:rPr>
            </w:pPr>
            <w:r>
              <w:rPr>
                <w:rFonts w:hint="eastAsia" w:ascii="宋体" w:hAnsi="宋体" w:cs="宋体"/>
              </w:rPr>
              <w:t>或借：投资收益</w:t>
            </w:r>
          </w:p>
          <w:p w14:paraId="4CC64210">
            <w:pPr>
              <w:jc w:val="left"/>
              <w:rPr>
                <w:rFonts w:ascii="宋体" w:hAnsi="宋体" w:cs="宋体"/>
              </w:rPr>
            </w:pPr>
            <w:r>
              <w:rPr>
                <w:rFonts w:hint="eastAsia" w:ascii="宋体" w:hAnsi="宋体" w:cs="宋体"/>
              </w:rPr>
              <w:t xml:space="preserve">　　　贷：其他综合收益（亏） </w:t>
            </w:r>
          </w:p>
          <w:p w14:paraId="6EF7AECD">
            <w:pPr>
              <w:jc w:val="left"/>
              <w:rPr>
                <w:rFonts w:ascii="宋体" w:hAnsi="宋体" w:cs="宋体"/>
              </w:rPr>
            </w:pPr>
            <w:r>
              <w:rPr>
                <w:rFonts w:hint="eastAsia" w:ascii="宋体" w:hAnsi="宋体" w:cs="宋体"/>
              </w:rPr>
              <w:t xml:space="preserve">第三步： </w:t>
            </w:r>
          </w:p>
          <w:p w14:paraId="3DF128CA">
            <w:pPr>
              <w:jc w:val="left"/>
              <w:rPr>
                <w:rFonts w:ascii="宋体" w:hAnsi="宋体" w:cs="宋体"/>
              </w:rPr>
            </w:pPr>
            <w:r>
              <w:rPr>
                <w:rFonts w:hint="eastAsia" w:ascii="宋体" w:hAnsi="宋体" w:cs="宋体"/>
              </w:rPr>
              <w:t xml:space="preserve">借：资本公积——其他资本公积（赚） </w:t>
            </w:r>
          </w:p>
          <w:p w14:paraId="137ECE80">
            <w:pPr>
              <w:jc w:val="left"/>
              <w:rPr>
                <w:rFonts w:ascii="宋体" w:hAnsi="宋体" w:cs="宋体"/>
              </w:rPr>
            </w:pPr>
            <w:r>
              <w:rPr>
                <w:rFonts w:hint="eastAsia" w:ascii="宋体" w:hAnsi="宋体" w:cs="宋体"/>
              </w:rPr>
              <w:t xml:space="preserve">　　贷：投资收益                   </w:t>
            </w:r>
          </w:p>
          <w:p w14:paraId="01E54EC5">
            <w:pPr>
              <w:jc w:val="left"/>
              <w:rPr>
                <w:rFonts w:ascii="宋体" w:hAnsi="宋体" w:cs="宋体"/>
              </w:rPr>
            </w:pPr>
            <w:r>
              <w:rPr>
                <w:rFonts w:hint="eastAsia" w:ascii="宋体" w:hAnsi="宋体" w:cs="宋体"/>
              </w:rPr>
              <w:t xml:space="preserve">或借：投资收益（亏） </w:t>
            </w:r>
          </w:p>
          <w:p w14:paraId="3A4B1F33">
            <w:pPr>
              <w:jc w:val="left"/>
              <w:rPr>
                <w:rFonts w:ascii="宋体" w:hAnsi="宋体" w:cs="宋体"/>
              </w:rPr>
            </w:pPr>
            <w:r>
              <w:rPr>
                <w:rFonts w:hint="eastAsia" w:ascii="宋体" w:hAnsi="宋体" w:cs="宋体"/>
              </w:rPr>
              <w:t xml:space="preserve">　　　贷：资本公积——其他资本公积 </w:t>
            </w:r>
          </w:p>
        </w:tc>
      </w:tr>
    </w:tbl>
    <w:p w14:paraId="50227AB6">
      <w:pPr>
        <w:jc w:val="left"/>
        <w:rPr>
          <w:rFonts w:hint="eastAsia" w:ascii="宋体" w:hAnsi="宋体" w:cs="宋体"/>
        </w:rPr>
      </w:pPr>
      <w:r>
        <w:rPr>
          <w:rFonts w:hint="eastAsia" w:ascii="宋体" w:hAnsi="宋体" w:cs="宋体"/>
          <w:color w:val="FF0000"/>
        </w:rPr>
        <w:t>【注意】</w:t>
      </w:r>
      <w:r>
        <w:rPr>
          <w:rFonts w:hint="eastAsia" w:ascii="宋体" w:hAnsi="宋体" w:cs="宋体"/>
        </w:rPr>
        <w:t>权益法投资损益（长期股权投资——损益调整）的确认</w:t>
      </w:r>
    </w:p>
    <w:tbl>
      <w:tblPr>
        <w:tblStyle w:val="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1"/>
        <w:gridCol w:w="1303"/>
        <w:gridCol w:w="3479"/>
        <w:gridCol w:w="3763"/>
      </w:tblGrid>
      <w:tr w14:paraId="1A6DA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pct"/>
            <w:vMerge w:val="restart"/>
          </w:tcPr>
          <w:p w14:paraId="1A855A29">
            <w:pPr>
              <w:jc w:val="left"/>
              <w:rPr>
                <w:rFonts w:ascii="宋体" w:hAnsi="宋体" w:cs="宋体"/>
              </w:rPr>
            </w:pPr>
            <w:r>
              <w:rPr>
                <w:rFonts w:hint="eastAsia" w:ascii="宋体" w:hAnsi="宋体" w:cs="宋体"/>
              </w:rPr>
              <w:t>被投资单位的净利润调整</w:t>
            </w:r>
          </w:p>
        </w:tc>
        <w:tc>
          <w:tcPr>
            <w:tcW w:w="643" w:type="pct"/>
            <w:vMerge w:val="restart"/>
          </w:tcPr>
          <w:p w14:paraId="7230E2E1">
            <w:pPr>
              <w:jc w:val="left"/>
              <w:rPr>
                <w:rFonts w:ascii="宋体" w:hAnsi="宋体" w:cs="宋体"/>
              </w:rPr>
            </w:pPr>
            <w:r>
              <w:rPr>
                <w:rFonts w:hint="eastAsia" w:ascii="宋体" w:hAnsi="宋体" w:cs="宋体"/>
              </w:rPr>
              <w:t>固定资产</w:t>
            </w:r>
          </w:p>
        </w:tc>
        <w:tc>
          <w:tcPr>
            <w:tcW w:w="1716" w:type="pct"/>
          </w:tcPr>
          <w:p w14:paraId="42D220D5">
            <w:pPr>
              <w:jc w:val="left"/>
              <w:rPr>
                <w:rFonts w:ascii="宋体" w:hAnsi="宋体" w:cs="宋体"/>
              </w:rPr>
            </w:pPr>
            <w:r>
              <w:rPr>
                <w:rFonts w:hint="eastAsia" w:ascii="宋体" w:hAnsi="宋体" w:cs="宋体"/>
              </w:rPr>
              <w:t>投资时点评估增值</w:t>
            </w:r>
          </w:p>
        </w:tc>
        <w:tc>
          <w:tcPr>
            <w:tcW w:w="1856" w:type="pct"/>
          </w:tcPr>
          <w:p w14:paraId="61A2B178">
            <w:pPr>
              <w:jc w:val="left"/>
              <w:rPr>
                <w:rFonts w:ascii="宋体" w:hAnsi="宋体" w:cs="宋体"/>
              </w:rPr>
            </w:pPr>
            <w:r>
              <w:rPr>
                <w:rFonts w:hint="eastAsia" w:ascii="宋体" w:hAnsi="宋体" w:cs="宋体"/>
              </w:rPr>
              <w:t>调减（公允折旧额－账面折旧额）</w:t>
            </w:r>
          </w:p>
        </w:tc>
      </w:tr>
      <w:tr w14:paraId="5ACC8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pct"/>
            <w:vMerge w:val="continue"/>
          </w:tcPr>
          <w:p w14:paraId="78ACC734">
            <w:pPr>
              <w:jc w:val="left"/>
              <w:rPr>
                <w:rFonts w:ascii="宋体" w:hAnsi="宋体" w:cs="宋体"/>
              </w:rPr>
            </w:pPr>
          </w:p>
        </w:tc>
        <w:tc>
          <w:tcPr>
            <w:tcW w:w="643" w:type="pct"/>
            <w:vMerge w:val="continue"/>
          </w:tcPr>
          <w:p w14:paraId="241BC9C5">
            <w:pPr>
              <w:jc w:val="left"/>
              <w:rPr>
                <w:rFonts w:ascii="宋体" w:hAnsi="宋体" w:cs="宋体"/>
              </w:rPr>
            </w:pPr>
          </w:p>
        </w:tc>
        <w:tc>
          <w:tcPr>
            <w:tcW w:w="1716" w:type="pct"/>
          </w:tcPr>
          <w:p w14:paraId="74E66557">
            <w:pPr>
              <w:jc w:val="left"/>
              <w:rPr>
                <w:rFonts w:ascii="宋体" w:hAnsi="宋体" w:cs="宋体"/>
              </w:rPr>
            </w:pPr>
            <w:r>
              <w:rPr>
                <w:rFonts w:hint="eastAsia" w:ascii="宋体" w:hAnsi="宋体" w:cs="宋体"/>
              </w:rPr>
              <w:t>内部交易产生（假设年限平均法折旧）</w:t>
            </w:r>
          </w:p>
        </w:tc>
        <w:tc>
          <w:tcPr>
            <w:tcW w:w="1856" w:type="pct"/>
          </w:tcPr>
          <w:p w14:paraId="12A86A64">
            <w:pPr>
              <w:jc w:val="left"/>
              <w:rPr>
                <w:rFonts w:ascii="宋体" w:hAnsi="宋体" w:cs="宋体"/>
              </w:rPr>
            </w:pPr>
            <w:r>
              <w:rPr>
                <w:rFonts w:hint="eastAsia" w:ascii="宋体" w:hAnsi="宋体" w:cs="宋体"/>
              </w:rPr>
              <w:t>调减[（价格－账面）－（价格－账面）×n／12]</w:t>
            </w:r>
          </w:p>
        </w:tc>
      </w:tr>
      <w:tr w14:paraId="7EC44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pct"/>
            <w:vMerge w:val="continue"/>
          </w:tcPr>
          <w:p w14:paraId="19C0D66F">
            <w:pPr>
              <w:jc w:val="left"/>
              <w:rPr>
                <w:rFonts w:ascii="宋体" w:hAnsi="宋体" w:cs="宋体"/>
              </w:rPr>
            </w:pPr>
          </w:p>
        </w:tc>
        <w:tc>
          <w:tcPr>
            <w:tcW w:w="643" w:type="pct"/>
            <w:vMerge w:val="restart"/>
          </w:tcPr>
          <w:p w14:paraId="3D9EEBB6">
            <w:pPr>
              <w:jc w:val="left"/>
              <w:rPr>
                <w:rFonts w:ascii="宋体" w:hAnsi="宋体" w:cs="宋体"/>
              </w:rPr>
            </w:pPr>
            <w:r>
              <w:rPr>
                <w:rFonts w:hint="eastAsia" w:ascii="宋体" w:hAnsi="宋体" w:cs="宋体"/>
              </w:rPr>
              <w:t>无形资产</w:t>
            </w:r>
          </w:p>
        </w:tc>
        <w:tc>
          <w:tcPr>
            <w:tcW w:w="1716" w:type="pct"/>
          </w:tcPr>
          <w:p w14:paraId="18DEC6C2">
            <w:pPr>
              <w:jc w:val="left"/>
              <w:rPr>
                <w:rFonts w:ascii="宋体" w:hAnsi="宋体" w:cs="宋体"/>
              </w:rPr>
            </w:pPr>
            <w:r>
              <w:rPr>
                <w:rFonts w:hint="eastAsia" w:ascii="宋体" w:hAnsi="宋体" w:cs="宋体"/>
              </w:rPr>
              <w:t>投资时点评估增值</w:t>
            </w:r>
          </w:p>
        </w:tc>
        <w:tc>
          <w:tcPr>
            <w:tcW w:w="1856" w:type="pct"/>
          </w:tcPr>
          <w:p w14:paraId="0A51013C">
            <w:pPr>
              <w:jc w:val="left"/>
              <w:rPr>
                <w:rFonts w:ascii="宋体" w:hAnsi="宋体" w:cs="宋体"/>
              </w:rPr>
            </w:pPr>
            <w:r>
              <w:rPr>
                <w:rFonts w:hint="eastAsia" w:ascii="宋体" w:hAnsi="宋体" w:cs="宋体"/>
              </w:rPr>
              <w:t>调减（公允摊销额－账面摊销额）</w:t>
            </w:r>
          </w:p>
        </w:tc>
      </w:tr>
      <w:tr w14:paraId="2F3CB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pct"/>
            <w:vMerge w:val="continue"/>
          </w:tcPr>
          <w:p w14:paraId="1D9CFE4B">
            <w:pPr>
              <w:jc w:val="left"/>
              <w:rPr>
                <w:rFonts w:ascii="宋体" w:hAnsi="宋体" w:cs="宋体"/>
              </w:rPr>
            </w:pPr>
          </w:p>
        </w:tc>
        <w:tc>
          <w:tcPr>
            <w:tcW w:w="643" w:type="pct"/>
            <w:vMerge w:val="continue"/>
          </w:tcPr>
          <w:p w14:paraId="61833D3B">
            <w:pPr>
              <w:jc w:val="left"/>
              <w:rPr>
                <w:rFonts w:ascii="宋体" w:hAnsi="宋体" w:cs="宋体"/>
              </w:rPr>
            </w:pPr>
          </w:p>
        </w:tc>
        <w:tc>
          <w:tcPr>
            <w:tcW w:w="1716" w:type="pct"/>
          </w:tcPr>
          <w:p w14:paraId="4FD33EE9">
            <w:pPr>
              <w:jc w:val="left"/>
              <w:rPr>
                <w:rFonts w:ascii="宋体" w:hAnsi="宋体" w:cs="宋体"/>
              </w:rPr>
            </w:pPr>
            <w:r>
              <w:rPr>
                <w:rFonts w:hint="eastAsia" w:ascii="宋体" w:hAnsi="宋体" w:cs="宋体"/>
              </w:rPr>
              <w:t>内部交易产生（假设直线法摊销）</w:t>
            </w:r>
          </w:p>
        </w:tc>
        <w:tc>
          <w:tcPr>
            <w:tcW w:w="1856" w:type="pct"/>
          </w:tcPr>
          <w:p w14:paraId="379E768B">
            <w:pPr>
              <w:jc w:val="left"/>
              <w:rPr>
                <w:rFonts w:ascii="宋体" w:hAnsi="宋体" w:cs="宋体"/>
              </w:rPr>
            </w:pPr>
            <w:r>
              <w:rPr>
                <w:rFonts w:hint="eastAsia" w:ascii="宋体" w:hAnsi="宋体" w:cs="宋体"/>
              </w:rPr>
              <w:t>调减[（价格－账面）－（价格－账面）×n／12]</w:t>
            </w:r>
          </w:p>
        </w:tc>
      </w:tr>
      <w:tr w14:paraId="73117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pct"/>
            <w:vMerge w:val="continue"/>
          </w:tcPr>
          <w:p w14:paraId="18AE0B62">
            <w:pPr>
              <w:jc w:val="left"/>
              <w:rPr>
                <w:rFonts w:ascii="宋体" w:hAnsi="宋体" w:cs="宋体"/>
              </w:rPr>
            </w:pPr>
          </w:p>
        </w:tc>
        <w:tc>
          <w:tcPr>
            <w:tcW w:w="643" w:type="pct"/>
            <w:vMerge w:val="restart"/>
          </w:tcPr>
          <w:p w14:paraId="59A071E3">
            <w:pPr>
              <w:jc w:val="left"/>
              <w:rPr>
                <w:rFonts w:ascii="宋体" w:hAnsi="宋体" w:cs="宋体"/>
              </w:rPr>
            </w:pPr>
            <w:r>
              <w:rPr>
                <w:rFonts w:hint="eastAsia" w:ascii="宋体" w:hAnsi="宋体" w:cs="宋体"/>
              </w:rPr>
              <w:t>存货</w:t>
            </w:r>
          </w:p>
        </w:tc>
        <w:tc>
          <w:tcPr>
            <w:tcW w:w="1716" w:type="pct"/>
          </w:tcPr>
          <w:p w14:paraId="3099CCB2">
            <w:pPr>
              <w:jc w:val="left"/>
              <w:rPr>
                <w:rFonts w:ascii="宋体" w:hAnsi="宋体" w:cs="宋体"/>
              </w:rPr>
            </w:pPr>
            <w:r>
              <w:rPr>
                <w:rFonts w:hint="eastAsia" w:ascii="宋体" w:hAnsi="宋体" w:cs="宋体"/>
              </w:rPr>
              <w:t>投资时点评估增值</w:t>
            </w:r>
          </w:p>
        </w:tc>
        <w:tc>
          <w:tcPr>
            <w:tcW w:w="1856" w:type="pct"/>
          </w:tcPr>
          <w:p w14:paraId="451E522E">
            <w:pPr>
              <w:jc w:val="left"/>
              <w:rPr>
                <w:rFonts w:ascii="宋体" w:hAnsi="宋体" w:cs="宋体"/>
              </w:rPr>
            </w:pPr>
            <w:r>
              <w:rPr>
                <w:rFonts w:hint="eastAsia" w:ascii="宋体" w:hAnsi="宋体" w:cs="宋体"/>
              </w:rPr>
              <w:t xml:space="preserve">调减（公允－账面）×已出售比例 </w:t>
            </w:r>
          </w:p>
        </w:tc>
      </w:tr>
      <w:tr w14:paraId="44059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pct"/>
            <w:vMerge w:val="continue"/>
          </w:tcPr>
          <w:p w14:paraId="74EFC41E">
            <w:pPr>
              <w:jc w:val="left"/>
              <w:rPr>
                <w:rFonts w:ascii="宋体" w:hAnsi="宋体" w:cs="宋体"/>
              </w:rPr>
            </w:pPr>
          </w:p>
        </w:tc>
        <w:tc>
          <w:tcPr>
            <w:tcW w:w="643" w:type="pct"/>
            <w:vMerge w:val="continue"/>
          </w:tcPr>
          <w:p w14:paraId="2F1EF425">
            <w:pPr>
              <w:jc w:val="left"/>
              <w:rPr>
                <w:rFonts w:ascii="宋体" w:hAnsi="宋体" w:cs="宋体"/>
              </w:rPr>
            </w:pPr>
          </w:p>
        </w:tc>
        <w:tc>
          <w:tcPr>
            <w:tcW w:w="1716" w:type="pct"/>
          </w:tcPr>
          <w:p w14:paraId="36771D84">
            <w:pPr>
              <w:jc w:val="left"/>
              <w:rPr>
                <w:rFonts w:ascii="宋体" w:hAnsi="宋体" w:cs="宋体"/>
              </w:rPr>
            </w:pPr>
            <w:r>
              <w:rPr>
                <w:rFonts w:hint="eastAsia" w:ascii="宋体" w:hAnsi="宋体" w:cs="宋体"/>
              </w:rPr>
              <w:t>内部交易产生</w:t>
            </w:r>
          </w:p>
        </w:tc>
        <w:tc>
          <w:tcPr>
            <w:tcW w:w="1856" w:type="pct"/>
          </w:tcPr>
          <w:p w14:paraId="30534D12">
            <w:pPr>
              <w:jc w:val="left"/>
              <w:rPr>
                <w:rFonts w:ascii="宋体" w:hAnsi="宋体" w:cs="宋体"/>
              </w:rPr>
            </w:pPr>
            <w:r>
              <w:rPr>
                <w:rFonts w:hint="eastAsia" w:ascii="宋体" w:hAnsi="宋体" w:cs="宋体"/>
              </w:rPr>
              <w:t xml:space="preserve">调减（价格－账面）×未出售比例 </w:t>
            </w:r>
          </w:p>
        </w:tc>
      </w:tr>
    </w:tbl>
    <w:p w14:paraId="73C49BCF">
      <w:pPr>
        <w:jc w:val="left"/>
        <w:rPr>
          <w:rFonts w:hint="eastAsia" w:ascii="宋体" w:hAnsi="宋体" w:cs="宋体"/>
          <w:color w:val="FF0000"/>
        </w:rPr>
      </w:pPr>
      <w:r>
        <w:rPr>
          <w:rFonts w:hint="eastAsia" w:ascii="宋体" w:hAnsi="宋体" w:cs="宋体"/>
          <w:color w:val="FF0000"/>
        </w:rPr>
        <w:t>【考点】★★★长期股权投资核算方法的转换</w:t>
      </w:r>
    </w:p>
    <w:p w14:paraId="01E5E136">
      <w:pPr>
        <w:jc w:val="left"/>
        <w:rPr>
          <w:rFonts w:hint="eastAsia" w:ascii="宋体" w:hAnsi="宋体" w:cs="宋体"/>
        </w:rPr>
      </w:pPr>
      <w:r>
        <w:rPr>
          <w:rFonts w:hint="eastAsia" w:ascii="宋体" w:hAnsi="宋体" w:cs="宋体"/>
        </w:rPr>
        <w:drawing>
          <wp:inline distT="0" distB="0" distL="114300" distR="114300">
            <wp:extent cx="5207000" cy="2667635"/>
            <wp:effectExtent l="0" t="0" r="12700" b="184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207000" cy="2667635"/>
                    </a:xfrm>
                    <a:prstGeom prst="rect">
                      <a:avLst/>
                    </a:prstGeom>
                    <a:noFill/>
                    <a:ln>
                      <a:noFill/>
                    </a:ln>
                  </pic:spPr>
                </pic:pic>
              </a:graphicData>
            </a:graphic>
          </wp:inline>
        </w:drawing>
      </w:r>
    </w:p>
    <w:p w14:paraId="1E5E1888">
      <w:pPr>
        <w:overflowPunct w:val="0"/>
        <w:jc w:val="center"/>
        <w:rPr>
          <w:rFonts w:ascii="宋体" w:hAnsi="宋体" w:cs="宋体"/>
          <w:b/>
          <w:bCs/>
        </w:rPr>
      </w:pPr>
      <w:r>
        <w:rPr>
          <w:rFonts w:hint="eastAsia" w:ascii="宋体" w:hAnsi="宋体" w:cs="宋体"/>
          <w:b/>
          <w:bCs/>
        </w:rPr>
        <w:t>第六章  长期股权投资和合营安排</w:t>
      </w:r>
    </w:p>
    <w:p w14:paraId="297FDA10">
      <w:pPr>
        <w:jc w:val="left"/>
        <w:rPr>
          <w:rFonts w:ascii="宋体" w:hAnsi="宋体" w:cs="宋体"/>
        </w:rPr>
      </w:pPr>
      <w:r>
        <w:rPr>
          <w:rFonts w:hint="eastAsia" w:ascii="宋体" w:hAnsi="宋体" w:cs="宋体"/>
        </w:rPr>
        <w:t>（一）公允价值计量转为权益法核算</w:t>
      </w:r>
    </w:p>
    <w:p w14:paraId="52301C9D">
      <w:pPr>
        <w:jc w:val="left"/>
        <w:rPr>
          <w:rFonts w:ascii="宋体" w:hAnsi="宋体" w:cs="宋体"/>
        </w:rPr>
      </w:pPr>
      <w:r>
        <w:rPr>
          <w:rFonts w:hint="eastAsia" w:ascii="宋体" w:hAnsi="宋体" w:cs="宋体"/>
        </w:rPr>
        <w:t>10％→30％【提示：金融资产转为长投权益法，长投初始投资成本＝原公允价值＋新增投资公允价值，转其他】</w:t>
      </w:r>
    </w:p>
    <w:p w14:paraId="7170A9EC">
      <w:pPr>
        <w:jc w:val="left"/>
        <w:rPr>
          <w:rFonts w:ascii="宋体" w:hAnsi="宋体" w:cs="宋体"/>
        </w:rPr>
      </w:pPr>
      <w:r>
        <w:rPr>
          <w:rFonts w:hint="eastAsia" w:ascii="宋体" w:hAnsi="宋体" w:cs="宋体"/>
        </w:rPr>
        <w:t>（二）权益法核算转公允价值计量</w:t>
      </w:r>
    </w:p>
    <w:p w14:paraId="517AFCAE">
      <w:pPr>
        <w:jc w:val="left"/>
        <w:rPr>
          <w:rFonts w:ascii="宋体" w:hAnsi="宋体" w:cs="宋体"/>
        </w:rPr>
      </w:pPr>
      <w:r>
        <w:rPr>
          <w:rFonts w:hint="eastAsia" w:ascii="宋体" w:hAnsi="宋体" w:cs="宋体"/>
        </w:rPr>
        <w:t>30％→10％【提示：长投权益法转为金融资产，转其他】</w:t>
      </w:r>
    </w:p>
    <w:p w14:paraId="10761D3C">
      <w:pPr>
        <w:jc w:val="left"/>
        <w:rPr>
          <w:rFonts w:ascii="宋体" w:hAnsi="宋体" w:cs="宋体"/>
        </w:rPr>
      </w:pPr>
      <w:r>
        <w:rPr>
          <w:rFonts w:hint="eastAsia" w:ascii="宋体" w:hAnsi="宋体" w:cs="宋体"/>
        </w:rPr>
        <w:t>（三）成本法转公允价值计量</w:t>
      </w:r>
    </w:p>
    <w:p w14:paraId="65A93FC4">
      <w:pPr>
        <w:jc w:val="left"/>
        <w:rPr>
          <w:rFonts w:ascii="宋体" w:hAnsi="宋体" w:cs="宋体"/>
        </w:rPr>
      </w:pPr>
      <w:r>
        <w:rPr>
          <w:rFonts w:hint="eastAsia" w:ascii="宋体" w:hAnsi="宋体" w:cs="宋体"/>
        </w:rPr>
        <w:t>70％→10％【提示：长投成本法转为金融资产，金融资产初始入账成本＝剩余投资公允价值】</w:t>
      </w:r>
    </w:p>
    <w:p w14:paraId="6220376F">
      <w:pPr>
        <w:jc w:val="left"/>
        <w:rPr>
          <w:rFonts w:ascii="宋体" w:hAnsi="宋体" w:cs="宋体"/>
        </w:rPr>
      </w:pPr>
      <w:r>
        <w:rPr>
          <w:rFonts w:hint="eastAsia" w:ascii="宋体" w:hAnsi="宋体" w:cs="宋体"/>
        </w:rPr>
        <w:t>（四、五）公允价值计量或权益法核算转成本法核算</w:t>
      </w:r>
    </w:p>
    <w:p w14:paraId="366ED2C2">
      <w:pPr>
        <w:jc w:val="left"/>
        <w:rPr>
          <w:rFonts w:ascii="宋体" w:hAnsi="宋体" w:cs="宋体"/>
        </w:rPr>
      </w:pPr>
      <w:r>
        <w:rPr>
          <w:rFonts w:hint="eastAsia" w:ascii="宋体" w:hAnsi="宋体" w:cs="宋体"/>
        </w:rPr>
        <w:t>10％→70％【提示：金融资产转为长投成本法，（非同一控制）长投初始投资成本＝原公允价值＋新增投资公允价值，转其他；（同一控制）长投初始投资成本＝享有被投资方在最终控制方合并报表中所有者权益账面价值的份额，不转其他】</w:t>
      </w:r>
    </w:p>
    <w:p w14:paraId="2C2C5DA6">
      <w:pPr>
        <w:jc w:val="left"/>
        <w:rPr>
          <w:rFonts w:ascii="宋体" w:hAnsi="宋体" w:cs="宋体"/>
        </w:rPr>
      </w:pPr>
      <w:r>
        <w:rPr>
          <w:rFonts w:hint="eastAsia" w:ascii="宋体" w:hAnsi="宋体" w:cs="宋体"/>
        </w:rPr>
        <w:t>30％→70％【提示：长投权益法转成本，（非同一控制）长投初始投资成本＝原账面价值＋新增投资公允价值，不转其他；（同一控制）长投初始投资成本＝享有被投资方在最终控制方合并报表中所有者权益账面价值的份额，不转其他】</w:t>
      </w:r>
    </w:p>
    <w:p w14:paraId="40FBD9B0">
      <w:pPr>
        <w:jc w:val="left"/>
        <w:rPr>
          <w:rFonts w:ascii="宋体" w:hAnsi="宋体" w:cs="宋体"/>
        </w:rPr>
      </w:pPr>
      <w:r>
        <w:rPr>
          <w:rFonts w:hint="eastAsia" w:ascii="宋体" w:hAnsi="宋体" w:cs="宋体"/>
        </w:rPr>
        <w:t>（六）成本法转为权益法</w:t>
      </w:r>
    </w:p>
    <w:p w14:paraId="4FC5FAE8">
      <w:pPr>
        <w:jc w:val="left"/>
        <w:rPr>
          <w:rFonts w:ascii="宋体" w:hAnsi="宋体" w:cs="宋体"/>
        </w:rPr>
      </w:pPr>
      <w:r>
        <w:rPr>
          <w:rFonts w:hint="eastAsia" w:ascii="宋体" w:hAnsi="宋体" w:cs="宋体"/>
        </w:rPr>
        <w:t>70％→30％【提示：成本法转为长投权益法，追溯调整，按比例转其他】</w:t>
      </w:r>
    </w:p>
    <w:p w14:paraId="5D3E8A64">
      <w:pPr>
        <w:jc w:val="left"/>
        <w:rPr>
          <w:rFonts w:hint="eastAsia" w:ascii="宋体" w:hAnsi="宋体" w:cs="宋体"/>
        </w:rPr>
      </w:pPr>
      <w:r>
        <w:rPr>
          <w:rFonts w:hint="eastAsia" w:ascii="宋体" w:hAnsi="宋体" w:cs="宋体"/>
        </w:rPr>
        <w:t>追溯调整的方法：相同的划掉，多余的冲销，不足的补充</w:t>
      </w:r>
    </w:p>
    <w:tbl>
      <w:tblPr>
        <w:tblStyle w:val="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0"/>
        <w:gridCol w:w="1885"/>
        <w:gridCol w:w="2031"/>
        <w:gridCol w:w="3187"/>
        <w:gridCol w:w="2023"/>
      </w:tblGrid>
      <w:tr w14:paraId="7AB4E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tcPr>
          <w:p w14:paraId="55CDD2F3">
            <w:pPr>
              <w:jc w:val="center"/>
              <w:rPr>
                <w:rFonts w:ascii="宋体" w:hAnsi="宋体" w:cs="宋体"/>
              </w:rPr>
            </w:pPr>
            <w:r>
              <w:rPr>
                <w:rFonts w:hint="eastAsia" w:ascii="宋体" w:hAnsi="宋体" w:cs="宋体"/>
              </w:rPr>
              <w:t>序号</w:t>
            </w:r>
          </w:p>
        </w:tc>
        <w:tc>
          <w:tcPr>
            <w:tcW w:w="930" w:type="pct"/>
          </w:tcPr>
          <w:p w14:paraId="3D6A5A4C">
            <w:pPr>
              <w:jc w:val="center"/>
              <w:rPr>
                <w:rFonts w:ascii="宋体" w:hAnsi="宋体" w:cs="宋体"/>
              </w:rPr>
            </w:pPr>
            <w:r>
              <w:rPr>
                <w:rFonts w:hint="eastAsia" w:ascii="宋体" w:hAnsi="宋体" w:cs="宋体"/>
              </w:rPr>
              <w:t>时点</w:t>
            </w:r>
          </w:p>
        </w:tc>
        <w:tc>
          <w:tcPr>
            <w:tcW w:w="1002" w:type="pct"/>
          </w:tcPr>
          <w:p w14:paraId="009E4542">
            <w:pPr>
              <w:jc w:val="center"/>
              <w:rPr>
                <w:rFonts w:ascii="宋体" w:hAnsi="宋体" w:cs="宋体"/>
              </w:rPr>
            </w:pPr>
            <w:r>
              <w:rPr>
                <w:rFonts w:hint="eastAsia" w:ascii="宋体" w:hAnsi="宋体" w:cs="宋体"/>
              </w:rPr>
              <w:t>成本法A</w:t>
            </w:r>
          </w:p>
        </w:tc>
        <w:tc>
          <w:tcPr>
            <w:tcW w:w="1571" w:type="pct"/>
          </w:tcPr>
          <w:p w14:paraId="2F54F228">
            <w:pPr>
              <w:jc w:val="center"/>
              <w:rPr>
                <w:rFonts w:ascii="宋体" w:hAnsi="宋体" w:cs="宋体"/>
              </w:rPr>
            </w:pPr>
            <w:r>
              <w:rPr>
                <w:rFonts w:hint="eastAsia" w:ascii="宋体" w:hAnsi="宋体" w:cs="宋体"/>
              </w:rPr>
              <w:t>＋调整B倒挤</w:t>
            </w:r>
          </w:p>
        </w:tc>
        <w:tc>
          <w:tcPr>
            <w:tcW w:w="999" w:type="pct"/>
          </w:tcPr>
          <w:p w14:paraId="0CD892D0">
            <w:pPr>
              <w:jc w:val="center"/>
              <w:rPr>
                <w:rFonts w:ascii="宋体" w:hAnsi="宋体" w:cs="宋体"/>
              </w:rPr>
            </w:pPr>
            <w:r>
              <w:rPr>
                <w:rFonts w:hint="eastAsia" w:ascii="宋体" w:hAnsi="宋体" w:cs="宋体"/>
              </w:rPr>
              <w:t>＝权益法C</w:t>
            </w:r>
          </w:p>
        </w:tc>
      </w:tr>
      <w:tr w14:paraId="5E71B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vMerge w:val="restart"/>
          </w:tcPr>
          <w:p w14:paraId="0F8CA319">
            <w:pPr>
              <w:jc w:val="center"/>
              <w:rPr>
                <w:rFonts w:ascii="宋体" w:hAnsi="宋体" w:cs="宋体"/>
              </w:rPr>
            </w:pPr>
            <w:r>
              <w:rPr>
                <w:rFonts w:hint="eastAsia" w:ascii="宋体" w:hAnsi="宋体" w:cs="宋体"/>
              </w:rPr>
              <w:t>1</w:t>
            </w:r>
          </w:p>
        </w:tc>
        <w:tc>
          <w:tcPr>
            <w:tcW w:w="930" w:type="pct"/>
          </w:tcPr>
          <w:p w14:paraId="0093870B">
            <w:pPr>
              <w:jc w:val="left"/>
              <w:rPr>
                <w:rFonts w:ascii="宋体" w:hAnsi="宋体" w:cs="宋体"/>
              </w:rPr>
            </w:pPr>
            <w:r>
              <w:rPr>
                <w:rFonts w:hint="eastAsia" w:ascii="宋体" w:hAnsi="宋体" w:cs="宋体"/>
              </w:rPr>
              <w:t>投资时</w:t>
            </w:r>
          </w:p>
          <w:p w14:paraId="4C1A962F">
            <w:pPr>
              <w:jc w:val="left"/>
              <w:rPr>
                <w:rFonts w:ascii="宋体" w:hAnsi="宋体" w:cs="宋体"/>
              </w:rPr>
            </w:pPr>
            <w:r>
              <w:rPr>
                <w:rFonts w:hint="eastAsia" w:ascii="宋体" w:hAnsi="宋体" w:cs="宋体"/>
              </w:rPr>
              <w:t>投资额＜份额</w:t>
            </w:r>
          </w:p>
        </w:tc>
        <w:tc>
          <w:tcPr>
            <w:tcW w:w="1002" w:type="pct"/>
          </w:tcPr>
          <w:p w14:paraId="2BE8FB75">
            <w:pPr>
              <w:jc w:val="left"/>
              <w:rPr>
                <w:rFonts w:ascii="宋体" w:hAnsi="宋体" w:cs="宋体"/>
              </w:rPr>
            </w:pPr>
            <w:r>
              <w:rPr>
                <w:rFonts w:hint="eastAsia" w:ascii="宋体" w:hAnsi="宋体" w:cs="宋体"/>
              </w:rPr>
              <w:t>借：长期股权投资</w:t>
            </w:r>
          </w:p>
          <w:p w14:paraId="0900007A">
            <w:pPr>
              <w:jc w:val="left"/>
              <w:rPr>
                <w:rFonts w:ascii="宋体" w:hAnsi="宋体" w:cs="宋体"/>
              </w:rPr>
            </w:pPr>
            <w:r>
              <w:rPr>
                <w:rFonts w:hint="eastAsia" w:ascii="宋体" w:hAnsi="宋体" w:cs="宋体"/>
              </w:rPr>
              <w:t>　　贷：银行存款</w:t>
            </w:r>
          </w:p>
        </w:tc>
        <w:tc>
          <w:tcPr>
            <w:tcW w:w="1571" w:type="pct"/>
          </w:tcPr>
          <w:p w14:paraId="369F5537">
            <w:pPr>
              <w:jc w:val="left"/>
              <w:rPr>
                <w:rFonts w:ascii="宋体" w:hAnsi="宋体" w:cs="宋体"/>
              </w:rPr>
            </w:pPr>
            <w:r>
              <w:rPr>
                <w:rFonts w:hint="eastAsia" w:ascii="宋体" w:hAnsi="宋体" w:cs="宋体"/>
              </w:rPr>
              <w:t>借：长期股权投资——投资成本</w:t>
            </w:r>
          </w:p>
          <w:p w14:paraId="76DABB9E">
            <w:pPr>
              <w:jc w:val="left"/>
              <w:rPr>
                <w:rFonts w:ascii="宋体" w:hAnsi="宋体" w:cs="宋体"/>
              </w:rPr>
            </w:pPr>
            <w:r>
              <w:rPr>
                <w:rFonts w:hint="eastAsia" w:ascii="宋体" w:hAnsi="宋体" w:cs="宋体"/>
              </w:rPr>
              <w:t xml:space="preserve">　　贷：利润分配——未分配利润 </w:t>
            </w:r>
          </w:p>
          <w:p w14:paraId="73827A0E">
            <w:pPr>
              <w:jc w:val="left"/>
              <w:rPr>
                <w:rFonts w:ascii="宋体" w:hAnsi="宋体" w:cs="宋体"/>
              </w:rPr>
            </w:pPr>
            <w:r>
              <w:rPr>
                <w:rFonts w:hint="eastAsia" w:ascii="宋体" w:hAnsi="宋体" w:cs="宋体"/>
              </w:rPr>
              <w:t>　　　　</w:t>
            </w:r>
          </w:p>
        </w:tc>
        <w:tc>
          <w:tcPr>
            <w:tcW w:w="999" w:type="pct"/>
          </w:tcPr>
          <w:p w14:paraId="28E0EB76">
            <w:pPr>
              <w:jc w:val="left"/>
              <w:rPr>
                <w:rFonts w:ascii="宋体" w:hAnsi="宋体" w:cs="宋体"/>
              </w:rPr>
            </w:pPr>
            <w:r>
              <w:rPr>
                <w:rFonts w:hint="eastAsia" w:ascii="宋体" w:hAnsi="宋体" w:cs="宋体"/>
              </w:rPr>
              <w:t>借：长期股权投资——投资成本</w:t>
            </w:r>
          </w:p>
          <w:p w14:paraId="3F85F294">
            <w:pPr>
              <w:jc w:val="left"/>
              <w:rPr>
                <w:rFonts w:ascii="宋体" w:hAnsi="宋体" w:cs="宋体"/>
              </w:rPr>
            </w:pPr>
            <w:r>
              <w:rPr>
                <w:rFonts w:hint="eastAsia" w:ascii="宋体" w:hAnsi="宋体" w:cs="宋体"/>
              </w:rPr>
              <w:t>　　贷：银行存款</w:t>
            </w:r>
          </w:p>
          <w:p w14:paraId="77894481">
            <w:pPr>
              <w:jc w:val="left"/>
              <w:rPr>
                <w:rFonts w:ascii="宋体" w:hAnsi="宋体" w:cs="宋体"/>
              </w:rPr>
            </w:pPr>
            <w:r>
              <w:rPr>
                <w:rFonts w:hint="eastAsia" w:ascii="宋体" w:hAnsi="宋体" w:cs="宋体"/>
              </w:rPr>
              <w:t>　　　　营业外收入</w:t>
            </w:r>
          </w:p>
        </w:tc>
      </w:tr>
      <w:tr w14:paraId="648C8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vMerge w:val="continue"/>
          </w:tcPr>
          <w:p w14:paraId="0E40B2AA">
            <w:pPr>
              <w:overflowPunct w:val="0"/>
              <w:jc w:val="left"/>
              <w:rPr>
                <w:rFonts w:ascii="宋体" w:hAnsi="宋体" w:cs="宋体"/>
              </w:rPr>
            </w:pPr>
          </w:p>
        </w:tc>
        <w:tc>
          <w:tcPr>
            <w:tcW w:w="930" w:type="pct"/>
          </w:tcPr>
          <w:p w14:paraId="211CF500">
            <w:pPr>
              <w:jc w:val="left"/>
              <w:rPr>
                <w:rFonts w:ascii="宋体" w:hAnsi="宋体" w:cs="宋体"/>
              </w:rPr>
            </w:pPr>
            <w:r>
              <w:rPr>
                <w:rFonts w:hint="eastAsia" w:ascii="宋体" w:hAnsi="宋体" w:cs="宋体"/>
              </w:rPr>
              <w:t>投资额≥份额</w:t>
            </w:r>
          </w:p>
        </w:tc>
        <w:tc>
          <w:tcPr>
            <w:tcW w:w="1002" w:type="pct"/>
          </w:tcPr>
          <w:p w14:paraId="3CAABBD3">
            <w:pPr>
              <w:overflowPunct w:val="0"/>
              <w:jc w:val="left"/>
              <w:rPr>
                <w:rFonts w:ascii="宋体" w:hAnsi="宋体" w:cs="宋体"/>
              </w:rPr>
            </w:pPr>
          </w:p>
        </w:tc>
        <w:tc>
          <w:tcPr>
            <w:tcW w:w="1571" w:type="pct"/>
          </w:tcPr>
          <w:p w14:paraId="1F98AF92">
            <w:pPr>
              <w:jc w:val="left"/>
              <w:rPr>
                <w:rFonts w:ascii="宋体" w:hAnsi="宋体" w:cs="宋体"/>
              </w:rPr>
            </w:pPr>
            <w:r>
              <w:rPr>
                <w:rFonts w:hint="eastAsia" w:ascii="宋体" w:hAnsi="宋体" w:cs="宋体"/>
              </w:rPr>
              <w:t xml:space="preserve">不调 </w:t>
            </w:r>
          </w:p>
        </w:tc>
        <w:tc>
          <w:tcPr>
            <w:tcW w:w="999" w:type="pct"/>
          </w:tcPr>
          <w:p w14:paraId="1F97BFA1">
            <w:pPr>
              <w:overflowPunct w:val="0"/>
              <w:jc w:val="left"/>
              <w:rPr>
                <w:rFonts w:ascii="宋体" w:hAnsi="宋体" w:cs="宋体"/>
              </w:rPr>
            </w:pPr>
          </w:p>
        </w:tc>
      </w:tr>
      <w:tr w14:paraId="1ABF2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tcPr>
          <w:p w14:paraId="20A5899A">
            <w:pPr>
              <w:jc w:val="center"/>
              <w:rPr>
                <w:rFonts w:ascii="宋体" w:hAnsi="宋体" w:cs="宋体"/>
              </w:rPr>
            </w:pPr>
            <w:r>
              <w:rPr>
                <w:rFonts w:hint="eastAsia" w:ascii="宋体" w:hAnsi="宋体" w:cs="宋体"/>
              </w:rPr>
              <w:t>2</w:t>
            </w:r>
          </w:p>
        </w:tc>
        <w:tc>
          <w:tcPr>
            <w:tcW w:w="930" w:type="pct"/>
          </w:tcPr>
          <w:p w14:paraId="4BEE5BBF">
            <w:pPr>
              <w:jc w:val="left"/>
              <w:rPr>
                <w:rFonts w:ascii="宋体" w:hAnsi="宋体" w:cs="宋体"/>
              </w:rPr>
            </w:pPr>
            <w:r>
              <w:rPr>
                <w:rFonts w:hint="eastAsia" w:ascii="宋体" w:hAnsi="宋体" w:cs="宋体"/>
              </w:rPr>
              <w:t>年底净利润</w:t>
            </w:r>
          </w:p>
        </w:tc>
        <w:tc>
          <w:tcPr>
            <w:tcW w:w="1002" w:type="pct"/>
          </w:tcPr>
          <w:p w14:paraId="30FDEB88">
            <w:pPr>
              <w:jc w:val="left"/>
              <w:rPr>
                <w:rFonts w:ascii="宋体" w:hAnsi="宋体" w:cs="宋体"/>
              </w:rPr>
            </w:pPr>
            <w:r>
              <w:rPr>
                <w:rFonts w:hint="eastAsia" w:ascii="宋体" w:hAnsi="宋体" w:cs="宋体"/>
              </w:rPr>
              <w:t>不做账</w:t>
            </w:r>
          </w:p>
        </w:tc>
        <w:tc>
          <w:tcPr>
            <w:tcW w:w="1571" w:type="pct"/>
          </w:tcPr>
          <w:p w14:paraId="1DC33B57">
            <w:pPr>
              <w:jc w:val="left"/>
              <w:rPr>
                <w:rFonts w:ascii="宋体" w:hAnsi="宋体" w:cs="宋体"/>
              </w:rPr>
            </w:pPr>
            <w:r>
              <w:rPr>
                <w:rFonts w:hint="eastAsia" w:ascii="宋体" w:hAnsi="宋体" w:cs="宋体"/>
              </w:rPr>
              <w:t>借：长期股权投资——损益调整</w:t>
            </w:r>
          </w:p>
          <w:p w14:paraId="7A4DE55C">
            <w:pPr>
              <w:jc w:val="left"/>
              <w:rPr>
                <w:rFonts w:ascii="宋体" w:hAnsi="宋体" w:cs="宋体"/>
              </w:rPr>
            </w:pPr>
            <w:r>
              <w:rPr>
                <w:rFonts w:hint="eastAsia" w:ascii="宋体" w:hAnsi="宋体" w:cs="宋体"/>
              </w:rPr>
              <w:t xml:space="preserve">　　贷：投资收益（当年净利润的份额） </w:t>
            </w:r>
          </w:p>
          <w:p w14:paraId="0486487F">
            <w:pPr>
              <w:jc w:val="left"/>
              <w:rPr>
                <w:rFonts w:ascii="宋体" w:hAnsi="宋体" w:cs="宋体"/>
              </w:rPr>
            </w:pPr>
            <w:r>
              <w:rPr>
                <w:rFonts w:hint="eastAsia" w:ascii="宋体" w:hAnsi="宋体" w:cs="宋体"/>
              </w:rPr>
              <w:t xml:space="preserve">　　　　利润分配——未分配利润（以前年度净利润的份额） </w:t>
            </w:r>
          </w:p>
          <w:p w14:paraId="0A87CF33">
            <w:pPr>
              <w:jc w:val="left"/>
              <w:rPr>
                <w:rFonts w:ascii="宋体" w:hAnsi="宋体" w:cs="宋体"/>
              </w:rPr>
            </w:pPr>
            <w:r>
              <w:rPr>
                <w:rFonts w:hint="eastAsia" w:ascii="宋体" w:hAnsi="宋体" w:cs="宋体"/>
              </w:rPr>
              <w:t>　　　　</w:t>
            </w:r>
          </w:p>
        </w:tc>
        <w:tc>
          <w:tcPr>
            <w:tcW w:w="999" w:type="pct"/>
          </w:tcPr>
          <w:p w14:paraId="04AACD26">
            <w:pPr>
              <w:jc w:val="left"/>
              <w:rPr>
                <w:rFonts w:ascii="宋体" w:hAnsi="宋体" w:cs="宋体"/>
              </w:rPr>
            </w:pPr>
            <w:r>
              <w:rPr>
                <w:rFonts w:hint="eastAsia" w:ascii="宋体" w:hAnsi="宋体" w:cs="宋体"/>
              </w:rPr>
              <w:t>借：长期股权投资——损益调整</w:t>
            </w:r>
          </w:p>
          <w:p w14:paraId="1B648C59">
            <w:pPr>
              <w:jc w:val="left"/>
              <w:rPr>
                <w:rFonts w:ascii="宋体" w:hAnsi="宋体" w:cs="宋体"/>
              </w:rPr>
            </w:pPr>
            <w:r>
              <w:rPr>
                <w:rFonts w:hint="eastAsia" w:ascii="宋体" w:hAnsi="宋体" w:cs="宋体"/>
              </w:rPr>
              <w:t>　　贷：投资收益</w:t>
            </w:r>
          </w:p>
        </w:tc>
      </w:tr>
      <w:tr w14:paraId="26E79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tcPr>
          <w:p w14:paraId="6D0C8FD2">
            <w:pPr>
              <w:jc w:val="center"/>
              <w:rPr>
                <w:rFonts w:ascii="宋体" w:hAnsi="宋体" w:cs="宋体"/>
              </w:rPr>
            </w:pPr>
            <w:r>
              <w:rPr>
                <w:rFonts w:hint="eastAsia" w:ascii="宋体" w:hAnsi="宋体" w:cs="宋体"/>
              </w:rPr>
              <w:t>3</w:t>
            </w:r>
          </w:p>
        </w:tc>
        <w:tc>
          <w:tcPr>
            <w:tcW w:w="930" w:type="pct"/>
          </w:tcPr>
          <w:p w14:paraId="3CEE979F">
            <w:pPr>
              <w:jc w:val="left"/>
              <w:rPr>
                <w:rFonts w:ascii="宋体" w:hAnsi="宋体" w:cs="宋体"/>
              </w:rPr>
            </w:pPr>
            <w:r>
              <w:rPr>
                <w:rFonts w:hint="eastAsia" w:ascii="宋体" w:hAnsi="宋体" w:cs="宋体"/>
              </w:rPr>
              <w:t>分配</w:t>
            </w:r>
          </w:p>
          <w:p w14:paraId="241932C6">
            <w:pPr>
              <w:jc w:val="left"/>
              <w:rPr>
                <w:rFonts w:ascii="宋体" w:hAnsi="宋体" w:cs="宋体"/>
              </w:rPr>
            </w:pPr>
            <w:r>
              <w:rPr>
                <w:rFonts w:hint="eastAsia" w:ascii="宋体" w:hAnsi="宋体" w:cs="宋体"/>
              </w:rPr>
              <w:t>利润</w:t>
            </w:r>
          </w:p>
        </w:tc>
        <w:tc>
          <w:tcPr>
            <w:tcW w:w="1002" w:type="pct"/>
          </w:tcPr>
          <w:p w14:paraId="7A8530B9">
            <w:pPr>
              <w:jc w:val="left"/>
              <w:rPr>
                <w:rFonts w:ascii="宋体" w:hAnsi="宋体" w:cs="宋体"/>
              </w:rPr>
            </w:pPr>
            <w:r>
              <w:rPr>
                <w:rFonts w:hint="eastAsia" w:ascii="宋体" w:hAnsi="宋体" w:cs="宋体"/>
              </w:rPr>
              <w:t>借：应收股利</w:t>
            </w:r>
          </w:p>
          <w:p w14:paraId="2FD5795F">
            <w:pPr>
              <w:jc w:val="left"/>
              <w:rPr>
                <w:rFonts w:ascii="宋体" w:hAnsi="宋体" w:cs="宋体"/>
              </w:rPr>
            </w:pPr>
            <w:r>
              <w:rPr>
                <w:rFonts w:hint="eastAsia" w:ascii="宋体" w:hAnsi="宋体" w:cs="宋体"/>
              </w:rPr>
              <w:t>　　贷：投资收益</w:t>
            </w:r>
          </w:p>
        </w:tc>
        <w:tc>
          <w:tcPr>
            <w:tcW w:w="1571" w:type="pct"/>
          </w:tcPr>
          <w:p w14:paraId="151C0E56">
            <w:pPr>
              <w:jc w:val="left"/>
              <w:rPr>
                <w:rFonts w:ascii="宋体" w:hAnsi="宋体" w:cs="宋体"/>
              </w:rPr>
            </w:pPr>
            <w:r>
              <w:rPr>
                <w:rFonts w:hint="eastAsia" w:ascii="宋体" w:hAnsi="宋体" w:cs="宋体"/>
              </w:rPr>
              <w:t>借：投资收益（当年分配股利的份额）</w:t>
            </w:r>
          </w:p>
          <w:p w14:paraId="70034EC4">
            <w:pPr>
              <w:jc w:val="left"/>
              <w:rPr>
                <w:rFonts w:ascii="宋体" w:hAnsi="宋体" w:cs="宋体"/>
              </w:rPr>
            </w:pPr>
            <w:r>
              <w:rPr>
                <w:rFonts w:hint="eastAsia" w:ascii="宋体" w:hAnsi="宋体" w:cs="宋体"/>
              </w:rPr>
              <w:t>　　利润分配——未分配利润（以前年度分配股利的份额）</w:t>
            </w:r>
          </w:p>
          <w:p w14:paraId="7B527E8F">
            <w:pPr>
              <w:jc w:val="left"/>
              <w:rPr>
                <w:rFonts w:ascii="宋体" w:hAnsi="宋体" w:cs="宋体"/>
              </w:rPr>
            </w:pPr>
            <w:r>
              <w:rPr>
                <w:rFonts w:hint="eastAsia" w:ascii="宋体" w:hAnsi="宋体" w:cs="宋体"/>
              </w:rPr>
              <w:t>　　贷：长期股权投资——损益调整</w:t>
            </w:r>
          </w:p>
        </w:tc>
        <w:tc>
          <w:tcPr>
            <w:tcW w:w="999" w:type="pct"/>
          </w:tcPr>
          <w:p w14:paraId="0F65E45B">
            <w:pPr>
              <w:jc w:val="left"/>
              <w:rPr>
                <w:rFonts w:ascii="宋体" w:hAnsi="宋体" w:cs="宋体"/>
              </w:rPr>
            </w:pPr>
            <w:r>
              <w:rPr>
                <w:rFonts w:hint="eastAsia" w:ascii="宋体" w:hAnsi="宋体" w:cs="宋体"/>
              </w:rPr>
              <w:t>借：应收股利</w:t>
            </w:r>
          </w:p>
          <w:p w14:paraId="19D61EF3">
            <w:pPr>
              <w:jc w:val="left"/>
              <w:rPr>
                <w:rFonts w:ascii="宋体" w:hAnsi="宋体" w:cs="宋体"/>
              </w:rPr>
            </w:pPr>
            <w:r>
              <w:rPr>
                <w:rFonts w:hint="eastAsia" w:ascii="宋体" w:hAnsi="宋体" w:cs="宋体"/>
              </w:rPr>
              <w:t>　　贷：长期股权投资——损益调整</w:t>
            </w:r>
          </w:p>
        </w:tc>
      </w:tr>
      <w:tr w14:paraId="483AA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tcPr>
          <w:p w14:paraId="7A92FD4D">
            <w:pPr>
              <w:jc w:val="center"/>
              <w:rPr>
                <w:rFonts w:ascii="宋体" w:hAnsi="宋体" w:cs="宋体"/>
              </w:rPr>
            </w:pPr>
            <w:r>
              <w:rPr>
                <w:rFonts w:hint="eastAsia" w:ascii="宋体" w:hAnsi="宋体" w:cs="宋体"/>
              </w:rPr>
              <w:t>4</w:t>
            </w:r>
          </w:p>
        </w:tc>
        <w:tc>
          <w:tcPr>
            <w:tcW w:w="930" w:type="pct"/>
          </w:tcPr>
          <w:p w14:paraId="4FD9001A">
            <w:pPr>
              <w:jc w:val="left"/>
              <w:rPr>
                <w:rFonts w:ascii="宋体" w:hAnsi="宋体" w:cs="宋体"/>
              </w:rPr>
            </w:pPr>
            <w:r>
              <w:rPr>
                <w:rFonts w:hint="eastAsia" w:ascii="宋体" w:hAnsi="宋体" w:cs="宋体"/>
              </w:rPr>
              <w:t>其他综合收益</w:t>
            </w:r>
          </w:p>
          <w:p w14:paraId="65AE6EB7">
            <w:pPr>
              <w:jc w:val="left"/>
              <w:rPr>
                <w:rFonts w:ascii="宋体" w:hAnsi="宋体" w:cs="宋体"/>
              </w:rPr>
            </w:pPr>
            <w:r>
              <w:rPr>
                <w:rFonts w:hint="eastAsia" w:ascii="宋体" w:hAnsi="宋体" w:cs="宋体"/>
              </w:rPr>
              <w:t>资本公积——其他资本公积</w:t>
            </w:r>
          </w:p>
        </w:tc>
        <w:tc>
          <w:tcPr>
            <w:tcW w:w="1002" w:type="pct"/>
          </w:tcPr>
          <w:p w14:paraId="0FA3D407">
            <w:pPr>
              <w:jc w:val="left"/>
              <w:rPr>
                <w:rFonts w:ascii="宋体" w:hAnsi="宋体" w:cs="宋体"/>
              </w:rPr>
            </w:pPr>
            <w:r>
              <w:rPr>
                <w:rFonts w:hint="eastAsia" w:ascii="宋体" w:hAnsi="宋体" w:cs="宋体"/>
              </w:rPr>
              <w:t>不做账</w:t>
            </w:r>
          </w:p>
        </w:tc>
        <w:tc>
          <w:tcPr>
            <w:tcW w:w="1572" w:type="pct"/>
          </w:tcPr>
          <w:p w14:paraId="0921F0E8">
            <w:pPr>
              <w:jc w:val="left"/>
              <w:rPr>
                <w:rFonts w:ascii="宋体" w:hAnsi="宋体" w:cs="宋体"/>
              </w:rPr>
            </w:pPr>
            <w:r>
              <w:rPr>
                <w:rFonts w:hint="eastAsia" w:ascii="宋体" w:hAnsi="宋体" w:cs="宋体"/>
              </w:rPr>
              <w:t xml:space="preserve">借：长期股权投资——其他综合收益 </w:t>
            </w:r>
          </w:p>
          <w:p w14:paraId="1CB0C5D0">
            <w:pPr>
              <w:jc w:val="left"/>
              <w:rPr>
                <w:rFonts w:ascii="宋体" w:hAnsi="宋体" w:cs="宋体"/>
              </w:rPr>
            </w:pPr>
            <w:r>
              <w:rPr>
                <w:rFonts w:hint="eastAsia" w:ascii="宋体" w:hAnsi="宋体" w:cs="宋体"/>
              </w:rPr>
              <w:t xml:space="preserve">　　　　       　　——其他权益变动 </w:t>
            </w:r>
          </w:p>
          <w:p w14:paraId="57230D4A">
            <w:pPr>
              <w:jc w:val="left"/>
              <w:rPr>
                <w:rFonts w:ascii="宋体" w:hAnsi="宋体" w:cs="宋体"/>
              </w:rPr>
            </w:pPr>
            <w:r>
              <w:rPr>
                <w:rFonts w:hint="eastAsia" w:ascii="宋体" w:hAnsi="宋体" w:cs="宋体"/>
              </w:rPr>
              <w:t xml:space="preserve">　　贷：其他综合收益 </w:t>
            </w:r>
          </w:p>
          <w:p w14:paraId="627164D4">
            <w:pPr>
              <w:jc w:val="left"/>
              <w:rPr>
                <w:rFonts w:ascii="宋体" w:hAnsi="宋体" w:cs="宋体"/>
              </w:rPr>
            </w:pPr>
            <w:r>
              <w:rPr>
                <w:rFonts w:hint="eastAsia" w:ascii="宋体" w:hAnsi="宋体" w:cs="宋体"/>
              </w:rPr>
              <w:t>　　　　资本公积——其他资本公积</w:t>
            </w:r>
          </w:p>
          <w:p w14:paraId="1C9F2A68">
            <w:pPr>
              <w:jc w:val="left"/>
              <w:rPr>
                <w:rFonts w:ascii="宋体" w:hAnsi="宋体" w:cs="宋体"/>
              </w:rPr>
            </w:pPr>
            <w:r>
              <w:rPr>
                <w:rFonts w:hint="eastAsia" w:ascii="宋体" w:hAnsi="宋体" w:cs="宋体"/>
              </w:rPr>
              <w:t xml:space="preserve">或相反分录 </w:t>
            </w:r>
          </w:p>
        </w:tc>
        <w:tc>
          <w:tcPr>
            <w:tcW w:w="999" w:type="pct"/>
          </w:tcPr>
          <w:p w14:paraId="674F44ED">
            <w:pPr>
              <w:jc w:val="left"/>
              <w:rPr>
                <w:rFonts w:ascii="宋体" w:hAnsi="宋体" w:cs="宋体"/>
              </w:rPr>
            </w:pPr>
            <w:r>
              <w:rPr>
                <w:rFonts w:hint="eastAsia" w:ascii="宋体" w:hAnsi="宋体" w:cs="宋体"/>
              </w:rPr>
              <w:t xml:space="preserve">借：长期股权投资——其他综合收益 </w:t>
            </w:r>
          </w:p>
          <w:p w14:paraId="10DBFA95">
            <w:pPr>
              <w:jc w:val="left"/>
              <w:rPr>
                <w:rFonts w:ascii="宋体" w:hAnsi="宋体" w:cs="宋体"/>
              </w:rPr>
            </w:pPr>
            <w:r>
              <w:rPr>
                <w:rFonts w:hint="eastAsia" w:ascii="宋体" w:hAnsi="宋体" w:cs="宋体"/>
              </w:rPr>
              <w:t xml:space="preserve">　　　　        　　——其他权益变动 </w:t>
            </w:r>
          </w:p>
          <w:p w14:paraId="538B2B16">
            <w:pPr>
              <w:jc w:val="left"/>
              <w:rPr>
                <w:rFonts w:ascii="宋体" w:hAnsi="宋体" w:cs="宋体"/>
              </w:rPr>
            </w:pPr>
            <w:r>
              <w:rPr>
                <w:rFonts w:hint="eastAsia" w:ascii="宋体" w:hAnsi="宋体" w:cs="宋体"/>
              </w:rPr>
              <w:t xml:space="preserve">　　贷：其他综合收益 </w:t>
            </w:r>
          </w:p>
          <w:p w14:paraId="2BCE3621">
            <w:pPr>
              <w:jc w:val="left"/>
              <w:rPr>
                <w:rFonts w:ascii="宋体" w:hAnsi="宋体" w:cs="宋体"/>
              </w:rPr>
            </w:pPr>
            <w:r>
              <w:rPr>
                <w:rFonts w:hint="eastAsia" w:ascii="宋体" w:hAnsi="宋体" w:cs="宋体"/>
              </w:rPr>
              <w:t xml:space="preserve">　　　　资本公积—　　　　　　　　—其他资本公积 </w:t>
            </w:r>
          </w:p>
          <w:p w14:paraId="72832CA6">
            <w:pPr>
              <w:jc w:val="left"/>
              <w:rPr>
                <w:rFonts w:ascii="宋体" w:hAnsi="宋体" w:cs="宋体"/>
              </w:rPr>
            </w:pPr>
            <w:r>
              <w:rPr>
                <w:rFonts w:hint="eastAsia" w:ascii="宋体" w:hAnsi="宋体" w:cs="宋体"/>
              </w:rPr>
              <w:t>或相反分录</w:t>
            </w:r>
          </w:p>
        </w:tc>
      </w:tr>
    </w:tbl>
    <w:p w14:paraId="7FD4F515">
      <w:pPr>
        <w:overflowPunct w:val="0"/>
        <w:jc w:val="left"/>
        <w:rPr>
          <w:rFonts w:ascii="宋体" w:hAnsi="宋体" w:cs="宋体"/>
        </w:rPr>
      </w:pP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6"/>
        <w:gridCol w:w="8402"/>
      </w:tblGrid>
      <w:tr w14:paraId="5BBCE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pct"/>
            <w:vMerge w:val="restart"/>
          </w:tcPr>
          <w:p w14:paraId="5DF265D3">
            <w:pPr>
              <w:jc w:val="left"/>
              <w:rPr>
                <w:rFonts w:ascii="宋体" w:hAnsi="宋体" w:cs="宋体"/>
              </w:rPr>
            </w:pPr>
            <w:r>
              <w:rPr>
                <w:rFonts w:hint="eastAsia" w:ascii="宋体" w:hAnsi="宋体" w:cs="宋体"/>
              </w:rPr>
              <w:t>由于新股东加入，本公司股份稀释，从成本法转为权益法</w:t>
            </w:r>
          </w:p>
        </w:tc>
        <w:tc>
          <w:tcPr>
            <w:tcW w:w="4144" w:type="pct"/>
          </w:tcPr>
          <w:p w14:paraId="4B0CCDE0">
            <w:pPr>
              <w:jc w:val="left"/>
              <w:rPr>
                <w:rFonts w:ascii="宋体" w:hAnsi="宋体" w:cs="宋体"/>
              </w:rPr>
            </w:pPr>
            <w:r>
              <w:rPr>
                <w:rFonts w:hint="eastAsia" w:ascii="宋体" w:hAnsi="宋体" w:cs="宋体"/>
              </w:rPr>
              <w:t>1.按比例结转长投账面价值并确认投资收益</w:t>
            </w:r>
          </w:p>
          <w:p w14:paraId="0570226C">
            <w:pPr>
              <w:jc w:val="left"/>
              <w:rPr>
                <w:rFonts w:ascii="宋体" w:hAnsi="宋体" w:cs="宋体"/>
                <w:color w:val="FF0000"/>
              </w:rPr>
            </w:pPr>
            <w:r>
              <w:rPr>
                <w:rFonts w:hint="eastAsia" w:ascii="宋体" w:hAnsi="宋体" w:cs="宋体"/>
              </w:rPr>
              <w:t>借：长期股权投资</w:t>
            </w:r>
            <w:r>
              <w:rPr>
                <w:rFonts w:hint="eastAsia" w:ascii="宋体" w:hAnsi="宋体" w:cs="宋体"/>
                <w:color w:val="FF0000"/>
              </w:rPr>
              <w:t>（新增股份价值－老股份减资的价值）</w:t>
            </w:r>
          </w:p>
          <w:p w14:paraId="62D66BBE">
            <w:pPr>
              <w:jc w:val="left"/>
              <w:rPr>
                <w:rFonts w:ascii="宋体" w:hAnsi="宋体" w:cs="宋体"/>
              </w:rPr>
            </w:pPr>
            <w:r>
              <w:rPr>
                <w:rFonts w:hint="eastAsia" w:ascii="宋体" w:hAnsi="宋体" w:cs="宋体"/>
              </w:rPr>
              <w:t>　　贷：投资收益</w:t>
            </w:r>
          </w:p>
        </w:tc>
      </w:tr>
      <w:tr w14:paraId="2E6FD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pct"/>
            <w:vMerge w:val="continue"/>
          </w:tcPr>
          <w:p w14:paraId="56B60C73">
            <w:pPr>
              <w:overflowPunct w:val="0"/>
              <w:jc w:val="left"/>
              <w:rPr>
                <w:rFonts w:ascii="宋体" w:hAnsi="宋体" w:cs="宋体"/>
              </w:rPr>
            </w:pPr>
          </w:p>
        </w:tc>
        <w:tc>
          <w:tcPr>
            <w:tcW w:w="4144" w:type="pct"/>
          </w:tcPr>
          <w:p w14:paraId="1A7A444F">
            <w:pPr>
              <w:jc w:val="left"/>
              <w:rPr>
                <w:rFonts w:ascii="宋体" w:hAnsi="宋体" w:cs="宋体"/>
              </w:rPr>
            </w:pPr>
            <w:r>
              <w:rPr>
                <w:rFonts w:hint="eastAsia" w:ascii="宋体" w:hAnsi="宋体" w:cs="宋体"/>
              </w:rPr>
              <w:t>2.剩余股份采用权益法追溯调整</w:t>
            </w:r>
          </w:p>
          <w:p w14:paraId="52DDE93E">
            <w:pPr>
              <w:jc w:val="left"/>
              <w:rPr>
                <w:rFonts w:ascii="宋体" w:hAnsi="宋体" w:cs="宋体"/>
              </w:rPr>
            </w:pPr>
            <w:r>
              <w:rPr>
                <w:rFonts w:hint="eastAsia" w:ascii="宋体" w:hAnsi="宋体" w:cs="宋体"/>
              </w:rPr>
              <w:t>借：长期股权投资——损益调整</w:t>
            </w:r>
          </w:p>
          <w:p w14:paraId="7B92AA76">
            <w:pPr>
              <w:jc w:val="left"/>
              <w:rPr>
                <w:rFonts w:ascii="宋体" w:hAnsi="宋体" w:cs="宋体"/>
              </w:rPr>
            </w:pPr>
            <w:r>
              <w:rPr>
                <w:rFonts w:hint="eastAsia" w:ascii="宋体" w:hAnsi="宋体" w:cs="宋体"/>
              </w:rPr>
              <w:t>　　贷：投资收益（当年净利润的份额）</w:t>
            </w:r>
          </w:p>
          <w:p w14:paraId="1586C833">
            <w:pPr>
              <w:jc w:val="left"/>
              <w:rPr>
                <w:rFonts w:ascii="宋体" w:hAnsi="宋体" w:cs="宋体"/>
              </w:rPr>
            </w:pPr>
            <w:r>
              <w:rPr>
                <w:rFonts w:hint="eastAsia" w:ascii="宋体" w:hAnsi="宋体" w:cs="宋体"/>
              </w:rPr>
              <w:t>　　　　利润分配——未分配利润（以前年度净利润的份额）</w:t>
            </w:r>
          </w:p>
          <w:p w14:paraId="41491165">
            <w:pPr>
              <w:jc w:val="left"/>
              <w:rPr>
                <w:rFonts w:ascii="宋体" w:hAnsi="宋体" w:cs="宋体"/>
              </w:rPr>
            </w:pPr>
            <w:r>
              <w:rPr>
                <w:rFonts w:hint="eastAsia" w:ascii="宋体" w:hAnsi="宋体" w:cs="宋体"/>
              </w:rPr>
              <w:t>　　　　</w:t>
            </w:r>
          </w:p>
        </w:tc>
      </w:tr>
      <w:tr w14:paraId="46779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pct"/>
          </w:tcPr>
          <w:p w14:paraId="5DD3FE02">
            <w:pPr>
              <w:jc w:val="left"/>
              <w:rPr>
                <w:rFonts w:ascii="宋体" w:hAnsi="宋体" w:cs="宋体"/>
              </w:rPr>
            </w:pPr>
            <w:r>
              <w:rPr>
                <w:rFonts w:hint="eastAsia" w:ascii="宋体" w:hAnsi="宋体" w:cs="宋体"/>
              </w:rPr>
              <w:t xml:space="preserve">其他股东增持股份，本公司股份稀释，继续采用权益法  </w:t>
            </w:r>
          </w:p>
        </w:tc>
        <w:tc>
          <w:tcPr>
            <w:tcW w:w="4144" w:type="pct"/>
          </w:tcPr>
          <w:p w14:paraId="6DA71F84">
            <w:pPr>
              <w:jc w:val="left"/>
              <w:rPr>
                <w:rFonts w:ascii="宋体" w:hAnsi="宋体" w:cs="宋体"/>
              </w:rPr>
            </w:pPr>
            <w:r>
              <w:rPr>
                <w:rFonts w:hint="eastAsia" w:ascii="宋体" w:hAnsi="宋体" w:cs="宋体"/>
              </w:rPr>
              <w:t>长投账面价值变动部分确认“资本公积——其他资本公积”</w:t>
            </w:r>
          </w:p>
          <w:p w14:paraId="6E3B3064">
            <w:pPr>
              <w:jc w:val="left"/>
              <w:rPr>
                <w:rFonts w:ascii="宋体" w:hAnsi="宋体" w:cs="宋体"/>
                <w:color w:val="FF0000"/>
              </w:rPr>
            </w:pPr>
            <w:r>
              <w:rPr>
                <w:rFonts w:hint="eastAsia" w:ascii="宋体" w:hAnsi="宋体" w:cs="宋体"/>
              </w:rPr>
              <w:t>借：长期股权投资</w:t>
            </w:r>
            <w:r>
              <w:rPr>
                <w:rFonts w:hint="eastAsia" w:ascii="宋体" w:hAnsi="宋体" w:cs="宋体"/>
                <w:color w:val="FF0000"/>
              </w:rPr>
              <w:t>（新增股份价值－老股份减资的价值）</w:t>
            </w:r>
          </w:p>
          <w:p w14:paraId="572F1365">
            <w:pPr>
              <w:jc w:val="left"/>
              <w:rPr>
                <w:rFonts w:ascii="宋体" w:hAnsi="宋体" w:cs="宋体"/>
              </w:rPr>
            </w:pPr>
            <w:r>
              <w:rPr>
                <w:rFonts w:hint="eastAsia" w:ascii="宋体" w:hAnsi="宋体" w:cs="宋体"/>
              </w:rPr>
              <w:t>　　贷：资本公积——其他资本公积</w:t>
            </w:r>
          </w:p>
        </w:tc>
      </w:tr>
    </w:tbl>
    <w:p w14:paraId="18F9C3B1">
      <w:pPr>
        <w:jc w:val="left"/>
        <w:rPr>
          <w:rFonts w:hint="eastAsia" w:ascii="宋体" w:hAnsi="宋体" w:cs="宋体"/>
        </w:rPr>
      </w:pPr>
    </w:p>
    <w:p w14:paraId="22A4CBE1">
      <w:pPr>
        <w:overflowPunct w:val="0"/>
        <w:jc w:val="center"/>
        <w:rPr>
          <w:rFonts w:ascii="宋体" w:hAnsi="宋体" w:cs="宋体"/>
          <w:b/>
          <w:bCs/>
        </w:rPr>
      </w:pPr>
      <w:r>
        <w:rPr>
          <w:rFonts w:hint="eastAsia" w:ascii="宋体" w:hAnsi="宋体" w:cs="宋体"/>
          <w:b/>
          <w:bCs/>
        </w:rPr>
        <w:t>第七章  资产减值</w:t>
      </w:r>
    </w:p>
    <w:p w14:paraId="760A16E5">
      <w:pPr>
        <w:jc w:val="left"/>
        <w:rPr>
          <w:rFonts w:ascii="宋体" w:hAnsi="宋体" w:cs="宋体"/>
        </w:rPr>
      </w:pPr>
      <w:r>
        <w:rPr>
          <w:rFonts w:hint="eastAsia" w:ascii="宋体" w:hAnsi="宋体" w:cs="宋体"/>
        </w:rPr>
        <w:t>预计今年考核主观题和客观题，分值为2-6分。</w:t>
      </w:r>
    </w:p>
    <w:p w14:paraId="5C0FBB07">
      <w:pPr>
        <w:jc w:val="left"/>
        <w:rPr>
          <w:rFonts w:ascii="宋体" w:hAnsi="宋体" w:cs="宋体"/>
        </w:rPr>
      </w:pPr>
      <w:r>
        <w:rPr>
          <w:rFonts w:hint="eastAsia" w:ascii="宋体" w:hAnsi="宋体" w:cs="宋体"/>
        </w:rPr>
        <w:t>【考点总结】★资产减值的概述</w:t>
      </w:r>
    </w:p>
    <w:tbl>
      <w:tblPr>
        <w:tblStyle w:val="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77"/>
        <w:gridCol w:w="3377"/>
        <w:gridCol w:w="3382"/>
      </w:tblGrid>
      <w:tr w14:paraId="3005D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14:paraId="281D756B">
            <w:pPr>
              <w:jc w:val="center"/>
              <w:rPr>
                <w:rFonts w:ascii="宋体" w:hAnsi="宋体" w:cs="宋体"/>
              </w:rPr>
            </w:pPr>
            <w:r>
              <w:rPr>
                <w:rFonts w:hint="eastAsia" w:ascii="宋体" w:hAnsi="宋体" w:cs="宋体"/>
              </w:rPr>
              <w:t>资产减值</w:t>
            </w:r>
          </w:p>
        </w:tc>
        <w:tc>
          <w:tcPr>
            <w:tcW w:w="3334" w:type="pct"/>
            <w:gridSpan w:val="2"/>
          </w:tcPr>
          <w:p w14:paraId="5820672B">
            <w:pPr>
              <w:jc w:val="left"/>
              <w:rPr>
                <w:rFonts w:ascii="宋体" w:hAnsi="宋体" w:cs="宋体"/>
              </w:rPr>
            </w:pPr>
            <w:r>
              <w:rPr>
                <w:rFonts w:hint="eastAsia" w:ascii="宋体" w:hAnsi="宋体" w:cs="宋体"/>
              </w:rPr>
              <w:t>是指资产的</w:t>
            </w:r>
            <w:r>
              <w:rPr>
                <w:rFonts w:hint="eastAsia" w:ascii="宋体" w:hAnsi="宋体" w:cs="宋体"/>
                <w:color w:val="FF0000"/>
              </w:rPr>
              <w:t>可收回金额低于其账面价值</w:t>
            </w:r>
          </w:p>
        </w:tc>
      </w:tr>
      <w:tr w14:paraId="0EA0F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vMerge w:val="restart"/>
          </w:tcPr>
          <w:p w14:paraId="0505B48B">
            <w:pPr>
              <w:jc w:val="left"/>
              <w:rPr>
                <w:rFonts w:ascii="宋体" w:hAnsi="宋体" w:cs="宋体"/>
              </w:rPr>
            </w:pPr>
            <w:r>
              <w:rPr>
                <w:rFonts w:hint="eastAsia" w:ascii="宋体" w:hAnsi="宋体" w:cs="宋体"/>
              </w:rPr>
              <w:t>属于本章涉及的资产减值范围（非流动资产）：</w:t>
            </w:r>
          </w:p>
        </w:tc>
        <w:tc>
          <w:tcPr>
            <w:tcW w:w="1666" w:type="pct"/>
          </w:tcPr>
          <w:p w14:paraId="401D9B77">
            <w:pPr>
              <w:jc w:val="left"/>
              <w:rPr>
                <w:rFonts w:ascii="宋体" w:hAnsi="宋体" w:cs="宋体"/>
              </w:rPr>
            </w:pPr>
            <w:r>
              <w:rPr>
                <w:rFonts w:hint="eastAsia" w:ascii="宋体" w:hAnsi="宋体" w:cs="宋体"/>
              </w:rPr>
              <w:t>（1）对子公司、联营企业和合营企业的长期股权投资；</w:t>
            </w:r>
          </w:p>
        </w:tc>
        <w:tc>
          <w:tcPr>
            <w:tcW w:w="1667" w:type="pct"/>
          </w:tcPr>
          <w:p w14:paraId="1C3D2B93">
            <w:pPr>
              <w:jc w:val="left"/>
              <w:rPr>
                <w:rFonts w:ascii="宋体" w:hAnsi="宋体" w:cs="宋体"/>
              </w:rPr>
            </w:pPr>
            <w:r>
              <w:rPr>
                <w:rFonts w:hint="eastAsia" w:ascii="宋体" w:hAnsi="宋体" w:cs="宋体"/>
              </w:rPr>
              <w:t xml:space="preserve">（2）采用成本模式进行后续计量的投资性房地产；   </w:t>
            </w:r>
          </w:p>
        </w:tc>
      </w:tr>
      <w:tr w14:paraId="67EF0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vMerge w:val="continue"/>
          </w:tcPr>
          <w:p w14:paraId="506DCD36">
            <w:pPr>
              <w:jc w:val="left"/>
              <w:rPr>
                <w:rFonts w:ascii="宋体" w:hAnsi="宋体" w:cs="宋体"/>
              </w:rPr>
            </w:pPr>
          </w:p>
        </w:tc>
        <w:tc>
          <w:tcPr>
            <w:tcW w:w="1666" w:type="pct"/>
          </w:tcPr>
          <w:p w14:paraId="09BE529F">
            <w:pPr>
              <w:jc w:val="left"/>
              <w:rPr>
                <w:rFonts w:ascii="宋体" w:hAnsi="宋体" w:cs="宋体"/>
              </w:rPr>
            </w:pPr>
            <w:r>
              <w:rPr>
                <w:rFonts w:hint="eastAsia" w:ascii="宋体" w:hAnsi="宋体" w:cs="宋体"/>
              </w:rPr>
              <w:t>（3）固定资产；</w:t>
            </w:r>
          </w:p>
        </w:tc>
        <w:tc>
          <w:tcPr>
            <w:tcW w:w="1667" w:type="pct"/>
          </w:tcPr>
          <w:p w14:paraId="6A2F8C31">
            <w:pPr>
              <w:jc w:val="left"/>
              <w:rPr>
                <w:rFonts w:ascii="宋体" w:hAnsi="宋体" w:cs="宋体"/>
              </w:rPr>
            </w:pPr>
            <w:r>
              <w:rPr>
                <w:rFonts w:hint="eastAsia" w:ascii="宋体" w:hAnsi="宋体" w:cs="宋体"/>
              </w:rPr>
              <w:t> </w:t>
            </w:r>
          </w:p>
        </w:tc>
      </w:tr>
      <w:tr w14:paraId="13DD5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vMerge w:val="continue"/>
          </w:tcPr>
          <w:p w14:paraId="4E1A9393">
            <w:pPr>
              <w:jc w:val="left"/>
              <w:rPr>
                <w:rFonts w:ascii="宋体" w:hAnsi="宋体" w:cs="宋体"/>
              </w:rPr>
            </w:pPr>
          </w:p>
        </w:tc>
        <w:tc>
          <w:tcPr>
            <w:tcW w:w="3334" w:type="pct"/>
            <w:gridSpan w:val="2"/>
          </w:tcPr>
          <w:p w14:paraId="4442DB91">
            <w:pPr>
              <w:jc w:val="left"/>
              <w:rPr>
                <w:rFonts w:ascii="宋体" w:hAnsi="宋体" w:cs="宋体"/>
              </w:rPr>
            </w:pPr>
            <w:r>
              <w:rPr>
                <w:rFonts w:hint="eastAsia" w:ascii="宋体" w:hAnsi="宋体" w:cs="宋体"/>
              </w:rPr>
              <w:t>（4）无形资产；</w:t>
            </w:r>
          </w:p>
        </w:tc>
      </w:tr>
      <w:tr w14:paraId="10877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vMerge w:val="continue"/>
          </w:tcPr>
          <w:p w14:paraId="198D37CF">
            <w:pPr>
              <w:jc w:val="left"/>
              <w:rPr>
                <w:rFonts w:ascii="宋体" w:hAnsi="宋体" w:cs="宋体"/>
              </w:rPr>
            </w:pPr>
          </w:p>
        </w:tc>
        <w:tc>
          <w:tcPr>
            <w:tcW w:w="3334" w:type="pct"/>
            <w:gridSpan w:val="2"/>
          </w:tcPr>
          <w:p w14:paraId="756FEBE9">
            <w:pPr>
              <w:jc w:val="left"/>
              <w:rPr>
                <w:rFonts w:ascii="宋体" w:hAnsi="宋体" w:cs="宋体"/>
              </w:rPr>
            </w:pPr>
            <w:r>
              <w:rPr>
                <w:rFonts w:hint="eastAsia" w:ascii="宋体" w:hAnsi="宋体" w:cs="宋体"/>
              </w:rPr>
              <w:t>（5）探明石油天然气矿区权益和井及相关设施等。</w:t>
            </w:r>
          </w:p>
        </w:tc>
      </w:tr>
      <w:tr w14:paraId="77DB9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vMerge w:val="continue"/>
          </w:tcPr>
          <w:p w14:paraId="5F533398">
            <w:pPr>
              <w:jc w:val="left"/>
              <w:rPr>
                <w:rFonts w:ascii="宋体" w:hAnsi="宋体" w:cs="宋体"/>
              </w:rPr>
            </w:pPr>
          </w:p>
        </w:tc>
        <w:tc>
          <w:tcPr>
            <w:tcW w:w="3334" w:type="pct"/>
            <w:gridSpan w:val="2"/>
          </w:tcPr>
          <w:p w14:paraId="164C92A9">
            <w:pPr>
              <w:jc w:val="left"/>
              <w:rPr>
                <w:rFonts w:ascii="宋体" w:hAnsi="宋体" w:cs="宋体"/>
              </w:rPr>
            </w:pPr>
            <w:r>
              <w:rPr>
                <w:rFonts w:hint="eastAsia" w:ascii="宋体" w:hAnsi="宋体" w:cs="宋体"/>
              </w:rPr>
              <w:t xml:space="preserve">上述资产减值损失一经计提，在以后期间不得转回。常见的能转回坏账准备、存货跌价准备、xx金融资产减值准备。速记：坏、蠢、金 </w:t>
            </w:r>
          </w:p>
        </w:tc>
      </w:tr>
      <w:tr w14:paraId="30EE5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14:paraId="3C84BDF6">
            <w:pPr>
              <w:jc w:val="center"/>
              <w:rPr>
                <w:rFonts w:ascii="宋体" w:hAnsi="宋体" w:cs="宋体"/>
              </w:rPr>
            </w:pPr>
            <w:r>
              <w:rPr>
                <w:rFonts w:hint="eastAsia" w:ascii="宋体" w:hAnsi="宋体" w:cs="宋体"/>
              </w:rPr>
              <w:t>资产减值</w:t>
            </w:r>
          </w:p>
        </w:tc>
        <w:tc>
          <w:tcPr>
            <w:tcW w:w="1666" w:type="pct"/>
          </w:tcPr>
          <w:p w14:paraId="7709DCCB">
            <w:pPr>
              <w:jc w:val="center"/>
              <w:rPr>
                <w:rFonts w:ascii="宋体" w:hAnsi="宋体" w:cs="宋体"/>
              </w:rPr>
            </w:pPr>
            <w:r>
              <w:rPr>
                <w:rFonts w:hint="eastAsia" w:ascii="宋体" w:hAnsi="宋体" w:cs="宋体"/>
              </w:rPr>
              <w:t>是指资产的</w:t>
            </w:r>
            <w:r>
              <w:rPr>
                <w:rFonts w:hint="eastAsia" w:ascii="宋体" w:hAnsi="宋体" w:cs="宋体"/>
                <w:color w:val="FF0000"/>
              </w:rPr>
              <w:t>可收回金额低于其账面价值</w:t>
            </w:r>
          </w:p>
        </w:tc>
        <w:tc>
          <w:tcPr>
            <w:tcW w:w="1667" w:type="pct"/>
          </w:tcPr>
          <w:p w14:paraId="0141F5FE">
            <w:pPr>
              <w:jc w:val="left"/>
              <w:rPr>
                <w:rFonts w:ascii="宋体" w:hAnsi="宋体" w:cs="宋体"/>
              </w:rPr>
            </w:pPr>
          </w:p>
        </w:tc>
      </w:tr>
      <w:tr w14:paraId="5E140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14:paraId="08E07470">
            <w:pPr>
              <w:jc w:val="left"/>
              <w:rPr>
                <w:rFonts w:ascii="宋体" w:hAnsi="宋体" w:cs="宋体"/>
              </w:rPr>
            </w:pPr>
            <w:r>
              <w:rPr>
                <w:rFonts w:hint="eastAsia" w:ascii="宋体" w:hAnsi="宋体" w:cs="宋体"/>
              </w:rPr>
              <w:t>至少应当每年进行减值测试</w:t>
            </w:r>
          </w:p>
        </w:tc>
        <w:tc>
          <w:tcPr>
            <w:tcW w:w="3334" w:type="pct"/>
            <w:gridSpan w:val="2"/>
          </w:tcPr>
          <w:p w14:paraId="5DCE5246">
            <w:pPr>
              <w:jc w:val="left"/>
              <w:rPr>
                <w:rFonts w:ascii="宋体" w:hAnsi="宋体" w:cs="宋体"/>
              </w:rPr>
            </w:pPr>
            <w:r>
              <w:rPr>
                <w:rFonts w:hint="eastAsia" w:ascii="宋体" w:hAnsi="宋体" w:cs="宋体"/>
              </w:rPr>
              <w:t>（1）使用寿命不确定的无形资产</w:t>
            </w:r>
          </w:p>
          <w:p w14:paraId="3A2B9F66">
            <w:pPr>
              <w:jc w:val="left"/>
              <w:rPr>
                <w:rFonts w:ascii="宋体" w:hAnsi="宋体" w:cs="宋体"/>
              </w:rPr>
            </w:pPr>
            <w:r>
              <w:rPr>
                <w:rFonts w:hint="eastAsia" w:ascii="宋体" w:hAnsi="宋体" w:cs="宋体"/>
              </w:rPr>
              <w:t>（2）对于尚未达到可使用状态的无形资产</w:t>
            </w:r>
          </w:p>
          <w:p w14:paraId="30C70816">
            <w:pPr>
              <w:jc w:val="left"/>
              <w:rPr>
                <w:rFonts w:ascii="宋体" w:hAnsi="宋体" w:cs="宋体"/>
              </w:rPr>
            </w:pPr>
            <w:r>
              <w:rPr>
                <w:rFonts w:hint="eastAsia" w:ascii="宋体" w:hAnsi="宋体" w:cs="宋体"/>
              </w:rPr>
              <w:t>（3）企业合并所形成的商誉</w:t>
            </w:r>
          </w:p>
        </w:tc>
      </w:tr>
    </w:tbl>
    <w:p w14:paraId="611FDA38">
      <w:pPr>
        <w:jc w:val="left"/>
        <w:rPr>
          <w:rFonts w:ascii="宋体" w:hAnsi="宋体" w:cs="宋体"/>
        </w:rPr>
      </w:pPr>
      <w:r>
        <w:rPr>
          <w:rFonts w:hint="eastAsia" w:ascii="宋体" w:hAnsi="宋体" w:cs="宋体"/>
        </w:rPr>
        <w:t>【考点总结】★★★资产可收回金额的计量和减值损失的确定</w:t>
      </w:r>
    </w:p>
    <w:tbl>
      <w:tblPr>
        <w:tblStyle w:val="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75"/>
        <w:gridCol w:w="4494"/>
        <w:gridCol w:w="2167"/>
      </w:tblGrid>
      <w:tr w14:paraId="303F1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4" w:type="pct"/>
            <w:vMerge w:val="restart"/>
          </w:tcPr>
          <w:p w14:paraId="1DF4ECA9">
            <w:pPr>
              <w:jc w:val="left"/>
              <w:rPr>
                <w:rFonts w:ascii="宋体" w:hAnsi="宋体" w:cs="宋体"/>
              </w:rPr>
            </w:pPr>
            <w:r>
              <w:rPr>
                <w:rFonts w:hint="eastAsia" w:ascii="宋体" w:hAnsi="宋体" w:cs="宋体"/>
              </w:rPr>
              <w:t xml:space="preserve">资产的可收回金额 </w:t>
            </w:r>
          </w:p>
        </w:tc>
        <w:tc>
          <w:tcPr>
            <w:tcW w:w="2217" w:type="pct"/>
          </w:tcPr>
          <w:p w14:paraId="3F757B89">
            <w:pPr>
              <w:jc w:val="left"/>
              <w:rPr>
                <w:rFonts w:ascii="宋体" w:hAnsi="宋体" w:cs="宋体"/>
              </w:rPr>
            </w:pPr>
            <w:r>
              <w:rPr>
                <w:rFonts w:hint="eastAsia" w:ascii="宋体" w:hAnsi="宋体" w:cs="宋体"/>
              </w:rPr>
              <w:t>资产的公允价值减去处置费用后的净额</w:t>
            </w:r>
          </w:p>
        </w:tc>
        <w:tc>
          <w:tcPr>
            <w:tcW w:w="1069" w:type="pct"/>
            <w:vMerge w:val="restart"/>
          </w:tcPr>
          <w:p w14:paraId="22F64AF6">
            <w:pPr>
              <w:jc w:val="left"/>
              <w:rPr>
                <w:rFonts w:ascii="宋体" w:hAnsi="宋体" w:cs="宋体"/>
                <w:color w:val="FF0000"/>
              </w:rPr>
            </w:pPr>
            <w:r>
              <w:rPr>
                <w:rFonts w:hint="eastAsia" w:ascii="宋体" w:hAnsi="宋体" w:cs="宋体"/>
                <w:color w:val="FF0000"/>
              </w:rPr>
              <w:t>孰高</w:t>
            </w:r>
          </w:p>
        </w:tc>
      </w:tr>
      <w:tr w14:paraId="71F8E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4" w:type="pct"/>
            <w:vMerge w:val="continue"/>
          </w:tcPr>
          <w:p w14:paraId="216EBEB6">
            <w:pPr>
              <w:jc w:val="left"/>
              <w:rPr>
                <w:rFonts w:ascii="宋体" w:hAnsi="宋体" w:cs="宋体"/>
              </w:rPr>
            </w:pPr>
          </w:p>
        </w:tc>
        <w:tc>
          <w:tcPr>
            <w:tcW w:w="2217" w:type="pct"/>
          </w:tcPr>
          <w:p w14:paraId="52ECEE60">
            <w:pPr>
              <w:jc w:val="left"/>
              <w:rPr>
                <w:rFonts w:ascii="宋体" w:hAnsi="宋体" w:cs="宋体"/>
              </w:rPr>
            </w:pPr>
            <w:r>
              <w:rPr>
                <w:rFonts w:hint="eastAsia" w:ascii="宋体" w:hAnsi="宋体" w:cs="宋体"/>
              </w:rPr>
              <w:t>资产预计未来现金流量的现值</w:t>
            </w:r>
          </w:p>
        </w:tc>
        <w:tc>
          <w:tcPr>
            <w:tcW w:w="1069" w:type="pct"/>
            <w:vMerge w:val="continue"/>
          </w:tcPr>
          <w:p w14:paraId="6CB816FF">
            <w:pPr>
              <w:jc w:val="left"/>
              <w:rPr>
                <w:rFonts w:ascii="宋体" w:hAnsi="宋体" w:cs="宋体"/>
                <w:color w:val="FF0000"/>
              </w:rPr>
            </w:pPr>
          </w:p>
        </w:tc>
      </w:tr>
      <w:tr w14:paraId="0273A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4" w:type="pct"/>
            <w:vMerge w:val="restart"/>
          </w:tcPr>
          <w:p w14:paraId="47EDCA9F">
            <w:pPr>
              <w:jc w:val="left"/>
              <w:rPr>
                <w:rFonts w:ascii="宋体" w:hAnsi="宋体" w:cs="宋体"/>
              </w:rPr>
            </w:pPr>
            <w:r>
              <w:rPr>
                <w:rFonts w:hint="eastAsia" w:ascii="宋体" w:hAnsi="宋体" w:cs="宋体"/>
              </w:rPr>
              <w:t>【链接】长投权益法初始入账价值</w:t>
            </w:r>
          </w:p>
        </w:tc>
        <w:tc>
          <w:tcPr>
            <w:tcW w:w="2217" w:type="pct"/>
          </w:tcPr>
          <w:p w14:paraId="71685978">
            <w:pPr>
              <w:jc w:val="left"/>
              <w:rPr>
                <w:rFonts w:ascii="宋体" w:hAnsi="宋体" w:cs="宋体"/>
              </w:rPr>
            </w:pPr>
            <w:r>
              <w:rPr>
                <w:rFonts w:hint="eastAsia" w:ascii="宋体" w:hAnsi="宋体" w:cs="宋体"/>
              </w:rPr>
              <w:t>初始投资成本</w:t>
            </w:r>
          </w:p>
        </w:tc>
        <w:tc>
          <w:tcPr>
            <w:tcW w:w="1069" w:type="pct"/>
            <w:vMerge w:val="restart"/>
          </w:tcPr>
          <w:p w14:paraId="0A3C5CC4">
            <w:pPr>
              <w:jc w:val="left"/>
              <w:rPr>
                <w:rFonts w:ascii="宋体" w:hAnsi="宋体" w:cs="宋体"/>
                <w:color w:val="FF0000"/>
              </w:rPr>
            </w:pPr>
            <w:r>
              <w:rPr>
                <w:rFonts w:hint="eastAsia" w:ascii="宋体" w:hAnsi="宋体" w:cs="宋体"/>
                <w:color w:val="FF0000"/>
              </w:rPr>
              <w:t>孰高</w:t>
            </w:r>
          </w:p>
        </w:tc>
      </w:tr>
      <w:tr w14:paraId="5266F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4" w:type="pct"/>
            <w:vMerge w:val="continue"/>
          </w:tcPr>
          <w:p w14:paraId="23B58699">
            <w:pPr>
              <w:jc w:val="left"/>
              <w:rPr>
                <w:rFonts w:ascii="宋体" w:hAnsi="宋体" w:cs="宋体"/>
              </w:rPr>
            </w:pPr>
          </w:p>
        </w:tc>
        <w:tc>
          <w:tcPr>
            <w:tcW w:w="2217" w:type="pct"/>
          </w:tcPr>
          <w:p w14:paraId="63786A97">
            <w:pPr>
              <w:jc w:val="left"/>
              <w:rPr>
                <w:rFonts w:ascii="宋体" w:hAnsi="宋体" w:cs="宋体"/>
              </w:rPr>
            </w:pPr>
            <w:r>
              <w:rPr>
                <w:rFonts w:hint="eastAsia" w:ascii="宋体" w:hAnsi="宋体" w:cs="宋体"/>
              </w:rPr>
              <w:t>可辨认净资产的份额</w:t>
            </w:r>
          </w:p>
        </w:tc>
        <w:tc>
          <w:tcPr>
            <w:tcW w:w="1069" w:type="pct"/>
            <w:vMerge w:val="continue"/>
          </w:tcPr>
          <w:p w14:paraId="140710FF">
            <w:pPr>
              <w:jc w:val="left"/>
              <w:rPr>
                <w:rFonts w:ascii="宋体" w:hAnsi="宋体" w:cs="宋体"/>
              </w:rPr>
            </w:pPr>
          </w:p>
        </w:tc>
      </w:tr>
    </w:tbl>
    <w:p w14:paraId="2AA4BE41">
      <w:pPr>
        <w:jc w:val="left"/>
        <w:rPr>
          <w:rFonts w:hint="eastAsia" w:ascii="宋体" w:hAnsi="宋体" w:cs="宋体"/>
        </w:rPr>
      </w:pPr>
    </w:p>
    <w:tbl>
      <w:tblPr>
        <w:tblStyle w:val="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5"/>
        <w:gridCol w:w="1160"/>
        <w:gridCol w:w="1885"/>
        <w:gridCol w:w="3915"/>
        <w:gridCol w:w="1151"/>
      </w:tblGrid>
      <w:tr w14:paraId="2D941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Merge w:val="restart"/>
          </w:tcPr>
          <w:p w14:paraId="63CD092C">
            <w:pPr>
              <w:jc w:val="center"/>
              <w:rPr>
                <w:rFonts w:ascii="宋体" w:hAnsi="宋体" w:cs="宋体"/>
              </w:rPr>
            </w:pPr>
            <w:r>
              <w:rPr>
                <w:rFonts w:hint="eastAsia" w:ascii="宋体" w:hAnsi="宋体" w:cs="宋体"/>
              </w:rPr>
              <w:t xml:space="preserve">预计资产未来现金流量 </w:t>
            </w:r>
          </w:p>
        </w:tc>
        <w:tc>
          <w:tcPr>
            <w:tcW w:w="572" w:type="pct"/>
            <w:vMerge w:val="restart"/>
          </w:tcPr>
          <w:p w14:paraId="2B46EA34">
            <w:pPr>
              <w:jc w:val="center"/>
              <w:rPr>
                <w:rFonts w:ascii="宋体" w:hAnsi="宋体" w:cs="宋体"/>
              </w:rPr>
            </w:pPr>
            <w:r>
              <w:rPr>
                <w:rFonts w:hint="eastAsia" w:ascii="宋体" w:hAnsi="宋体" w:cs="宋体"/>
              </w:rPr>
              <w:t>考虑因素</w:t>
            </w:r>
          </w:p>
        </w:tc>
        <w:tc>
          <w:tcPr>
            <w:tcW w:w="930" w:type="pct"/>
            <w:vMerge w:val="restart"/>
          </w:tcPr>
          <w:p w14:paraId="7DE4C7A9">
            <w:pPr>
              <w:jc w:val="left"/>
              <w:rPr>
                <w:rFonts w:ascii="宋体" w:hAnsi="宋体" w:cs="宋体"/>
              </w:rPr>
            </w:pPr>
            <w:r>
              <w:rPr>
                <w:rFonts w:hint="eastAsia" w:ascii="宋体" w:hAnsi="宋体" w:cs="宋体"/>
              </w:rPr>
              <w:t>（1）当前状况为基础</w:t>
            </w:r>
          </w:p>
        </w:tc>
        <w:tc>
          <w:tcPr>
            <w:tcW w:w="2499" w:type="pct"/>
            <w:gridSpan w:val="2"/>
          </w:tcPr>
          <w:p w14:paraId="1C228BB3">
            <w:pPr>
              <w:jc w:val="left"/>
              <w:rPr>
                <w:rFonts w:ascii="宋体" w:hAnsi="宋体" w:cs="宋体"/>
              </w:rPr>
            </w:pPr>
            <w:r>
              <w:rPr>
                <w:rFonts w:hint="eastAsia" w:ascii="宋体" w:hAnsi="宋体" w:cs="宋体"/>
              </w:rPr>
              <w:t>不应当包括</w:t>
            </w:r>
          </w:p>
        </w:tc>
      </w:tr>
      <w:tr w14:paraId="34D17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Merge w:val="continue"/>
          </w:tcPr>
          <w:p w14:paraId="77339325">
            <w:pPr>
              <w:jc w:val="left"/>
              <w:rPr>
                <w:rFonts w:ascii="宋体" w:hAnsi="宋体" w:cs="宋体"/>
              </w:rPr>
            </w:pPr>
          </w:p>
        </w:tc>
        <w:tc>
          <w:tcPr>
            <w:tcW w:w="572" w:type="pct"/>
            <w:vMerge w:val="continue"/>
          </w:tcPr>
          <w:p w14:paraId="0AA11ADC">
            <w:pPr>
              <w:jc w:val="left"/>
              <w:rPr>
                <w:rFonts w:ascii="宋体" w:hAnsi="宋体" w:cs="宋体"/>
              </w:rPr>
            </w:pPr>
          </w:p>
        </w:tc>
        <w:tc>
          <w:tcPr>
            <w:tcW w:w="930" w:type="pct"/>
            <w:vMerge w:val="continue"/>
          </w:tcPr>
          <w:p w14:paraId="69E6980B">
            <w:pPr>
              <w:jc w:val="left"/>
              <w:rPr>
                <w:rFonts w:ascii="宋体" w:hAnsi="宋体" w:cs="宋体"/>
              </w:rPr>
            </w:pPr>
          </w:p>
        </w:tc>
        <w:tc>
          <w:tcPr>
            <w:tcW w:w="1931" w:type="pct"/>
          </w:tcPr>
          <w:p w14:paraId="232EEC21">
            <w:pPr>
              <w:jc w:val="left"/>
              <w:rPr>
                <w:rFonts w:ascii="宋体" w:hAnsi="宋体" w:cs="宋体"/>
              </w:rPr>
            </w:pPr>
            <w:r>
              <w:rPr>
                <w:rFonts w:hint="eastAsia" w:ascii="宋体" w:hAnsi="宋体" w:cs="宋体"/>
              </w:rPr>
              <w:t>A与将来可能会发生的、尚未作出承诺的重组事项</w:t>
            </w:r>
          </w:p>
        </w:tc>
        <w:tc>
          <w:tcPr>
            <w:tcW w:w="568" w:type="pct"/>
            <w:vMerge w:val="restart"/>
          </w:tcPr>
          <w:p w14:paraId="3A61BED9">
            <w:pPr>
              <w:jc w:val="center"/>
              <w:rPr>
                <w:rFonts w:ascii="宋体" w:hAnsi="宋体" w:cs="宋体"/>
              </w:rPr>
            </w:pPr>
            <w:r>
              <w:rPr>
                <w:rFonts w:hint="eastAsia" w:ascii="宋体" w:hAnsi="宋体" w:cs="宋体"/>
              </w:rPr>
              <w:t>产生的现金流量</w:t>
            </w:r>
          </w:p>
        </w:tc>
      </w:tr>
      <w:tr w14:paraId="28FD2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Merge w:val="continue"/>
          </w:tcPr>
          <w:p w14:paraId="7641497B">
            <w:pPr>
              <w:jc w:val="left"/>
              <w:rPr>
                <w:rFonts w:ascii="宋体" w:hAnsi="宋体" w:cs="宋体"/>
              </w:rPr>
            </w:pPr>
          </w:p>
        </w:tc>
        <w:tc>
          <w:tcPr>
            <w:tcW w:w="572" w:type="pct"/>
            <w:vMerge w:val="continue"/>
          </w:tcPr>
          <w:p w14:paraId="78A4D321">
            <w:pPr>
              <w:jc w:val="left"/>
              <w:rPr>
                <w:rFonts w:ascii="宋体" w:hAnsi="宋体" w:cs="宋体"/>
              </w:rPr>
            </w:pPr>
          </w:p>
        </w:tc>
        <w:tc>
          <w:tcPr>
            <w:tcW w:w="930" w:type="pct"/>
            <w:vMerge w:val="continue"/>
          </w:tcPr>
          <w:p w14:paraId="17E9A16C">
            <w:pPr>
              <w:jc w:val="left"/>
              <w:rPr>
                <w:rFonts w:ascii="宋体" w:hAnsi="宋体" w:cs="宋体"/>
              </w:rPr>
            </w:pPr>
          </w:p>
        </w:tc>
        <w:tc>
          <w:tcPr>
            <w:tcW w:w="1931" w:type="pct"/>
          </w:tcPr>
          <w:p w14:paraId="7C2D1555">
            <w:pPr>
              <w:jc w:val="left"/>
              <w:rPr>
                <w:rFonts w:ascii="宋体" w:hAnsi="宋体" w:cs="宋体"/>
              </w:rPr>
            </w:pPr>
            <w:r>
              <w:rPr>
                <w:rFonts w:hint="eastAsia" w:ascii="宋体" w:hAnsi="宋体" w:cs="宋体"/>
              </w:rPr>
              <w:t>B与资产改良有关</w:t>
            </w:r>
          </w:p>
        </w:tc>
        <w:tc>
          <w:tcPr>
            <w:tcW w:w="568" w:type="pct"/>
            <w:vMerge w:val="continue"/>
          </w:tcPr>
          <w:p w14:paraId="0CF46E4A">
            <w:pPr>
              <w:jc w:val="left"/>
              <w:rPr>
                <w:rFonts w:ascii="宋体" w:hAnsi="宋体" w:cs="宋体"/>
              </w:rPr>
            </w:pPr>
          </w:p>
        </w:tc>
      </w:tr>
      <w:tr w14:paraId="7D257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Merge w:val="continue"/>
          </w:tcPr>
          <w:p w14:paraId="4856777F">
            <w:pPr>
              <w:jc w:val="left"/>
              <w:rPr>
                <w:rFonts w:ascii="宋体" w:hAnsi="宋体" w:cs="宋体"/>
              </w:rPr>
            </w:pPr>
          </w:p>
        </w:tc>
        <w:tc>
          <w:tcPr>
            <w:tcW w:w="572" w:type="pct"/>
            <w:vMerge w:val="continue"/>
          </w:tcPr>
          <w:p w14:paraId="12F09F5B">
            <w:pPr>
              <w:jc w:val="left"/>
              <w:rPr>
                <w:rFonts w:ascii="宋体" w:hAnsi="宋体" w:cs="宋体"/>
              </w:rPr>
            </w:pPr>
          </w:p>
        </w:tc>
        <w:tc>
          <w:tcPr>
            <w:tcW w:w="930" w:type="pct"/>
            <w:vMerge w:val="restart"/>
          </w:tcPr>
          <w:p w14:paraId="3F8D5483">
            <w:pPr>
              <w:jc w:val="left"/>
              <w:rPr>
                <w:rFonts w:ascii="宋体" w:hAnsi="宋体" w:cs="宋体"/>
              </w:rPr>
            </w:pPr>
            <w:r>
              <w:rPr>
                <w:rFonts w:hint="eastAsia" w:ascii="宋体" w:hAnsi="宋体" w:cs="宋体"/>
              </w:rPr>
              <w:t>（2）预计资产未来现金流量</w:t>
            </w:r>
          </w:p>
        </w:tc>
        <w:tc>
          <w:tcPr>
            <w:tcW w:w="1931" w:type="pct"/>
          </w:tcPr>
          <w:p w14:paraId="1C3E7DAB">
            <w:pPr>
              <w:jc w:val="left"/>
              <w:rPr>
                <w:rFonts w:ascii="宋体" w:hAnsi="宋体" w:cs="宋体"/>
              </w:rPr>
            </w:pPr>
            <w:r>
              <w:rPr>
                <w:rFonts w:hint="eastAsia" w:ascii="宋体" w:hAnsi="宋体" w:cs="宋体"/>
              </w:rPr>
              <w:t>C筹资活动产生</w:t>
            </w:r>
          </w:p>
        </w:tc>
        <w:tc>
          <w:tcPr>
            <w:tcW w:w="568" w:type="pct"/>
            <w:vMerge w:val="continue"/>
          </w:tcPr>
          <w:p w14:paraId="5324B94C">
            <w:pPr>
              <w:jc w:val="left"/>
              <w:rPr>
                <w:rFonts w:ascii="宋体" w:hAnsi="宋体" w:cs="宋体"/>
              </w:rPr>
            </w:pPr>
          </w:p>
        </w:tc>
      </w:tr>
      <w:tr w14:paraId="04C86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Merge w:val="continue"/>
          </w:tcPr>
          <w:p w14:paraId="76C5B9FE">
            <w:pPr>
              <w:jc w:val="left"/>
              <w:rPr>
                <w:rFonts w:ascii="宋体" w:hAnsi="宋体" w:cs="宋体"/>
              </w:rPr>
            </w:pPr>
          </w:p>
        </w:tc>
        <w:tc>
          <w:tcPr>
            <w:tcW w:w="572" w:type="pct"/>
            <w:vMerge w:val="continue"/>
          </w:tcPr>
          <w:p w14:paraId="33068D17">
            <w:pPr>
              <w:jc w:val="left"/>
              <w:rPr>
                <w:rFonts w:ascii="宋体" w:hAnsi="宋体" w:cs="宋体"/>
              </w:rPr>
            </w:pPr>
          </w:p>
        </w:tc>
        <w:tc>
          <w:tcPr>
            <w:tcW w:w="930" w:type="pct"/>
            <w:vMerge w:val="continue"/>
          </w:tcPr>
          <w:p w14:paraId="250AB516">
            <w:pPr>
              <w:jc w:val="left"/>
              <w:rPr>
                <w:rFonts w:ascii="宋体" w:hAnsi="宋体" w:cs="宋体"/>
              </w:rPr>
            </w:pPr>
          </w:p>
        </w:tc>
        <w:tc>
          <w:tcPr>
            <w:tcW w:w="1931" w:type="pct"/>
          </w:tcPr>
          <w:p w14:paraId="494D4548">
            <w:pPr>
              <w:jc w:val="left"/>
              <w:rPr>
                <w:rFonts w:ascii="宋体" w:hAnsi="宋体" w:cs="宋体"/>
              </w:rPr>
            </w:pPr>
            <w:r>
              <w:rPr>
                <w:rFonts w:hint="eastAsia" w:ascii="宋体" w:hAnsi="宋体" w:cs="宋体"/>
              </w:rPr>
              <w:t>D所得税收付</w:t>
            </w:r>
          </w:p>
        </w:tc>
        <w:tc>
          <w:tcPr>
            <w:tcW w:w="568" w:type="pct"/>
            <w:vMerge w:val="continue"/>
          </w:tcPr>
          <w:p w14:paraId="766387C4">
            <w:pPr>
              <w:jc w:val="left"/>
              <w:rPr>
                <w:rFonts w:ascii="宋体" w:hAnsi="宋体" w:cs="宋体"/>
              </w:rPr>
            </w:pPr>
          </w:p>
        </w:tc>
      </w:tr>
      <w:tr w14:paraId="2386E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Merge w:val="continue"/>
          </w:tcPr>
          <w:p w14:paraId="3D6A1172">
            <w:pPr>
              <w:jc w:val="left"/>
              <w:rPr>
                <w:rFonts w:ascii="宋体" w:hAnsi="宋体" w:cs="宋体"/>
              </w:rPr>
            </w:pPr>
          </w:p>
        </w:tc>
        <w:tc>
          <w:tcPr>
            <w:tcW w:w="1502" w:type="pct"/>
            <w:gridSpan w:val="2"/>
            <w:vMerge w:val="restart"/>
          </w:tcPr>
          <w:p w14:paraId="35518FD2">
            <w:pPr>
              <w:jc w:val="left"/>
              <w:rPr>
                <w:rFonts w:ascii="宋体" w:hAnsi="宋体" w:cs="宋体"/>
              </w:rPr>
            </w:pPr>
            <w:r>
              <w:rPr>
                <w:rFonts w:hint="eastAsia" w:ascii="宋体" w:hAnsi="宋体" w:cs="宋体"/>
              </w:rPr>
              <w:t>折现率的预计</w:t>
            </w:r>
          </w:p>
        </w:tc>
        <w:tc>
          <w:tcPr>
            <w:tcW w:w="2499" w:type="pct"/>
            <w:gridSpan w:val="2"/>
          </w:tcPr>
          <w:p w14:paraId="17C2812F">
            <w:pPr>
              <w:jc w:val="left"/>
              <w:rPr>
                <w:rFonts w:ascii="宋体" w:hAnsi="宋体" w:cs="宋体"/>
              </w:rPr>
            </w:pPr>
            <w:r>
              <w:rPr>
                <w:rFonts w:hint="eastAsia" w:ascii="宋体" w:hAnsi="宋体" w:cs="宋体"/>
              </w:rPr>
              <w:t>当前市场货币时间价值</w:t>
            </w:r>
          </w:p>
        </w:tc>
      </w:tr>
      <w:tr w14:paraId="686AD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Merge w:val="continue"/>
          </w:tcPr>
          <w:p w14:paraId="4B5927C0">
            <w:pPr>
              <w:jc w:val="left"/>
              <w:rPr>
                <w:rFonts w:ascii="宋体" w:hAnsi="宋体" w:cs="宋体"/>
              </w:rPr>
            </w:pPr>
          </w:p>
        </w:tc>
        <w:tc>
          <w:tcPr>
            <w:tcW w:w="1502" w:type="pct"/>
            <w:gridSpan w:val="2"/>
            <w:vMerge w:val="continue"/>
          </w:tcPr>
          <w:p w14:paraId="10CAA5DF">
            <w:pPr>
              <w:jc w:val="left"/>
              <w:rPr>
                <w:rFonts w:ascii="宋体" w:hAnsi="宋体" w:cs="宋体"/>
              </w:rPr>
            </w:pPr>
          </w:p>
        </w:tc>
        <w:tc>
          <w:tcPr>
            <w:tcW w:w="2499" w:type="pct"/>
            <w:gridSpan w:val="2"/>
          </w:tcPr>
          <w:p w14:paraId="4D92A067">
            <w:pPr>
              <w:jc w:val="left"/>
              <w:rPr>
                <w:rFonts w:ascii="宋体" w:hAnsi="宋体" w:cs="宋体"/>
              </w:rPr>
            </w:pPr>
            <w:r>
              <w:rPr>
                <w:rFonts w:hint="eastAsia" w:ascii="宋体" w:hAnsi="宋体" w:cs="宋体"/>
              </w:rPr>
              <w:t>资产特定风险的税前利率。</w:t>
            </w:r>
          </w:p>
        </w:tc>
      </w:tr>
    </w:tbl>
    <w:p w14:paraId="44B7B402">
      <w:pPr>
        <w:jc w:val="left"/>
        <w:rPr>
          <w:rFonts w:ascii="宋体" w:hAnsi="宋体" w:cs="宋体"/>
        </w:rPr>
      </w:pPr>
    </w:p>
    <w:tbl>
      <w:tblPr>
        <w:tblStyle w:val="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3"/>
        <w:gridCol w:w="3017"/>
        <w:gridCol w:w="5556"/>
      </w:tblGrid>
      <w:tr w14:paraId="2F355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tcPr>
          <w:p w14:paraId="05703167">
            <w:pPr>
              <w:jc w:val="center"/>
              <w:rPr>
                <w:rFonts w:ascii="宋体" w:hAnsi="宋体" w:cs="宋体"/>
              </w:rPr>
            </w:pPr>
            <w:r>
              <w:rPr>
                <w:rFonts w:hint="eastAsia" w:ascii="宋体" w:hAnsi="宋体" w:cs="宋体"/>
              </w:rPr>
              <w:t xml:space="preserve">预计资产未来现金流量 </w:t>
            </w:r>
          </w:p>
        </w:tc>
        <w:tc>
          <w:tcPr>
            <w:tcW w:w="1716" w:type="pct"/>
          </w:tcPr>
          <w:p w14:paraId="0180E735">
            <w:pPr>
              <w:jc w:val="left"/>
              <w:rPr>
                <w:rFonts w:ascii="宋体" w:hAnsi="宋体" w:cs="宋体"/>
              </w:rPr>
            </w:pPr>
            <w:r>
              <w:rPr>
                <w:rFonts w:hint="eastAsia" w:ascii="宋体" w:hAnsi="宋体" w:cs="宋体"/>
              </w:rPr>
              <w:t xml:space="preserve">外币未来现金流量及其现值的确定 </w:t>
            </w:r>
          </w:p>
          <w:p w14:paraId="1532929D">
            <w:pPr>
              <w:jc w:val="left"/>
              <w:rPr>
                <w:rFonts w:ascii="宋体" w:hAnsi="宋体" w:cs="宋体"/>
              </w:rPr>
            </w:pPr>
            <w:r>
              <w:rPr>
                <w:rFonts w:hint="eastAsia" w:ascii="宋体" w:hAnsi="宋体" w:cs="宋体"/>
              </w:rPr>
              <w:t xml:space="preserve">先折现，后折汇 </w:t>
            </w:r>
          </w:p>
        </w:tc>
        <w:tc>
          <w:tcPr>
            <w:tcW w:w="2285" w:type="pct"/>
          </w:tcPr>
          <w:p w14:paraId="6D1DBAC2">
            <w:pPr>
              <w:jc w:val="left"/>
              <w:rPr>
                <w:rFonts w:ascii="宋体" w:hAnsi="宋体" w:cs="宋体"/>
              </w:rPr>
            </w:pPr>
            <w:r>
              <w:rPr>
                <w:rFonts w:ascii="宋体" w:hAnsi="宋体" w:cs="宋体"/>
              </w:rPr>
              <w:drawing>
                <wp:inline distT="0" distB="0" distL="0" distR="0">
                  <wp:extent cx="3386455" cy="1229995"/>
                  <wp:effectExtent l="0" t="0" r="4445" b="8255"/>
                  <wp:docPr id="151882233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822336" name="图片 1"/>
                          <pic:cNvPicPr>
                            <a:picLocks noChangeAspect="1"/>
                          </pic:cNvPicPr>
                        </pic:nvPicPr>
                        <pic:blipFill>
                          <a:blip r:embed="rId7" cstate="print">
                            <a:extLst>
                              <a:ext uri="{BEBA8EAE-BF5A-486C-A8C5-ECC9F3942E4B}">
                                <a14:imgProps xmlns:a14="http://schemas.microsoft.com/office/drawing/2010/main">
                                  <a14:imgLayer r:embed="rId8">
                                    <a14:imgEffect>
                                      <a14:brightnessContrast bright="-90000"/>
                                    </a14:imgEffect>
                                  </a14:imgLayer>
                                </a14:imgProps>
                              </a:ext>
                              <a:ext uri="{28A0092B-C50C-407E-A947-70E740481C1C}">
                                <a14:useLocalDpi xmlns:a14="http://schemas.microsoft.com/office/drawing/2010/main" val="0"/>
                              </a:ext>
                            </a:extLst>
                          </a:blip>
                          <a:stretch>
                            <a:fillRect/>
                          </a:stretch>
                        </pic:blipFill>
                        <pic:spPr>
                          <a:xfrm>
                            <a:off x="0" y="0"/>
                            <a:ext cx="3551052" cy="1289879"/>
                          </a:xfrm>
                          <a:prstGeom prst="rect">
                            <a:avLst/>
                          </a:prstGeom>
                        </pic:spPr>
                      </pic:pic>
                    </a:graphicData>
                  </a:graphic>
                </wp:inline>
              </w:drawing>
            </w:r>
          </w:p>
        </w:tc>
      </w:tr>
    </w:tbl>
    <w:p w14:paraId="4862A0F1">
      <w:pPr>
        <w:jc w:val="left"/>
        <w:rPr>
          <w:rFonts w:ascii="宋体" w:hAnsi="宋体" w:cs="宋体"/>
        </w:rPr>
      </w:pPr>
    </w:p>
    <w:tbl>
      <w:tblPr>
        <w:tblStyle w:val="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1"/>
        <w:gridCol w:w="2899"/>
        <w:gridCol w:w="5646"/>
      </w:tblGrid>
      <w:tr w14:paraId="2506C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pct"/>
          </w:tcPr>
          <w:p w14:paraId="24F82259">
            <w:pPr>
              <w:jc w:val="center"/>
              <w:rPr>
                <w:rFonts w:ascii="宋体" w:hAnsi="宋体" w:cs="宋体"/>
              </w:rPr>
            </w:pPr>
            <w:r>
              <w:rPr>
                <w:rFonts w:hint="eastAsia" w:ascii="宋体" w:hAnsi="宋体" w:cs="宋体"/>
              </w:rPr>
              <w:t>账务处理</w:t>
            </w:r>
          </w:p>
        </w:tc>
        <w:tc>
          <w:tcPr>
            <w:tcW w:w="1430" w:type="pct"/>
          </w:tcPr>
          <w:p w14:paraId="0CDB550A">
            <w:pPr>
              <w:jc w:val="left"/>
              <w:rPr>
                <w:rFonts w:ascii="宋体" w:hAnsi="宋体" w:cs="宋体"/>
              </w:rPr>
            </w:pPr>
            <w:r>
              <w:rPr>
                <w:rFonts w:hint="eastAsia" w:ascii="宋体" w:hAnsi="宋体" w:cs="宋体"/>
              </w:rPr>
              <w:t>资产减值损失一经确认，在以后会计期间不得转回</w:t>
            </w:r>
          </w:p>
        </w:tc>
        <w:tc>
          <w:tcPr>
            <w:tcW w:w="2785" w:type="pct"/>
          </w:tcPr>
          <w:p w14:paraId="5DB50A38">
            <w:pPr>
              <w:jc w:val="left"/>
              <w:rPr>
                <w:rFonts w:ascii="宋体" w:hAnsi="宋体" w:cs="宋体"/>
              </w:rPr>
            </w:pPr>
            <w:r>
              <w:rPr>
                <w:rFonts w:hint="eastAsia" w:ascii="宋体" w:hAnsi="宋体" w:cs="宋体"/>
              </w:rPr>
              <w:t>借：资产减值损失</w:t>
            </w:r>
          </w:p>
          <w:p w14:paraId="0F5775AF">
            <w:pPr>
              <w:jc w:val="left"/>
              <w:rPr>
                <w:rFonts w:ascii="宋体" w:hAnsi="宋体" w:cs="宋体"/>
              </w:rPr>
            </w:pPr>
            <w:r>
              <w:rPr>
                <w:rFonts w:hint="eastAsia" w:ascii="宋体" w:hAnsi="宋体" w:cs="宋体"/>
              </w:rPr>
              <w:t xml:space="preserve">　　贷：长期股权投资减值准备 </w:t>
            </w:r>
          </w:p>
          <w:p w14:paraId="7320E134">
            <w:pPr>
              <w:jc w:val="left"/>
              <w:rPr>
                <w:rFonts w:ascii="宋体" w:hAnsi="宋体" w:cs="宋体"/>
              </w:rPr>
            </w:pPr>
            <w:r>
              <w:rPr>
                <w:rFonts w:hint="eastAsia" w:ascii="宋体" w:hAnsi="宋体" w:cs="宋体"/>
              </w:rPr>
              <w:t xml:space="preserve">　固定资产减值准备 </w:t>
            </w:r>
          </w:p>
          <w:p w14:paraId="0E1E1095">
            <w:pPr>
              <w:jc w:val="left"/>
              <w:rPr>
                <w:rFonts w:ascii="宋体" w:hAnsi="宋体" w:cs="宋体"/>
              </w:rPr>
            </w:pPr>
            <w:r>
              <w:rPr>
                <w:rFonts w:hint="eastAsia" w:ascii="宋体" w:hAnsi="宋体" w:cs="宋体"/>
              </w:rPr>
              <w:t>　在建工程减值准备</w:t>
            </w:r>
          </w:p>
          <w:p w14:paraId="460AB705">
            <w:pPr>
              <w:jc w:val="left"/>
              <w:rPr>
                <w:rFonts w:ascii="宋体" w:hAnsi="宋体" w:cs="宋体"/>
              </w:rPr>
            </w:pPr>
            <w:r>
              <w:rPr>
                <w:rFonts w:hint="eastAsia" w:ascii="宋体" w:hAnsi="宋体" w:cs="宋体"/>
              </w:rPr>
              <w:t xml:space="preserve">　工程物资减值准备 </w:t>
            </w:r>
          </w:p>
          <w:p w14:paraId="22FA3010">
            <w:pPr>
              <w:jc w:val="left"/>
              <w:rPr>
                <w:rFonts w:ascii="宋体" w:hAnsi="宋体" w:cs="宋体"/>
              </w:rPr>
            </w:pPr>
            <w:r>
              <w:rPr>
                <w:rFonts w:hint="eastAsia" w:ascii="宋体" w:hAnsi="宋体" w:cs="宋体"/>
              </w:rPr>
              <w:t xml:space="preserve">　生产性生物资产减值准备 </w:t>
            </w:r>
          </w:p>
          <w:p w14:paraId="693B659D">
            <w:pPr>
              <w:jc w:val="left"/>
              <w:rPr>
                <w:rFonts w:ascii="宋体" w:hAnsi="宋体" w:cs="宋体"/>
              </w:rPr>
            </w:pPr>
            <w:r>
              <w:rPr>
                <w:rFonts w:hint="eastAsia" w:ascii="宋体" w:hAnsi="宋体" w:cs="宋体"/>
              </w:rPr>
              <w:t xml:space="preserve">　无形资产减值准备 </w:t>
            </w:r>
          </w:p>
          <w:p w14:paraId="475CFEE1">
            <w:pPr>
              <w:jc w:val="left"/>
              <w:rPr>
                <w:rFonts w:ascii="宋体" w:hAnsi="宋体" w:cs="宋体"/>
              </w:rPr>
            </w:pPr>
            <w:r>
              <w:rPr>
                <w:rFonts w:hint="eastAsia" w:ascii="宋体" w:hAnsi="宋体" w:cs="宋体"/>
              </w:rPr>
              <w:t>　投资性房地产减值准备</w:t>
            </w:r>
          </w:p>
        </w:tc>
      </w:tr>
    </w:tbl>
    <w:p w14:paraId="0A538F83">
      <w:pPr>
        <w:jc w:val="left"/>
        <w:rPr>
          <w:rFonts w:ascii="宋体" w:hAnsi="宋体" w:cs="宋体"/>
        </w:rPr>
      </w:pPr>
      <w:r>
        <w:rPr>
          <w:rFonts w:hint="eastAsia" w:ascii="宋体" w:hAnsi="宋体" w:cs="宋体"/>
        </w:rPr>
        <w:t>【考点总结】★★★资产组的认定及减值的处理</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0"/>
        <w:gridCol w:w="7968"/>
      </w:tblGrid>
      <w:tr w14:paraId="02D06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pct"/>
            <w:vMerge w:val="restart"/>
          </w:tcPr>
          <w:p w14:paraId="2EDA3ACC">
            <w:pPr>
              <w:jc w:val="left"/>
              <w:rPr>
                <w:rFonts w:ascii="宋体" w:hAnsi="宋体" w:cs="宋体"/>
              </w:rPr>
            </w:pPr>
            <w:r>
              <w:rPr>
                <w:rFonts w:hint="eastAsia" w:ascii="宋体" w:hAnsi="宋体" w:cs="宋体"/>
              </w:rPr>
              <w:t>资产组的认定</w:t>
            </w:r>
          </w:p>
        </w:tc>
        <w:tc>
          <w:tcPr>
            <w:tcW w:w="3930" w:type="pct"/>
          </w:tcPr>
          <w:p w14:paraId="63F31C3A">
            <w:pPr>
              <w:jc w:val="left"/>
              <w:rPr>
                <w:rFonts w:ascii="宋体" w:hAnsi="宋体" w:cs="宋体"/>
              </w:rPr>
            </w:pPr>
            <w:r>
              <w:rPr>
                <w:rFonts w:hint="eastAsia" w:ascii="宋体" w:hAnsi="宋体" w:cs="宋体"/>
              </w:rPr>
              <w:t>资产组，是指企业可以认定的</w:t>
            </w:r>
            <w:r>
              <w:rPr>
                <w:rFonts w:hint="eastAsia" w:ascii="宋体" w:hAnsi="宋体" w:cs="宋体"/>
                <w:color w:val="FF0000"/>
              </w:rPr>
              <w:t>最小资产组合</w:t>
            </w:r>
            <w:r>
              <w:rPr>
                <w:rFonts w:hint="eastAsia" w:ascii="宋体" w:hAnsi="宋体" w:cs="宋体"/>
              </w:rPr>
              <w:t>，其产生的现金流入应当基本上独立于其他资产或者资产组产生的现金流入。</w:t>
            </w:r>
          </w:p>
        </w:tc>
      </w:tr>
      <w:tr w14:paraId="217F1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pct"/>
            <w:vMerge w:val="continue"/>
          </w:tcPr>
          <w:p w14:paraId="4F6F1E20">
            <w:pPr>
              <w:jc w:val="left"/>
              <w:rPr>
                <w:rFonts w:ascii="宋体" w:hAnsi="宋体" w:cs="宋体"/>
              </w:rPr>
            </w:pPr>
          </w:p>
        </w:tc>
        <w:tc>
          <w:tcPr>
            <w:tcW w:w="3930" w:type="pct"/>
          </w:tcPr>
          <w:p w14:paraId="5274E4F1">
            <w:pPr>
              <w:jc w:val="left"/>
              <w:rPr>
                <w:rFonts w:ascii="宋体" w:hAnsi="宋体" w:cs="宋体"/>
              </w:rPr>
            </w:pPr>
            <w:r>
              <w:rPr>
                <w:rFonts w:hint="eastAsia" w:ascii="宋体" w:hAnsi="宋体" w:cs="宋体"/>
              </w:rPr>
              <w:t>资产组一经确定后，在各个会计期间应当保持一致，不得随意变更，即资产组各项资产的构成通常不能随意变更。</w:t>
            </w:r>
          </w:p>
        </w:tc>
      </w:tr>
      <w:tr w14:paraId="16933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pct"/>
            <w:vMerge w:val="restart"/>
          </w:tcPr>
          <w:p w14:paraId="0200CB68">
            <w:pPr>
              <w:jc w:val="left"/>
              <w:rPr>
                <w:rFonts w:ascii="宋体" w:hAnsi="宋体" w:cs="宋体"/>
              </w:rPr>
            </w:pPr>
            <w:r>
              <w:rPr>
                <w:rFonts w:hint="eastAsia" w:ascii="宋体" w:hAnsi="宋体" w:cs="宋体"/>
              </w:rPr>
              <w:t>资产组的账面价值</w:t>
            </w:r>
          </w:p>
        </w:tc>
        <w:tc>
          <w:tcPr>
            <w:tcW w:w="3930" w:type="pct"/>
          </w:tcPr>
          <w:p w14:paraId="09AE7CD3">
            <w:pPr>
              <w:jc w:val="left"/>
              <w:rPr>
                <w:rFonts w:ascii="宋体" w:hAnsi="宋体" w:cs="宋体"/>
              </w:rPr>
            </w:pPr>
            <w:r>
              <w:rPr>
                <w:rFonts w:hint="eastAsia" w:ascii="宋体" w:hAnsi="宋体" w:cs="宋体"/>
              </w:rPr>
              <w:t>应当包括可直接归属于资产组与可以</w:t>
            </w:r>
            <w:r>
              <w:rPr>
                <w:rFonts w:hint="eastAsia" w:ascii="宋体" w:hAnsi="宋体" w:cs="宋体"/>
                <w:color w:val="FF0000"/>
              </w:rPr>
              <w:t>合理和一致</w:t>
            </w:r>
            <w:r>
              <w:rPr>
                <w:rFonts w:hint="eastAsia" w:ascii="宋体" w:hAnsi="宋体" w:cs="宋体"/>
              </w:rPr>
              <w:t>地分摊至资产组的资产账面价值；</w:t>
            </w:r>
          </w:p>
        </w:tc>
      </w:tr>
      <w:tr w14:paraId="0ADFD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pct"/>
            <w:vMerge w:val="continue"/>
          </w:tcPr>
          <w:p w14:paraId="23B9D2DA">
            <w:pPr>
              <w:jc w:val="left"/>
              <w:rPr>
                <w:rFonts w:ascii="宋体" w:hAnsi="宋体" w:cs="宋体"/>
              </w:rPr>
            </w:pPr>
          </w:p>
        </w:tc>
        <w:tc>
          <w:tcPr>
            <w:tcW w:w="3930" w:type="pct"/>
          </w:tcPr>
          <w:p w14:paraId="715C24C0">
            <w:pPr>
              <w:jc w:val="left"/>
              <w:rPr>
                <w:rFonts w:ascii="宋体" w:hAnsi="宋体" w:cs="宋体"/>
              </w:rPr>
            </w:pPr>
            <w:r>
              <w:rPr>
                <w:rFonts w:hint="eastAsia" w:ascii="宋体" w:hAnsi="宋体" w:cs="宋体"/>
              </w:rPr>
              <w:t>通常不应当包括已确认负债的账面价值，但如不考虑该负债金额就无法确定资产组可收回金额的除外。</w:t>
            </w:r>
          </w:p>
        </w:tc>
      </w:tr>
    </w:tbl>
    <w:p w14:paraId="34E0DC8D">
      <w:pPr>
        <w:jc w:val="left"/>
        <w:rPr>
          <w:rFonts w:ascii="宋体" w:hAnsi="宋体" w:cs="宋体"/>
        </w:rPr>
      </w:pP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0"/>
        <w:gridCol w:w="7968"/>
      </w:tblGrid>
      <w:tr w14:paraId="5A049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pct"/>
            <w:vMerge w:val="restart"/>
          </w:tcPr>
          <w:p w14:paraId="7DC7B57C">
            <w:pPr>
              <w:jc w:val="left"/>
              <w:rPr>
                <w:rFonts w:ascii="宋体" w:hAnsi="宋体" w:cs="宋体"/>
              </w:rPr>
            </w:pPr>
            <w:r>
              <w:rPr>
                <w:rFonts w:hint="eastAsia" w:ascii="宋体" w:hAnsi="宋体" w:cs="宋体"/>
              </w:rPr>
              <w:t>资产组减值测试</w:t>
            </w:r>
          </w:p>
        </w:tc>
        <w:tc>
          <w:tcPr>
            <w:tcW w:w="3930" w:type="pct"/>
          </w:tcPr>
          <w:p w14:paraId="6535396A">
            <w:pPr>
              <w:jc w:val="left"/>
              <w:rPr>
                <w:rFonts w:ascii="宋体" w:hAnsi="宋体" w:cs="宋体"/>
              </w:rPr>
            </w:pPr>
            <w:r>
              <w:rPr>
                <w:rFonts w:hint="eastAsia" w:ascii="宋体" w:hAnsi="宋体" w:cs="宋体"/>
              </w:rPr>
              <w:t>（1）首先抵减分摊至资产组中商誉的账面价值；（抵商誉）</w:t>
            </w:r>
          </w:p>
        </w:tc>
      </w:tr>
      <w:tr w14:paraId="4E8B5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pct"/>
            <w:vMerge w:val="continue"/>
          </w:tcPr>
          <w:p w14:paraId="20BCB1EA">
            <w:pPr>
              <w:jc w:val="left"/>
              <w:rPr>
                <w:rFonts w:ascii="宋体" w:hAnsi="宋体" w:cs="宋体"/>
              </w:rPr>
            </w:pPr>
          </w:p>
        </w:tc>
        <w:tc>
          <w:tcPr>
            <w:tcW w:w="3930" w:type="pct"/>
          </w:tcPr>
          <w:p w14:paraId="4FB829FF">
            <w:pPr>
              <w:jc w:val="left"/>
              <w:rPr>
                <w:rFonts w:ascii="宋体" w:hAnsi="宋体" w:cs="宋体"/>
              </w:rPr>
            </w:pPr>
            <w:r>
              <w:rPr>
                <w:rFonts w:hint="eastAsia" w:ascii="宋体" w:hAnsi="宋体" w:cs="宋体"/>
              </w:rPr>
              <w:t>（2）然后根据资产的账面价值所占比重抵减其他各项资产的账面价值。（按比例抵减各项资产）</w:t>
            </w:r>
          </w:p>
        </w:tc>
      </w:tr>
      <w:tr w14:paraId="503FA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pct"/>
            <w:vMerge w:val="continue"/>
          </w:tcPr>
          <w:p w14:paraId="31EFD7AF">
            <w:pPr>
              <w:jc w:val="left"/>
              <w:rPr>
                <w:rFonts w:ascii="宋体" w:hAnsi="宋体" w:cs="宋体"/>
              </w:rPr>
            </w:pPr>
          </w:p>
        </w:tc>
        <w:tc>
          <w:tcPr>
            <w:tcW w:w="3930" w:type="pct"/>
          </w:tcPr>
          <w:p w14:paraId="06A4FD85">
            <w:pPr>
              <w:jc w:val="left"/>
              <w:rPr>
                <w:rFonts w:ascii="宋体" w:hAnsi="宋体" w:cs="宋体"/>
              </w:rPr>
            </w:pPr>
            <w:r>
              <w:rPr>
                <w:rFonts w:hint="eastAsia" w:ascii="宋体" w:hAnsi="宋体" w:cs="宋体"/>
              </w:rPr>
              <w:t>抵减后的各资产的账面价值不得低于以下三者之中</w:t>
            </w:r>
            <w:r>
              <w:rPr>
                <w:rFonts w:hint="eastAsia" w:ascii="宋体" w:hAnsi="宋体" w:cs="宋体"/>
                <w:color w:val="FF0000"/>
              </w:rPr>
              <w:t>最高者</w:t>
            </w:r>
            <w:r>
              <w:rPr>
                <w:rFonts w:hint="eastAsia" w:ascii="宋体" w:hAnsi="宋体" w:cs="宋体"/>
              </w:rPr>
              <w:t>：该资产的公允价值减去处置费用后的净额（如可确定的）、该资产预计未来现金流量的现值（如可确定的）和零。 （即不得低于可收回金额和0）</w:t>
            </w:r>
          </w:p>
        </w:tc>
      </w:tr>
      <w:tr w14:paraId="3B0AF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pct"/>
            <w:vMerge w:val="restart"/>
          </w:tcPr>
          <w:p w14:paraId="202018AB">
            <w:pPr>
              <w:jc w:val="left"/>
              <w:rPr>
                <w:rFonts w:ascii="宋体" w:hAnsi="宋体" w:cs="宋体"/>
              </w:rPr>
            </w:pPr>
            <w:r>
              <w:rPr>
                <w:rFonts w:hint="eastAsia" w:ascii="宋体" w:hAnsi="宋体" w:cs="宋体"/>
              </w:rPr>
              <w:t>总部资产减值测试</w:t>
            </w:r>
          </w:p>
        </w:tc>
        <w:tc>
          <w:tcPr>
            <w:tcW w:w="3930" w:type="pct"/>
          </w:tcPr>
          <w:p w14:paraId="7D5E8773">
            <w:pPr>
              <w:jc w:val="left"/>
              <w:rPr>
                <w:rFonts w:ascii="宋体" w:hAnsi="宋体" w:cs="宋体"/>
              </w:rPr>
            </w:pPr>
            <w:r>
              <w:rPr>
                <w:rFonts w:hint="eastAsia" w:ascii="宋体" w:hAnsi="宋体" w:cs="宋体"/>
              </w:rPr>
              <w:t>（1）先分摊可分摊的总部资产（按年限权重）</w:t>
            </w:r>
          </w:p>
        </w:tc>
      </w:tr>
      <w:tr w14:paraId="47495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pct"/>
            <w:vMerge w:val="continue"/>
          </w:tcPr>
          <w:p w14:paraId="382AF37D">
            <w:pPr>
              <w:jc w:val="left"/>
              <w:rPr>
                <w:rFonts w:ascii="宋体" w:hAnsi="宋体" w:cs="宋体"/>
              </w:rPr>
            </w:pPr>
          </w:p>
        </w:tc>
        <w:tc>
          <w:tcPr>
            <w:tcW w:w="3930" w:type="pct"/>
          </w:tcPr>
          <w:p w14:paraId="443BC7E9">
            <w:pPr>
              <w:jc w:val="left"/>
              <w:rPr>
                <w:rFonts w:ascii="宋体" w:hAnsi="宋体" w:cs="宋体"/>
              </w:rPr>
            </w:pPr>
            <w:r>
              <w:rPr>
                <w:rFonts w:hint="eastAsia" w:ascii="宋体" w:hAnsi="宋体" w:cs="宋体"/>
              </w:rPr>
              <w:t>（2）比较各资产组的减值损失</w:t>
            </w:r>
          </w:p>
        </w:tc>
      </w:tr>
      <w:tr w14:paraId="6C81A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pct"/>
            <w:vMerge w:val="continue"/>
          </w:tcPr>
          <w:p w14:paraId="3F9834E5">
            <w:pPr>
              <w:jc w:val="left"/>
              <w:rPr>
                <w:rFonts w:ascii="宋体" w:hAnsi="宋体" w:cs="宋体"/>
              </w:rPr>
            </w:pPr>
          </w:p>
        </w:tc>
        <w:tc>
          <w:tcPr>
            <w:tcW w:w="3930" w:type="pct"/>
          </w:tcPr>
          <w:p w14:paraId="12BE4DD2">
            <w:pPr>
              <w:jc w:val="left"/>
              <w:rPr>
                <w:rFonts w:ascii="宋体" w:hAnsi="宋体" w:cs="宋体"/>
              </w:rPr>
            </w:pPr>
            <w:r>
              <w:rPr>
                <w:rFonts w:hint="eastAsia" w:ascii="宋体" w:hAnsi="宋体" w:cs="宋体"/>
              </w:rPr>
              <w:t>（3）分摊总部资产和各资产组的减值损失</w:t>
            </w:r>
          </w:p>
        </w:tc>
      </w:tr>
      <w:tr w14:paraId="44028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pct"/>
            <w:vMerge w:val="continue"/>
          </w:tcPr>
          <w:p w14:paraId="66D72877">
            <w:pPr>
              <w:jc w:val="left"/>
              <w:rPr>
                <w:rFonts w:ascii="宋体" w:hAnsi="宋体" w:cs="宋体"/>
              </w:rPr>
            </w:pPr>
          </w:p>
        </w:tc>
        <w:tc>
          <w:tcPr>
            <w:tcW w:w="3930" w:type="pct"/>
          </w:tcPr>
          <w:p w14:paraId="635605C2">
            <w:pPr>
              <w:jc w:val="left"/>
              <w:rPr>
                <w:rFonts w:ascii="宋体" w:hAnsi="宋体" w:cs="宋体"/>
              </w:rPr>
            </w:pPr>
            <w:r>
              <w:rPr>
                <w:rFonts w:hint="eastAsia" w:ascii="宋体" w:hAnsi="宋体" w:cs="宋体"/>
              </w:rPr>
              <w:t>（4）计算总部资产和各资产组的账面价值</w:t>
            </w:r>
          </w:p>
        </w:tc>
      </w:tr>
      <w:tr w14:paraId="76F09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pct"/>
            <w:vMerge w:val="continue"/>
          </w:tcPr>
          <w:p w14:paraId="723FE674">
            <w:pPr>
              <w:jc w:val="left"/>
              <w:rPr>
                <w:rFonts w:ascii="宋体" w:hAnsi="宋体" w:cs="宋体"/>
              </w:rPr>
            </w:pPr>
          </w:p>
        </w:tc>
        <w:tc>
          <w:tcPr>
            <w:tcW w:w="3930" w:type="pct"/>
          </w:tcPr>
          <w:p w14:paraId="0F77CF04">
            <w:pPr>
              <w:jc w:val="left"/>
              <w:rPr>
                <w:rFonts w:ascii="宋体" w:hAnsi="宋体" w:cs="宋体"/>
              </w:rPr>
            </w:pPr>
            <w:r>
              <w:rPr>
                <w:rFonts w:hint="eastAsia" w:ascii="宋体" w:hAnsi="宋体" w:cs="宋体"/>
              </w:rPr>
              <w:t>（5）总体比较账面价值与可收回金额</w:t>
            </w:r>
          </w:p>
        </w:tc>
      </w:tr>
    </w:tbl>
    <w:p w14:paraId="2FFD82D7">
      <w:pPr>
        <w:jc w:val="left"/>
        <w:rPr>
          <w:rFonts w:ascii="宋体" w:hAnsi="宋体" w:cs="宋体"/>
        </w:rPr>
      </w:pPr>
    </w:p>
    <w:p w14:paraId="6D95B9A0">
      <w:pPr>
        <w:overflowPunct w:val="0"/>
        <w:jc w:val="center"/>
        <w:rPr>
          <w:rFonts w:ascii="宋体" w:hAnsi="宋体" w:cs="宋体"/>
          <w:b/>
          <w:bCs/>
        </w:rPr>
      </w:pPr>
      <w:r>
        <w:rPr>
          <w:rFonts w:hint="eastAsia" w:ascii="宋体" w:hAnsi="宋体" w:cs="宋体"/>
          <w:b/>
          <w:bCs/>
        </w:rPr>
        <w:t>第八章  金融资产和金融负债</w:t>
      </w:r>
    </w:p>
    <w:p w14:paraId="55E63E4A">
      <w:pPr>
        <w:jc w:val="left"/>
        <w:rPr>
          <w:rFonts w:ascii="宋体" w:hAnsi="宋体" w:cs="宋体"/>
        </w:rPr>
      </w:pPr>
      <w:r>
        <w:rPr>
          <w:rFonts w:hint="eastAsia" w:ascii="宋体" w:hAnsi="宋体" w:cs="宋体"/>
        </w:rPr>
        <w:t>预计今年考核主观题和客观题，分值在15分左右。</w:t>
      </w:r>
    </w:p>
    <w:p w14:paraId="7A1BD384">
      <w:pPr>
        <w:jc w:val="left"/>
        <w:rPr>
          <w:rFonts w:ascii="宋体" w:hAnsi="宋体" w:cs="宋体"/>
        </w:rPr>
      </w:pPr>
      <w:r>
        <w:rPr>
          <w:rFonts w:hint="eastAsia" w:ascii="宋体" w:hAnsi="宋体" w:cs="宋体"/>
        </w:rPr>
        <w:t>【考点】★金融资产的分类（根据业务模式和合同现金流量特征）</w:t>
      </w:r>
    </w:p>
    <w:tbl>
      <w:tblPr>
        <w:tblStyle w:val="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90"/>
        <w:gridCol w:w="3479"/>
        <w:gridCol w:w="2167"/>
      </w:tblGrid>
      <w:tr w14:paraId="194E4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5" w:type="pct"/>
          </w:tcPr>
          <w:p w14:paraId="00E639D2">
            <w:pPr>
              <w:jc w:val="center"/>
              <w:rPr>
                <w:rFonts w:ascii="宋体" w:hAnsi="宋体" w:cs="宋体"/>
              </w:rPr>
            </w:pPr>
            <w:r>
              <w:rPr>
                <w:rFonts w:hint="eastAsia" w:ascii="宋体" w:hAnsi="宋体" w:cs="宋体"/>
              </w:rPr>
              <w:t> </w:t>
            </w:r>
          </w:p>
        </w:tc>
        <w:tc>
          <w:tcPr>
            <w:tcW w:w="1716" w:type="pct"/>
          </w:tcPr>
          <w:p w14:paraId="4078B7E5">
            <w:pPr>
              <w:jc w:val="center"/>
              <w:rPr>
                <w:rFonts w:ascii="宋体" w:hAnsi="宋体" w:cs="宋体"/>
                <w:color w:val="FF0000"/>
              </w:rPr>
            </w:pPr>
            <w:r>
              <w:rPr>
                <w:rFonts w:hint="eastAsia" w:ascii="宋体" w:hAnsi="宋体" w:cs="宋体"/>
                <w:color w:val="FF0000"/>
              </w:rPr>
              <w:t>业务模式</w:t>
            </w:r>
          </w:p>
        </w:tc>
        <w:tc>
          <w:tcPr>
            <w:tcW w:w="1069" w:type="pct"/>
          </w:tcPr>
          <w:p w14:paraId="585EBC37">
            <w:pPr>
              <w:jc w:val="center"/>
              <w:rPr>
                <w:rFonts w:ascii="宋体" w:hAnsi="宋体" w:cs="宋体"/>
                <w:color w:val="FF0000"/>
              </w:rPr>
            </w:pPr>
            <w:r>
              <w:rPr>
                <w:rFonts w:hint="eastAsia" w:ascii="宋体" w:hAnsi="宋体" w:cs="宋体"/>
                <w:color w:val="FF0000"/>
              </w:rPr>
              <w:t>合同现金流量特征</w:t>
            </w:r>
          </w:p>
        </w:tc>
      </w:tr>
      <w:tr w14:paraId="1AE04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5" w:type="pct"/>
          </w:tcPr>
          <w:p w14:paraId="6AB4C8B1">
            <w:pPr>
              <w:jc w:val="left"/>
              <w:rPr>
                <w:rFonts w:ascii="宋体" w:hAnsi="宋体" w:cs="宋体"/>
                <w:color w:val="FF0000"/>
              </w:rPr>
            </w:pPr>
            <w:r>
              <w:rPr>
                <w:rFonts w:hint="eastAsia" w:ascii="宋体" w:hAnsi="宋体" w:cs="宋体"/>
                <w:color w:val="FF0000"/>
              </w:rPr>
              <w:t>1.以摊余成本计量的金融资产（债权投资）；债</w:t>
            </w:r>
          </w:p>
        </w:tc>
        <w:tc>
          <w:tcPr>
            <w:tcW w:w="1716" w:type="pct"/>
          </w:tcPr>
          <w:p w14:paraId="69D9790F">
            <w:pPr>
              <w:jc w:val="left"/>
              <w:rPr>
                <w:rFonts w:ascii="宋体" w:hAnsi="宋体" w:cs="宋体"/>
              </w:rPr>
            </w:pPr>
            <w:r>
              <w:rPr>
                <w:rFonts w:hint="eastAsia" w:ascii="宋体" w:hAnsi="宋体" w:cs="宋体"/>
              </w:rPr>
              <w:t>收取合同现金流量</w:t>
            </w:r>
          </w:p>
        </w:tc>
        <w:tc>
          <w:tcPr>
            <w:tcW w:w="1069" w:type="pct"/>
          </w:tcPr>
          <w:p w14:paraId="3AEEA9EB">
            <w:pPr>
              <w:jc w:val="left"/>
              <w:rPr>
                <w:rFonts w:ascii="宋体" w:hAnsi="宋体" w:cs="宋体"/>
              </w:rPr>
            </w:pPr>
            <w:r>
              <w:rPr>
                <w:rFonts w:hint="eastAsia" w:ascii="宋体" w:hAnsi="宋体" w:cs="宋体"/>
              </w:rPr>
              <w:t>本金加利息</w:t>
            </w:r>
          </w:p>
        </w:tc>
      </w:tr>
      <w:tr w14:paraId="3BB9A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5" w:type="pct"/>
          </w:tcPr>
          <w:p w14:paraId="19253D3A">
            <w:pPr>
              <w:jc w:val="left"/>
              <w:rPr>
                <w:rFonts w:ascii="宋体" w:hAnsi="宋体" w:cs="宋体"/>
                <w:color w:val="FF0000"/>
              </w:rPr>
            </w:pPr>
            <w:r>
              <w:rPr>
                <w:rFonts w:hint="eastAsia" w:ascii="宋体" w:hAnsi="宋体" w:cs="宋体"/>
                <w:color w:val="FF0000"/>
              </w:rPr>
              <w:t>2.以公允价值计量且其变动计入其他综合收益的金融资产（债：其他债权投资）债</w:t>
            </w:r>
          </w:p>
        </w:tc>
        <w:tc>
          <w:tcPr>
            <w:tcW w:w="1716" w:type="pct"/>
          </w:tcPr>
          <w:p w14:paraId="28F4BC6A">
            <w:pPr>
              <w:jc w:val="left"/>
              <w:rPr>
                <w:rFonts w:ascii="宋体" w:hAnsi="宋体" w:cs="宋体"/>
              </w:rPr>
            </w:pPr>
            <w:r>
              <w:rPr>
                <w:rFonts w:hint="eastAsia" w:ascii="宋体" w:hAnsi="宋体" w:cs="宋体"/>
              </w:rPr>
              <w:t>收取合同现金流量＋出售该金融资产（债）</w:t>
            </w:r>
          </w:p>
        </w:tc>
        <w:tc>
          <w:tcPr>
            <w:tcW w:w="1069" w:type="pct"/>
          </w:tcPr>
          <w:p w14:paraId="5EDDF3CD">
            <w:pPr>
              <w:jc w:val="left"/>
              <w:rPr>
                <w:rFonts w:ascii="宋体" w:hAnsi="宋体" w:cs="宋体"/>
              </w:rPr>
            </w:pPr>
            <w:r>
              <w:rPr>
                <w:rFonts w:hint="eastAsia" w:ascii="宋体" w:hAnsi="宋体" w:cs="宋体"/>
              </w:rPr>
              <w:t>本金加利息（债）</w:t>
            </w:r>
          </w:p>
        </w:tc>
      </w:tr>
      <w:tr w14:paraId="41B7D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5" w:type="pct"/>
          </w:tcPr>
          <w:p w14:paraId="49506620">
            <w:pPr>
              <w:jc w:val="left"/>
              <w:rPr>
                <w:rFonts w:ascii="宋体" w:hAnsi="宋体" w:cs="宋体"/>
                <w:color w:val="FF0000"/>
              </w:rPr>
            </w:pPr>
            <w:r>
              <w:rPr>
                <w:rFonts w:hint="eastAsia" w:ascii="宋体" w:hAnsi="宋体" w:cs="宋体"/>
                <w:color w:val="FF0000"/>
              </w:rPr>
              <w:t>3.以公允价值计量且其变动计入当期损益的金融资产（交易性金融资产）债</w:t>
            </w:r>
          </w:p>
        </w:tc>
        <w:tc>
          <w:tcPr>
            <w:tcW w:w="2785" w:type="pct"/>
            <w:gridSpan w:val="2"/>
          </w:tcPr>
          <w:p w14:paraId="77A0622D">
            <w:pPr>
              <w:jc w:val="left"/>
              <w:rPr>
                <w:rFonts w:ascii="宋体" w:hAnsi="宋体" w:cs="宋体"/>
              </w:rPr>
            </w:pPr>
            <w:r>
              <w:rPr>
                <w:rFonts w:hint="eastAsia" w:ascii="宋体" w:hAnsi="宋体" w:cs="宋体"/>
              </w:rPr>
              <w:t>不符合以上2种情形：股票（股利＋清算收益）、基金和可转债</w:t>
            </w:r>
          </w:p>
        </w:tc>
      </w:tr>
      <w:tr w14:paraId="4C86E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3"/>
          </w:tcPr>
          <w:p w14:paraId="217B0B67">
            <w:pPr>
              <w:jc w:val="left"/>
              <w:rPr>
                <w:rFonts w:ascii="宋体" w:hAnsi="宋体" w:cs="宋体"/>
              </w:rPr>
            </w:pPr>
            <w:r>
              <w:rPr>
                <w:rFonts w:hint="eastAsia" w:ascii="宋体" w:hAnsi="宋体" w:cs="宋体"/>
              </w:rPr>
              <w:t>【注意1】在初始确认时，如果能够消除或显著</w:t>
            </w:r>
            <w:r>
              <w:rPr>
                <w:rFonts w:hint="eastAsia" w:ascii="宋体" w:hAnsi="宋体" w:cs="宋体"/>
                <w:color w:val="FF0000"/>
              </w:rPr>
              <w:t>减少会计错配</w:t>
            </w:r>
            <w:r>
              <w:rPr>
                <w:rFonts w:hint="eastAsia" w:ascii="宋体" w:hAnsi="宋体" w:cs="宋体"/>
              </w:rPr>
              <w:t>，企业可以将金融资产</w:t>
            </w:r>
            <w:r>
              <w:rPr>
                <w:rFonts w:hint="eastAsia" w:ascii="宋体" w:hAnsi="宋体" w:cs="宋体"/>
                <w:color w:val="FF0000"/>
              </w:rPr>
              <w:t>指定为以公允价值计量且其变动计入当期损益的金融资产。</w:t>
            </w:r>
            <w:r>
              <w:rPr>
                <w:rFonts w:hint="eastAsia" w:ascii="宋体" w:hAnsi="宋体" w:cs="宋体"/>
              </w:rPr>
              <w:t>该指定一经作出，不得撤销。</w:t>
            </w:r>
          </w:p>
        </w:tc>
      </w:tr>
      <w:tr w14:paraId="0E85D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3"/>
          </w:tcPr>
          <w:p w14:paraId="3C43C189">
            <w:pPr>
              <w:jc w:val="left"/>
              <w:rPr>
                <w:rFonts w:ascii="宋体" w:hAnsi="宋体" w:cs="宋体"/>
              </w:rPr>
            </w:pPr>
            <w:r>
              <w:rPr>
                <w:rFonts w:hint="eastAsia" w:ascii="宋体" w:hAnsi="宋体" w:cs="宋体"/>
              </w:rPr>
              <w:t>【注意2】金融资产一经确定，</w:t>
            </w:r>
            <w:r>
              <w:rPr>
                <w:rFonts w:hint="eastAsia" w:ascii="宋体" w:hAnsi="宋体" w:cs="宋体"/>
                <w:color w:val="FF0000"/>
              </w:rPr>
              <w:t>不得随意变更；</w:t>
            </w:r>
          </w:p>
        </w:tc>
      </w:tr>
      <w:tr w14:paraId="1EB2B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3"/>
          </w:tcPr>
          <w:p w14:paraId="3C6CC9EE">
            <w:pPr>
              <w:jc w:val="left"/>
              <w:rPr>
                <w:rFonts w:ascii="宋体" w:hAnsi="宋体" w:cs="宋体"/>
              </w:rPr>
            </w:pPr>
            <w:r>
              <w:rPr>
                <w:rFonts w:hint="eastAsia" w:ascii="宋体" w:hAnsi="宋体" w:cs="宋体"/>
              </w:rPr>
              <w:t>【注意3】金融负债一经确定，</w:t>
            </w:r>
            <w:r>
              <w:rPr>
                <w:rFonts w:hint="eastAsia" w:ascii="宋体" w:hAnsi="宋体" w:cs="宋体"/>
                <w:color w:val="FF0000"/>
              </w:rPr>
              <w:t>不得变更。</w:t>
            </w:r>
          </w:p>
        </w:tc>
      </w:tr>
    </w:tbl>
    <w:p w14:paraId="7D3F57A0">
      <w:pPr>
        <w:jc w:val="left"/>
        <w:rPr>
          <w:rFonts w:ascii="宋体" w:hAnsi="宋体" w:cs="宋体"/>
        </w:rPr>
      </w:pPr>
      <w:r>
        <w:rPr>
          <w:rFonts w:hint="eastAsia" w:ascii="宋体" w:hAnsi="宋体" w:cs="宋体"/>
        </w:rPr>
        <w:t>【考点】金融资产分类的特殊规定</w:t>
      </w:r>
    </w:p>
    <w:p w14:paraId="02F31727">
      <w:pPr>
        <w:jc w:val="left"/>
        <w:rPr>
          <w:rFonts w:ascii="宋体" w:hAnsi="宋体" w:cs="宋体"/>
        </w:rPr>
      </w:pPr>
      <w:r>
        <w:rPr>
          <w:rFonts w:hint="eastAsia" w:ascii="宋体" w:hAnsi="宋体" w:cs="宋体"/>
        </w:rPr>
        <w:t>金融资产或金融负债满足下列条件之一的，属于交易性金融资产或负债：</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9"/>
        <w:gridCol w:w="5069"/>
      </w:tblGrid>
      <w:tr w14:paraId="481F7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6E6692D2">
            <w:pPr>
              <w:jc w:val="center"/>
              <w:rPr>
                <w:rFonts w:ascii="宋体" w:hAnsi="宋体" w:cs="宋体"/>
              </w:rPr>
            </w:pPr>
            <w:r>
              <w:rPr>
                <w:rFonts w:hint="eastAsia" w:ascii="宋体" w:hAnsi="宋体" w:cs="宋体"/>
              </w:rPr>
              <w:t>条件</w:t>
            </w:r>
          </w:p>
        </w:tc>
        <w:tc>
          <w:tcPr>
            <w:tcW w:w="2500" w:type="pct"/>
          </w:tcPr>
          <w:p w14:paraId="5DC1A327">
            <w:pPr>
              <w:jc w:val="center"/>
              <w:rPr>
                <w:rFonts w:ascii="宋体" w:hAnsi="宋体" w:cs="宋体"/>
              </w:rPr>
            </w:pPr>
            <w:r>
              <w:rPr>
                <w:rFonts w:hint="eastAsia" w:ascii="宋体" w:hAnsi="宋体" w:cs="宋体"/>
              </w:rPr>
              <w:t>不符合条件</w:t>
            </w:r>
          </w:p>
        </w:tc>
      </w:tr>
      <w:tr w14:paraId="1617B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7E436DE1">
            <w:pPr>
              <w:jc w:val="left"/>
              <w:rPr>
                <w:rFonts w:ascii="宋体" w:hAnsi="宋体" w:cs="宋体"/>
              </w:rPr>
            </w:pPr>
            <w:r>
              <w:rPr>
                <w:rFonts w:hint="eastAsia" w:ascii="宋体" w:hAnsi="宋体" w:cs="宋体"/>
              </w:rPr>
              <w:t>1.为了</w:t>
            </w:r>
            <w:r>
              <w:rPr>
                <w:rFonts w:hint="eastAsia" w:ascii="宋体" w:hAnsi="宋体" w:cs="宋体"/>
                <w:color w:val="FF0000"/>
              </w:rPr>
              <w:t>近期出售或回购</w:t>
            </w:r>
          </w:p>
        </w:tc>
        <w:tc>
          <w:tcPr>
            <w:tcW w:w="2500" w:type="pct"/>
            <w:vMerge w:val="restart"/>
          </w:tcPr>
          <w:p w14:paraId="5FFAEF93">
            <w:pPr>
              <w:jc w:val="left"/>
              <w:rPr>
                <w:rFonts w:ascii="宋体" w:hAnsi="宋体" w:cs="宋体"/>
              </w:rPr>
            </w:pPr>
            <w:r>
              <w:rPr>
                <w:rFonts w:hint="eastAsia" w:ascii="宋体" w:hAnsi="宋体" w:cs="宋体"/>
              </w:rPr>
              <w:t>非交易性权益工具投资才可以进行该</w:t>
            </w:r>
            <w:r>
              <w:rPr>
                <w:rFonts w:hint="eastAsia" w:ascii="宋体" w:hAnsi="宋体" w:cs="宋体"/>
                <w:color w:val="FF0000"/>
              </w:rPr>
              <w:t>指定</w:t>
            </w:r>
            <w:r>
              <w:rPr>
                <w:rFonts w:hint="eastAsia" w:ascii="宋体" w:hAnsi="宋体" w:cs="宋体"/>
              </w:rPr>
              <w:t>（为以公允价值计量且其变动计入其他综合收益的金融资产，即</w:t>
            </w:r>
            <w:r>
              <w:rPr>
                <w:rFonts w:hint="eastAsia" w:ascii="宋体" w:hAnsi="宋体" w:cs="宋体"/>
                <w:color w:val="FF0000"/>
              </w:rPr>
              <w:t>其他权益工具投资</w:t>
            </w:r>
            <w:r>
              <w:rPr>
                <w:rFonts w:hint="eastAsia" w:ascii="宋体" w:hAnsi="宋体" w:cs="宋体"/>
              </w:rPr>
              <w:t>）。</w:t>
            </w:r>
          </w:p>
        </w:tc>
      </w:tr>
      <w:tr w14:paraId="2FBF5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28BFA6A9">
            <w:pPr>
              <w:jc w:val="left"/>
              <w:rPr>
                <w:rFonts w:ascii="宋体" w:hAnsi="宋体" w:cs="宋体"/>
              </w:rPr>
            </w:pPr>
            <w:r>
              <w:rPr>
                <w:rFonts w:hint="eastAsia" w:ascii="宋体" w:hAnsi="宋体" w:cs="宋体"/>
              </w:rPr>
              <w:t>2.在初始确认时属于集中管理的</w:t>
            </w:r>
            <w:r>
              <w:rPr>
                <w:rFonts w:hint="eastAsia" w:ascii="宋体" w:hAnsi="宋体" w:cs="宋体"/>
                <w:color w:val="FF0000"/>
              </w:rPr>
              <w:t>可辨认金融工具组合的一部分，且</w:t>
            </w:r>
            <w:r>
              <w:rPr>
                <w:rFonts w:hint="eastAsia" w:ascii="宋体" w:hAnsi="宋体" w:cs="宋体"/>
              </w:rPr>
              <w:t>有客观证据表明近期实际存在</w:t>
            </w:r>
            <w:r>
              <w:rPr>
                <w:rFonts w:hint="eastAsia" w:ascii="宋体" w:hAnsi="宋体" w:cs="宋体"/>
                <w:color w:val="FF0000"/>
              </w:rPr>
              <w:t>短期获利模式</w:t>
            </w:r>
          </w:p>
        </w:tc>
        <w:tc>
          <w:tcPr>
            <w:tcW w:w="2500" w:type="pct"/>
            <w:vMerge w:val="continue"/>
          </w:tcPr>
          <w:p w14:paraId="5B3E52DD">
            <w:pPr>
              <w:jc w:val="left"/>
              <w:rPr>
                <w:rFonts w:ascii="宋体" w:hAnsi="宋体" w:cs="宋体"/>
              </w:rPr>
            </w:pPr>
          </w:p>
        </w:tc>
      </w:tr>
      <w:tr w14:paraId="2EA0C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1E8B4D4B">
            <w:pPr>
              <w:jc w:val="left"/>
              <w:rPr>
                <w:rFonts w:ascii="宋体" w:hAnsi="宋体" w:cs="宋体"/>
              </w:rPr>
            </w:pPr>
            <w:r>
              <w:rPr>
                <w:rFonts w:hint="eastAsia" w:ascii="宋体" w:hAnsi="宋体" w:cs="宋体"/>
              </w:rPr>
              <w:t>3.属于</w:t>
            </w:r>
            <w:r>
              <w:rPr>
                <w:rFonts w:hint="eastAsia" w:ascii="宋体" w:hAnsi="宋体" w:cs="宋体"/>
                <w:color w:val="FF0000"/>
              </w:rPr>
              <w:t>衍生工具</w:t>
            </w:r>
          </w:p>
        </w:tc>
        <w:tc>
          <w:tcPr>
            <w:tcW w:w="2500" w:type="pct"/>
          </w:tcPr>
          <w:p w14:paraId="322AAD7F">
            <w:pPr>
              <w:jc w:val="left"/>
              <w:rPr>
                <w:rFonts w:ascii="宋体" w:hAnsi="宋体" w:cs="宋体"/>
              </w:rPr>
            </w:pPr>
            <w:r>
              <w:rPr>
                <w:rFonts w:hint="eastAsia" w:ascii="宋体" w:hAnsi="宋体" w:cs="宋体"/>
              </w:rPr>
              <w:t>该指定一经做出，不得撤销。</w:t>
            </w:r>
          </w:p>
        </w:tc>
      </w:tr>
    </w:tbl>
    <w:p w14:paraId="7530EDD2">
      <w:pPr>
        <w:jc w:val="left"/>
        <w:rPr>
          <w:rFonts w:ascii="宋体" w:hAnsi="宋体" w:cs="宋体"/>
        </w:rPr>
      </w:pPr>
      <w:r>
        <w:rPr>
          <w:rFonts w:hint="eastAsia" w:ascii="宋体" w:hAnsi="宋体" w:cs="宋体"/>
        </w:rPr>
        <w:t>【考点】★★不同类金融资产之间的重分类</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39"/>
        <w:gridCol w:w="7099"/>
      </w:tblGrid>
      <w:tr w14:paraId="288B0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pct"/>
          </w:tcPr>
          <w:p w14:paraId="6D914A62">
            <w:pPr>
              <w:jc w:val="left"/>
              <w:rPr>
                <w:rFonts w:ascii="宋体" w:hAnsi="宋体" w:cs="宋体"/>
              </w:rPr>
            </w:pPr>
            <w:r>
              <w:rPr>
                <w:rFonts w:hint="eastAsia" w:ascii="宋体" w:hAnsi="宋体" w:cs="宋体"/>
              </w:rPr>
              <w:t>1.方法</w:t>
            </w:r>
          </w:p>
        </w:tc>
        <w:tc>
          <w:tcPr>
            <w:tcW w:w="3501" w:type="pct"/>
          </w:tcPr>
          <w:p w14:paraId="70245A66">
            <w:pPr>
              <w:jc w:val="left"/>
              <w:rPr>
                <w:rFonts w:ascii="宋体" w:hAnsi="宋体" w:cs="宋体"/>
              </w:rPr>
            </w:pPr>
            <w:r>
              <w:rPr>
                <w:rFonts w:hint="eastAsia" w:ascii="宋体" w:hAnsi="宋体" w:cs="宋体"/>
              </w:rPr>
              <w:t>对金融资产重分类，应当自重分类日起采用</w:t>
            </w:r>
            <w:r>
              <w:rPr>
                <w:rFonts w:hint="eastAsia" w:ascii="宋体" w:hAnsi="宋体" w:cs="宋体"/>
                <w:color w:val="FF0000"/>
              </w:rPr>
              <w:t>未来适用法</w:t>
            </w:r>
            <w:r>
              <w:rPr>
                <w:rFonts w:hint="eastAsia" w:ascii="宋体" w:hAnsi="宋体" w:cs="宋体"/>
              </w:rPr>
              <w:t>进行相关会计处理。</w:t>
            </w:r>
          </w:p>
        </w:tc>
      </w:tr>
      <w:tr w14:paraId="14C85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pct"/>
          </w:tcPr>
          <w:p w14:paraId="7EE6FCD8">
            <w:pPr>
              <w:jc w:val="left"/>
              <w:rPr>
                <w:rFonts w:ascii="宋体" w:hAnsi="宋体" w:cs="宋体"/>
              </w:rPr>
            </w:pPr>
            <w:r>
              <w:rPr>
                <w:rFonts w:hint="eastAsia" w:ascii="宋体" w:hAnsi="宋体" w:cs="宋体"/>
                <w:color w:val="FF0000"/>
              </w:rPr>
              <w:t xml:space="preserve">2.重分类日 </w:t>
            </w:r>
          </w:p>
        </w:tc>
        <w:tc>
          <w:tcPr>
            <w:tcW w:w="3501" w:type="pct"/>
          </w:tcPr>
          <w:p w14:paraId="7BB986E1">
            <w:pPr>
              <w:jc w:val="left"/>
              <w:rPr>
                <w:rFonts w:ascii="宋体" w:hAnsi="宋体" w:cs="宋体"/>
              </w:rPr>
            </w:pPr>
            <w:r>
              <w:rPr>
                <w:rFonts w:hint="eastAsia" w:ascii="宋体" w:hAnsi="宋体" w:cs="宋体"/>
                <w:color w:val="FF0000"/>
              </w:rPr>
              <w:t>重分类日</w:t>
            </w:r>
            <w:r>
              <w:rPr>
                <w:rFonts w:hint="eastAsia" w:ascii="宋体" w:hAnsi="宋体" w:cs="宋体"/>
              </w:rPr>
              <w:t>，变更后的首个报告期间的第一天</w:t>
            </w:r>
            <w:r>
              <w:rPr>
                <w:rFonts w:hint="eastAsia" w:ascii="宋体" w:hAnsi="宋体" w:cs="宋体"/>
                <w:color w:val="FF0000"/>
              </w:rPr>
              <w:t>（下季度初第一天）。</w:t>
            </w:r>
          </w:p>
        </w:tc>
      </w:tr>
      <w:tr w14:paraId="4B01F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pct"/>
            <w:vMerge w:val="restart"/>
          </w:tcPr>
          <w:p w14:paraId="23C60F5C">
            <w:pPr>
              <w:jc w:val="left"/>
              <w:rPr>
                <w:rFonts w:ascii="宋体" w:hAnsi="宋体" w:cs="宋体"/>
              </w:rPr>
            </w:pPr>
            <w:r>
              <w:rPr>
                <w:rFonts w:hint="eastAsia" w:ascii="宋体" w:hAnsi="宋体" w:cs="宋体"/>
              </w:rPr>
              <w:t>3.不属于业务模式变更</w:t>
            </w:r>
          </w:p>
        </w:tc>
        <w:tc>
          <w:tcPr>
            <w:tcW w:w="3501" w:type="pct"/>
          </w:tcPr>
          <w:p w14:paraId="06ADE52A">
            <w:pPr>
              <w:jc w:val="left"/>
              <w:rPr>
                <w:rFonts w:ascii="宋体" w:hAnsi="宋体" w:cs="宋体"/>
              </w:rPr>
            </w:pPr>
            <w:r>
              <w:rPr>
                <w:rFonts w:hint="eastAsia" w:ascii="宋体" w:hAnsi="宋体" w:cs="宋体"/>
              </w:rPr>
              <w:t>（1）持有金融资产的意图改变</w:t>
            </w:r>
          </w:p>
        </w:tc>
      </w:tr>
      <w:tr w14:paraId="16AF7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pct"/>
            <w:vMerge w:val="continue"/>
          </w:tcPr>
          <w:p w14:paraId="31963C80">
            <w:pPr>
              <w:jc w:val="left"/>
              <w:rPr>
                <w:rFonts w:ascii="宋体" w:hAnsi="宋体" w:cs="宋体"/>
              </w:rPr>
            </w:pPr>
          </w:p>
        </w:tc>
        <w:tc>
          <w:tcPr>
            <w:tcW w:w="3501" w:type="pct"/>
          </w:tcPr>
          <w:p w14:paraId="7F075E0E">
            <w:pPr>
              <w:jc w:val="left"/>
              <w:rPr>
                <w:rFonts w:ascii="宋体" w:hAnsi="宋体" w:cs="宋体"/>
              </w:rPr>
            </w:pPr>
            <w:r>
              <w:rPr>
                <w:rFonts w:hint="eastAsia" w:ascii="宋体" w:hAnsi="宋体" w:cs="宋体"/>
                <w:color w:val="FF0000"/>
              </w:rPr>
              <w:t>（2）市场消失</w:t>
            </w:r>
            <w:r>
              <w:rPr>
                <w:rFonts w:hint="eastAsia" w:ascii="宋体" w:hAnsi="宋体" w:cs="宋体"/>
              </w:rPr>
              <w:t>影响金融资产出售</w:t>
            </w:r>
          </w:p>
        </w:tc>
      </w:tr>
      <w:tr w14:paraId="4DEF1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pct"/>
            <w:vMerge w:val="continue"/>
          </w:tcPr>
          <w:p w14:paraId="356AFF91">
            <w:pPr>
              <w:jc w:val="left"/>
              <w:rPr>
                <w:rFonts w:ascii="宋体" w:hAnsi="宋体" w:cs="宋体"/>
              </w:rPr>
            </w:pPr>
          </w:p>
        </w:tc>
        <w:tc>
          <w:tcPr>
            <w:tcW w:w="3501" w:type="pct"/>
          </w:tcPr>
          <w:p w14:paraId="32BAB2A6">
            <w:pPr>
              <w:jc w:val="left"/>
              <w:rPr>
                <w:rFonts w:ascii="宋体" w:hAnsi="宋体" w:cs="宋体"/>
              </w:rPr>
            </w:pPr>
            <w:r>
              <w:rPr>
                <w:rFonts w:hint="eastAsia" w:ascii="宋体" w:hAnsi="宋体" w:cs="宋体"/>
                <w:color w:val="FF0000"/>
              </w:rPr>
              <w:t>（3）金融资产的转移</w:t>
            </w:r>
          </w:p>
        </w:tc>
      </w:tr>
      <w:tr w14:paraId="409CA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pct"/>
          </w:tcPr>
          <w:p w14:paraId="04B36F49">
            <w:pPr>
              <w:jc w:val="left"/>
              <w:rPr>
                <w:rFonts w:ascii="宋体" w:hAnsi="宋体" w:cs="宋体"/>
              </w:rPr>
            </w:pPr>
            <w:r>
              <w:rPr>
                <w:rFonts w:hint="eastAsia" w:ascii="宋体" w:hAnsi="宋体" w:cs="宋体"/>
                <w:color w:val="FF0000"/>
              </w:rPr>
              <w:t>4.不允许重分类</w:t>
            </w:r>
          </w:p>
        </w:tc>
        <w:tc>
          <w:tcPr>
            <w:tcW w:w="3501" w:type="pct"/>
          </w:tcPr>
          <w:p w14:paraId="4949C655">
            <w:pPr>
              <w:jc w:val="left"/>
              <w:rPr>
                <w:rFonts w:ascii="宋体" w:hAnsi="宋体" w:cs="宋体"/>
              </w:rPr>
            </w:pPr>
            <w:r>
              <w:rPr>
                <w:rFonts w:hint="eastAsia" w:ascii="宋体" w:hAnsi="宋体" w:cs="宋体"/>
                <w:color w:val="FF0000"/>
              </w:rPr>
              <w:t>如果企业管理金融资产的业务模式没有发生变更</w:t>
            </w:r>
            <w:r>
              <w:rPr>
                <w:rFonts w:hint="eastAsia" w:ascii="宋体" w:hAnsi="宋体" w:cs="宋体"/>
              </w:rPr>
              <w:t>，而金融资产的条款发生变更但未导致终止确认的。</w:t>
            </w:r>
          </w:p>
        </w:tc>
      </w:tr>
    </w:tbl>
    <w:p w14:paraId="08C09B46">
      <w:pPr>
        <w:jc w:val="left"/>
        <w:rPr>
          <w:rFonts w:ascii="宋体" w:hAnsi="宋体" w:cs="宋体"/>
        </w:rPr>
      </w:pPr>
      <w:r>
        <w:rPr>
          <w:rFonts w:hint="eastAsia" w:ascii="宋体" w:hAnsi="宋体" w:cs="宋体"/>
        </w:rPr>
        <w:t>【考点】★★摊余成本</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38"/>
      </w:tblGrid>
      <w:tr w14:paraId="07B6C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7615ECC0">
            <w:pPr>
              <w:jc w:val="left"/>
              <w:rPr>
                <w:rFonts w:ascii="宋体" w:hAnsi="宋体" w:cs="宋体"/>
                <w:color w:val="FF0000"/>
              </w:rPr>
            </w:pPr>
            <w:r>
              <w:rPr>
                <w:rFonts w:hint="eastAsia" w:ascii="宋体" w:hAnsi="宋体" w:cs="宋体"/>
                <w:color w:val="FF0000"/>
              </w:rPr>
              <w:t>摊余成本（账面价值、现金流）</w:t>
            </w:r>
          </w:p>
        </w:tc>
      </w:tr>
      <w:tr w14:paraId="421B7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59164765">
            <w:pPr>
              <w:jc w:val="left"/>
              <w:rPr>
                <w:rFonts w:ascii="宋体" w:hAnsi="宋体" w:cs="宋体"/>
                <w:color w:val="FF0000"/>
              </w:rPr>
            </w:pPr>
            <w:r>
              <w:rPr>
                <w:rFonts w:hint="eastAsia" w:ascii="宋体" w:hAnsi="宋体" w:cs="宋体"/>
                <w:color w:val="FF0000"/>
              </w:rPr>
              <w:t>初始确认金额经下列调整后的结果确定：</w:t>
            </w:r>
          </w:p>
        </w:tc>
      </w:tr>
      <w:tr w14:paraId="78B14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08679F69">
            <w:pPr>
              <w:jc w:val="left"/>
              <w:rPr>
                <w:rFonts w:ascii="宋体" w:hAnsi="宋体" w:cs="宋体"/>
              </w:rPr>
            </w:pPr>
            <w:r>
              <w:rPr>
                <w:rFonts w:hint="eastAsia" w:ascii="宋体" w:hAnsi="宋体" w:cs="宋体"/>
              </w:rPr>
              <w:t>（1）扣除已偿还的本金</w:t>
            </w:r>
          </w:p>
        </w:tc>
      </w:tr>
      <w:tr w14:paraId="34A01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225BCC6A">
            <w:pPr>
              <w:jc w:val="left"/>
              <w:rPr>
                <w:rFonts w:ascii="宋体" w:hAnsi="宋体" w:cs="宋体"/>
              </w:rPr>
            </w:pPr>
            <w:r>
              <w:rPr>
                <w:rFonts w:hint="eastAsia" w:ascii="宋体" w:hAnsi="宋体" w:cs="宋体"/>
              </w:rPr>
              <w:t>（2）加上或减去采用实际利率法将该初始确认金额与到期日金额之间的差额进行摊销形成的累计摊销额。</w:t>
            </w:r>
          </w:p>
        </w:tc>
      </w:tr>
      <w:tr w14:paraId="32474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24368835">
            <w:pPr>
              <w:jc w:val="left"/>
              <w:rPr>
                <w:rFonts w:ascii="宋体" w:hAnsi="宋体" w:cs="宋体"/>
              </w:rPr>
            </w:pPr>
            <w:r>
              <w:rPr>
                <w:rFonts w:hint="eastAsia" w:ascii="宋体" w:hAnsi="宋体" w:cs="宋体"/>
              </w:rPr>
              <w:t>（3）扣除计提的累计</w:t>
            </w:r>
            <w:r>
              <w:rPr>
                <w:rFonts w:hint="eastAsia" w:ascii="宋体" w:hAnsi="宋体" w:cs="宋体"/>
                <w:color w:val="FF0000"/>
              </w:rPr>
              <w:t>信用减值准备</w:t>
            </w:r>
            <w:r>
              <w:rPr>
                <w:rFonts w:hint="eastAsia" w:ascii="宋体" w:hAnsi="宋体" w:cs="宋体"/>
              </w:rPr>
              <w:t>（仅适用于金融资产）。</w:t>
            </w:r>
          </w:p>
        </w:tc>
      </w:tr>
    </w:tbl>
    <w:p w14:paraId="77C6D6EE">
      <w:pPr>
        <w:jc w:val="left"/>
        <w:rPr>
          <w:rFonts w:ascii="宋体" w:hAnsi="宋体" w:cs="宋体"/>
        </w:rPr>
      </w:pPr>
      <w:r>
        <w:rPr>
          <w:rFonts w:hint="eastAsia" w:ascii="宋体" w:hAnsi="宋体" w:cs="宋体"/>
        </w:rPr>
        <w:t>【考点】★★★金融资产的账务处理</w:t>
      </w:r>
    </w:p>
    <w:tbl>
      <w:tblPr>
        <w:tblStyle w:val="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32"/>
        <w:gridCol w:w="2532"/>
        <w:gridCol w:w="2537"/>
        <w:gridCol w:w="2535"/>
      </w:tblGrid>
      <w:tr w14:paraId="4EB07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vMerge w:val="restart"/>
          </w:tcPr>
          <w:p w14:paraId="5E582F24">
            <w:pPr>
              <w:jc w:val="left"/>
              <w:rPr>
                <w:rFonts w:ascii="宋体" w:hAnsi="宋体" w:cs="宋体"/>
                <w:color w:val="FF0000"/>
              </w:rPr>
            </w:pPr>
            <w:r>
              <w:rPr>
                <w:rFonts w:hint="eastAsia" w:ascii="宋体" w:hAnsi="宋体" w:cs="宋体"/>
                <w:color w:val="FF0000"/>
              </w:rPr>
              <w:t>第1类 以摊余成本计量的金融资产</w:t>
            </w:r>
          </w:p>
        </w:tc>
        <w:tc>
          <w:tcPr>
            <w:tcW w:w="2500" w:type="pct"/>
            <w:gridSpan w:val="2"/>
          </w:tcPr>
          <w:p w14:paraId="134282F9">
            <w:pPr>
              <w:jc w:val="left"/>
              <w:rPr>
                <w:rFonts w:ascii="宋体" w:hAnsi="宋体" w:cs="宋体"/>
                <w:color w:val="FF0000"/>
              </w:rPr>
            </w:pPr>
            <w:r>
              <w:rPr>
                <w:rFonts w:hint="eastAsia" w:ascii="宋体" w:hAnsi="宋体" w:cs="宋体"/>
                <w:color w:val="FF0000"/>
              </w:rPr>
              <w:t>第2类 以公允价值计量且其变动计入其他综合收益的金融资产</w:t>
            </w:r>
          </w:p>
        </w:tc>
        <w:tc>
          <w:tcPr>
            <w:tcW w:w="1250" w:type="pct"/>
            <w:vMerge w:val="restart"/>
          </w:tcPr>
          <w:p w14:paraId="0D5EF91B">
            <w:pPr>
              <w:jc w:val="left"/>
              <w:rPr>
                <w:rFonts w:ascii="宋体" w:hAnsi="宋体" w:cs="宋体"/>
                <w:color w:val="FF0000"/>
              </w:rPr>
            </w:pPr>
            <w:r>
              <w:rPr>
                <w:rFonts w:hint="eastAsia" w:ascii="宋体" w:hAnsi="宋体" w:cs="宋体"/>
                <w:color w:val="FF0000"/>
              </w:rPr>
              <w:t>第3类 以公允价值计量且其变动计入当期损益的金融资产（交易性金融资产：债、股）</w:t>
            </w:r>
          </w:p>
        </w:tc>
      </w:tr>
      <w:tr w14:paraId="666A7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vMerge w:val="continue"/>
          </w:tcPr>
          <w:p w14:paraId="62110D25">
            <w:pPr>
              <w:jc w:val="left"/>
              <w:rPr>
                <w:rFonts w:ascii="宋体" w:hAnsi="宋体" w:cs="宋体"/>
              </w:rPr>
            </w:pPr>
          </w:p>
        </w:tc>
        <w:tc>
          <w:tcPr>
            <w:tcW w:w="1249" w:type="pct"/>
          </w:tcPr>
          <w:p w14:paraId="2046A2B0">
            <w:pPr>
              <w:jc w:val="left"/>
              <w:rPr>
                <w:rFonts w:ascii="宋体" w:hAnsi="宋体" w:cs="宋体"/>
                <w:color w:val="FF0000"/>
              </w:rPr>
            </w:pPr>
            <w:r>
              <w:rPr>
                <w:rFonts w:hint="eastAsia" w:ascii="宋体" w:hAnsi="宋体" w:cs="宋体"/>
                <w:color w:val="FF0000"/>
              </w:rPr>
              <w:t>2－1 其他债权投资（债）</w:t>
            </w:r>
          </w:p>
        </w:tc>
        <w:tc>
          <w:tcPr>
            <w:tcW w:w="1250" w:type="pct"/>
          </w:tcPr>
          <w:p w14:paraId="3C21AE19">
            <w:pPr>
              <w:jc w:val="left"/>
              <w:rPr>
                <w:rFonts w:ascii="宋体" w:hAnsi="宋体" w:cs="宋体"/>
                <w:color w:val="FF0000"/>
              </w:rPr>
            </w:pPr>
            <w:r>
              <w:rPr>
                <w:rFonts w:hint="eastAsia" w:ascii="宋体" w:hAnsi="宋体" w:cs="宋体"/>
                <w:color w:val="FF0000"/>
              </w:rPr>
              <w:t>指定为2－2 其他权益工具投资（股）；不能重分类</w:t>
            </w:r>
          </w:p>
        </w:tc>
        <w:tc>
          <w:tcPr>
            <w:tcW w:w="1250" w:type="pct"/>
            <w:vMerge w:val="continue"/>
          </w:tcPr>
          <w:p w14:paraId="3A088B17">
            <w:pPr>
              <w:jc w:val="left"/>
              <w:rPr>
                <w:rFonts w:ascii="宋体" w:hAnsi="宋体" w:cs="宋体"/>
              </w:rPr>
            </w:pPr>
          </w:p>
        </w:tc>
      </w:tr>
    </w:tbl>
    <w:p w14:paraId="1FCD4DF2">
      <w:pPr>
        <w:overflowPunct w:val="0"/>
        <w:jc w:val="left"/>
        <w:rPr>
          <w:rFonts w:hint="eastAsia" w:ascii="宋体" w:hAnsi="宋体" w:cs="宋体"/>
        </w:rPr>
      </w:pPr>
    </w:p>
    <w:tbl>
      <w:tblPr>
        <w:tblStyle w:val="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5"/>
        <w:gridCol w:w="2025"/>
        <w:gridCol w:w="2026"/>
        <w:gridCol w:w="2030"/>
        <w:gridCol w:w="2030"/>
      </w:tblGrid>
      <w:tr w14:paraId="708C7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tcPr>
          <w:p w14:paraId="78ED47D9">
            <w:pPr>
              <w:jc w:val="left"/>
              <w:rPr>
                <w:rFonts w:ascii="宋体" w:hAnsi="宋体" w:cs="宋体"/>
              </w:rPr>
            </w:pPr>
            <w:r>
              <w:rPr>
                <w:rFonts w:hint="eastAsia" w:ascii="宋体" w:hAnsi="宋体" w:cs="宋体"/>
              </w:rPr>
              <w:t>1.初始计量</w:t>
            </w:r>
          </w:p>
          <w:p w14:paraId="0A078E79">
            <w:pPr>
              <w:jc w:val="left"/>
              <w:rPr>
                <w:rFonts w:ascii="宋体" w:hAnsi="宋体" w:cs="宋体"/>
              </w:rPr>
            </w:pPr>
            <w:r>
              <w:rPr>
                <w:rFonts w:hint="eastAsia" w:ascii="宋体" w:hAnsi="宋体" w:cs="宋体"/>
              </w:rPr>
              <w:t> </w:t>
            </w:r>
          </w:p>
          <w:p w14:paraId="585A6027">
            <w:pPr>
              <w:jc w:val="left"/>
              <w:rPr>
                <w:rFonts w:ascii="宋体" w:hAnsi="宋体" w:cs="宋体"/>
              </w:rPr>
            </w:pPr>
            <w:r>
              <w:rPr>
                <w:rFonts w:hint="eastAsia" w:ascii="宋体" w:hAnsi="宋体" w:cs="宋体"/>
              </w:rPr>
              <w:t> </w:t>
            </w:r>
          </w:p>
        </w:tc>
        <w:tc>
          <w:tcPr>
            <w:tcW w:w="999" w:type="pct"/>
          </w:tcPr>
          <w:p w14:paraId="046F2696">
            <w:pPr>
              <w:jc w:val="left"/>
              <w:rPr>
                <w:rFonts w:ascii="宋体" w:hAnsi="宋体" w:cs="宋体"/>
              </w:rPr>
            </w:pPr>
            <w:r>
              <w:rPr>
                <w:rFonts w:hint="eastAsia" w:ascii="宋体" w:hAnsi="宋体" w:cs="宋体"/>
              </w:rPr>
              <w:t>借：债权投资——成本（面值）</w:t>
            </w:r>
          </w:p>
          <w:p w14:paraId="2BBAB017">
            <w:pPr>
              <w:jc w:val="left"/>
              <w:rPr>
                <w:rFonts w:ascii="宋体" w:hAnsi="宋体" w:cs="宋体"/>
              </w:rPr>
            </w:pPr>
            <w:r>
              <w:rPr>
                <w:rFonts w:hint="eastAsia" w:ascii="宋体" w:hAnsi="宋体" w:cs="宋体"/>
              </w:rPr>
              <w:t>　　应收利息（已到付息期未领取的利息）</w:t>
            </w:r>
          </w:p>
          <w:p w14:paraId="4E8B37C9">
            <w:pPr>
              <w:jc w:val="left"/>
              <w:rPr>
                <w:rFonts w:ascii="宋体" w:hAnsi="宋体" w:cs="宋体"/>
              </w:rPr>
            </w:pPr>
            <w:r>
              <w:rPr>
                <w:rFonts w:hint="eastAsia" w:ascii="宋体" w:hAnsi="宋体" w:cs="宋体"/>
              </w:rPr>
              <w:t>　贷：银行存款</w:t>
            </w:r>
          </w:p>
          <w:p w14:paraId="36469754">
            <w:pPr>
              <w:jc w:val="left"/>
              <w:rPr>
                <w:rFonts w:ascii="宋体" w:hAnsi="宋体" w:cs="宋体"/>
              </w:rPr>
            </w:pPr>
            <w:r>
              <w:rPr>
                <w:rFonts w:hint="eastAsia" w:ascii="宋体" w:hAnsi="宋体" w:cs="宋体"/>
              </w:rPr>
              <w:t>　债权投资—利息调整（金额倒挤，或在借方）</w:t>
            </w:r>
          </w:p>
        </w:tc>
        <w:tc>
          <w:tcPr>
            <w:tcW w:w="999" w:type="pct"/>
          </w:tcPr>
          <w:p w14:paraId="39044A7A">
            <w:pPr>
              <w:jc w:val="left"/>
              <w:rPr>
                <w:rFonts w:ascii="宋体" w:hAnsi="宋体" w:cs="宋体"/>
              </w:rPr>
            </w:pPr>
            <w:r>
              <w:rPr>
                <w:rFonts w:hint="eastAsia" w:ascii="宋体" w:hAnsi="宋体" w:cs="宋体"/>
              </w:rPr>
              <w:t>借：其他债权投资——成本（面值）</w:t>
            </w:r>
          </w:p>
          <w:p w14:paraId="42D9FCAE">
            <w:pPr>
              <w:jc w:val="left"/>
              <w:rPr>
                <w:rFonts w:ascii="宋体" w:hAnsi="宋体" w:cs="宋体"/>
              </w:rPr>
            </w:pPr>
            <w:r>
              <w:rPr>
                <w:rFonts w:hint="eastAsia" w:ascii="宋体" w:hAnsi="宋体" w:cs="宋体"/>
              </w:rPr>
              <w:t>　　应收利息（已到付息期未领取的利息）</w:t>
            </w:r>
          </w:p>
          <w:p w14:paraId="20193263">
            <w:pPr>
              <w:jc w:val="left"/>
              <w:rPr>
                <w:rFonts w:ascii="宋体" w:hAnsi="宋体" w:cs="宋体"/>
              </w:rPr>
            </w:pPr>
            <w:r>
              <w:rPr>
                <w:rFonts w:hint="eastAsia" w:ascii="宋体" w:hAnsi="宋体" w:cs="宋体"/>
              </w:rPr>
              <w:t>　　贷：银行存款</w:t>
            </w:r>
          </w:p>
          <w:p w14:paraId="11B27D41">
            <w:pPr>
              <w:jc w:val="left"/>
              <w:rPr>
                <w:rFonts w:ascii="宋体" w:hAnsi="宋体" w:cs="宋体"/>
              </w:rPr>
            </w:pPr>
            <w:r>
              <w:rPr>
                <w:rFonts w:hint="eastAsia" w:ascii="宋体" w:hAnsi="宋体" w:cs="宋体"/>
              </w:rPr>
              <w:t>　其他债权投资——利息调整（金额倒挤，或在借方）</w:t>
            </w:r>
          </w:p>
        </w:tc>
        <w:tc>
          <w:tcPr>
            <w:tcW w:w="1001" w:type="pct"/>
          </w:tcPr>
          <w:p w14:paraId="73788936">
            <w:pPr>
              <w:jc w:val="left"/>
              <w:rPr>
                <w:rFonts w:ascii="宋体" w:hAnsi="宋体" w:cs="宋体"/>
              </w:rPr>
            </w:pPr>
            <w:r>
              <w:rPr>
                <w:rFonts w:hint="eastAsia" w:ascii="宋体" w:hAnsi="宋体" w:cs="宋体"/>
              </w:rPr>
              <w:t>借：其他权益工具投资——成本</w:t>
            </w:r>
          </w:p>
          <w:p w14:paraId="606F22AD">
            <w:pPr>
              <w:jc w:val="left"/>
              <w:rPr>
                <w:rFonts w:ascii="宋体" w:hAnsi="宋体" w:cs="宋体"/>
              </w:rPr>
            </w:pPr>
            <w:r>
              <w:rPr>
                <w:rFonts w:hint="eastAsia" w:ascii="宋体" w:hAnsi="宋体" w:cs="宋体"/>
              </w:rPr>
              <w:t>　　应收股利（已宣告未发放的现金股利）</w:t>
            </w:r>
          </w:p>
          <w:p w14:paraId="7DC923D3">
            <w:pPr>
              <w:jc w:val="left"/>
              <w:rPr>
                <w:rFonts w:ascii="宋体" w:hAnsi="宋体" w:cs="宋体"/>
              </w:rPr>
            </w:pPr>
            <w:r>
              <w:rPr>
                <w:rFonts w:hint="eastAsia" w:ascii="宋体" w:hAnsi="宋体" w:cs="宋体"/>
              </w:rPr>
              <w:t>　　贷：银行存款</w:t>
            </w:r>
          </w:p>
        </w:tc>
        <w:tc>
          <w:tcPr>
            <w:tcW w:w="1001" w:type="pct"/>
          </w:tcPr>
          <w:p w14:paraId="14BD9F13">
            <w:pPr>
              <w:jc w:val="left"/>
              <w:rPr>
                <w:rFonts w:ascii="宋体" w:hAnsi="宋体" w:cs="宋体"/>
              </w:rPr>
            </w:pPr>
            <w:r>
              <w:rPr>
                <w:rFonts w:hint="eastAsia" w:ascii="宋体" w:hAnsi="宋体" w:cs="宋体"/>
              </w:rPr>
              <w:t>借：交易性金融资产——成本</w:t>
            </w:r>
          </w:p>
          <w:p w14:paraId="750E40E7">
            <w:pPr>
              <w:jc w:val="left"/>
              <w:rPr>
                <w:rFonts w:ascii="宋体" w:hAnsi="宋体" w:cs="宋体"/>
              </w:rPr>
            </w:pPr>
            <w:r>
              <w:rPr>
                <w:rFonts w:hint="eastAsia" w:ascii="宋体" w:hAnsi="宋体" w:cs="宋体"/>
              </w:rPr>
              <w:t>　　应收股利（已宣告未发放的现金股利）</w:t>
            </w:r>
          </w:p>
          <w:p w14:paraId="19BAAF94">
            <w:pPr>
              <w:jc w:val="left"/>
              <w:rPr>
                <w:rFonts w:ascii="宋体" w:hAnsi="宋体" w:cs="宋体"/>
              </w:rPr>
            </w:pPr>
            <w:r>
              <w:rPr>
                <w:rFonts w:hint="eastAsia" w:ascii="宋体" w:hAnsi="宋体" w:cs="宋体"/>
              </w:rPr>
              <w:t>　　应收利息（已到付息期尚未领取的债券利息）</w:t>
            </w:r>
          </w:p>
          <w:p w14:paraId="40216880">
            <w:pPr>
              <w:jc w:val="left"/>
              <w:rPr>
                <w:rFonts w:ascii="宋体" w:hAnsi="宋体" w:cs="宋体"/>
              </w:rPr>
            </w:pPr>
            <w:r>
              <w:rPr>
                <w:rFonts w:hint="eastAsia" w:ascii="宋体" w:hAnsi="宋体" w:cs="宋体"/>
              </w:rPr>
              <w:t>　　★投资收益（交易费用）</w:t>
            </w:r>
          </w:p>
          <w:p w14:paraId="13A58A84">
            <w:pPr>
              <w:jc w:val="left"/>
              <w:rPr>
                <w:rFonts w:ascii="宋体" w:hAnsi="宋体" w:cs="宋体"/>
              </w:rPr>
            </w:pPr>
            <w:r>
              <w:rPr>
                <w:rFonts w:hint="eastAsia" w:ascii="宋体" w:hAnsi="宋体" w:cs="宋体"/>
              </w:rPr>
              <w:t>　　贷：银行存款</w:t>
            </w:r>
          </w:p>
        </w:tc>
      </w:tr>
      <w:tr w14:paraId="4F54E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tcPr>
          <w:p w14:paraId="7A167BC0">
            <w:pPr>
              <w:jc w:val="left"/>
              <w:rPr>
                <w:rFonts w:ascii="宋体" w:hAnsi="宋体" w:cs="宋体"/>
              </w:rPr>
            </w:pPr>
            <w:r>
              <w:rPr>
                <w:rFonts w:hint="eastAsia" w:ascii="宋体" w:hAnsi="宋体" w:cs="宋体"/>
              </w:rPr>
              <w:t> </w:t>
            </w:r>
          </w:p>
          <w:p w14:paraId="295BB170">
            <w:pPr>
              <w:jc w:val="left"/>
              <w:rPr>
                <w:rFonts w:ascii="宋体" w:hAnsi="宋体" w:cs="宋体"/>
              </w:rPr>
            </w:pPr>
            <w:r>
              <w:rPr>
                <w:rFonts w:hint="eastAsia" w:ascii="宋体" w:hAnsi="宋体" w:cs="宋体"/>
              </w:rPr>
              <w:t>2.</w:t>
            </w:r>
          </w:p>
          <w:p w14:paraId="1F2DBD33">
            <w:pPr>
              <w:jc w:val="left"/>
              <w:rPr>
                <w:rFonts w:ascii="宋体" w:hAnsi="宋体" w:cs="宋体"/>
              </w:rPr>
            </w:pPr>
            <w:r>
              <w:rPr>
                <w:rFonts w:hint="eastAsia" w:ascii="宋体" w:hAnsi="宋体" w:cs="宋体"/>
              </w:rPr>
              <w:t>利息（股利）</w:t>
            </w:r>
          </w:p>
          <w:p w14:paraId="07257D4A">
            <w:pPr>
              <w:jc w:val="left"/>
              <w:rPr>
                <w:rFonts w:ascii="宋体" w:hAnsi="宋体" w:cs="宋体"/>
              </w:rPr>
            </w:pPr>
            <w:r>
              <w:rPr>
                <w:rFonts w:hint="eastAsia" w:ascii="宋体" w:hAnsi="宋体" w:cs="宋体"/>
              </w:rPr>
              <w:t>收入</w:t>
            </w:r>
          </w:p>
        </w:tc>
        <w:tc>
          <w:tcPr>
            <w:tcW w:w="999" w:type="pct"/>
          </w:tcPr>
          <w:p w14:paraId="0B0015AD">
            <w:pPr>
              <w:jc w:val="left"/>
              <w:rPr>
                <w:rFonts w:ascii="宋体" w:hAnsi="宋体" w:cs="宋体"/>
              </w:rPr>
            </w:pPr>
            <w:r>
              <w:rPr>
                <w:rFonts w:hint="eastAsia" w:ascii="宋体" w:hAnsi="宋体" w:cs="宋体"/>
              </w:rPr>
              <w:t>借：债权投资——应计利息（面值×票面利率）</w:t>
            </w:r>
          </w:p>
          <w:p w14:paraId="7D34DB50">
            <w:pPr>
              <w:jc w:val="left"/>
              <w:rPr>
                <w:rFonts w:ascii="宋体" w:hAnsi="宋体" w:cs="宋体"/>
              </w:rPr>
            </w:pPr>
            <w:r>
              <w:rPr>
                <w:rFonts w:hint="eastAsia" w:ascii="宋体" w:hAnsi="宋体" w:cs="宋体"/>
              </w:rPr>
              <w:t>　　债权投资——利息调整（或在贷方）</w:t>
            </w:r>
          </w:p>
          <w:p w14:paraId="7120BFB8">
            <w:pPr>
              <w:jc w:val="left"/>
              <w:rPr>
                <w:rFonts w:ascii="宋体" w:hAnsi="宋体" w:cs="宋体"/>
              </w:rPr>
            </w:pPr>
            <w:r>
              <w:rPr>
                <w:rFonts w:hint="eastAsia" w:ascii="宋体" w:hAnsi="宋体" w:cs="宋体"/>
              </w:rPr>
              <w:t>　　贷：投资收益</w:t>
            </w:r>
          </w:p>
          <w:p w14:paraId="0E4461A2">
            <w:pPr>
              <w:jc w:val="left"/>
              <w:rPr>
                <w:rFonts w:ascii="宋体" w:hAnsi="宋体" w:cs="宋体"/>
              </w:rPr>
            </w:pPr>
            <w:r>
              <w:rPr>
                <w:rFonts w:hint="eastAsia" w:ascii="宋体" w:hAnsi="宋体" w:cs="宋体"/>
              </w:rPr>
              <w:t>（摊余成本×实际利率）</w:t>
            </w:r>
          </w:p>
        </w:tc>
        <w:tc>
          <w:tcPr>
            <w:tcW w:w="999" w:type="pct"/>
          </w:tcPr>
          <w:p w14:paraId="53FFB02C">
            <w:pPr>
              <w:jc w:val="left"/>
              <w:rPr>
                <w:rFonts w:ascii="宋体" w:hAnsi="宋体" w:cs="宋体"/>
              </w:rPr>
            </w:pPr>
            <w:r>
              <w:rPr>
                <w:rFonts w:hint="eastAsia" w:ascii="宋体" w:hAnsi="宋体" w:cs="宋体"/>
              </w:rPr>
              <w:t>借：其他债权投资——应计利息（面值×票面利率）</w:t>
            </w:r>
          </w:p>
          <w:p w14:paraId="2E8D8304">
            <w:pPr>
              <w:jc w:val="left"/>
              <w:rPr>
                <w:rFonts w:ascii="宋体" w:hAnsi="宋体" w:cs="宋体"/>
              </w:rPr>
            </w:pPr>
            <w:r>
              <w:rPr>
                <w:rFonts w:hint="eastAsia" w:ascii="宋体" w:hAnsi="宋体" w:cs="宋体"/>
              </w:rPr>
              <w:t>　　其他债权投资——利息调整（或在贷方）</w:t>
            </w:r>
          </w:p>
          <w:p w14:paraId="4B51916D">
            <w:pPr>
              <w:jc w:val="left"/>
              <w:rPr>
                <w:rFonts w:ascii="宋体" w:hAnsi="宋体" w:cs="宋体"/>
              </w:rPr>
            </w:pPr>
            <w:r>
              <w:rPr>
                <w:rFonts w:hint="eastAsia" w:ascii="宋体" w:hAnsi="宋体" w:cs="宋体"/>
              </w:rPr>
              <w:t>　　贷：投资收益（期初摊余成本×实际利率）</w:t>
            </w:r>
          </w:p>
        </w:tc>
        <w:tc>
          <w:tcPr>
            <w:tcW w:w="1001" w:type="pct"/>
          </w:tcPr>
          <w:p w14:paraId="313B3E5B">
            <w:pPr>
              <w:jc w:val="left"/>
              <w:rPr>
                <w:rFonts w:ascii="宋体" w:hAnsi="宋体" w:cs="宋体"/>
              </w:rPr>
            </w:pPr>
            <w:r>
              <w:rPr>
                <w:rFonts w:hint="eastAsia" w:ascii="宋体" w:hAnsi="宋体" w:cs="宋体"/>
              </w:rPr>
              <w:t>借：应收股利</w:t>
            </w:r>
          </w:p>
          <w:p w14:paraId="38357D16">
            <w:pPr>
              <w:jc w:val="left"/>
              <w:rPr>
                <w:rFonts w:ascii="宋体" w:hAnsi="宋体" w:cs="宋体"/>
              </w:rPr>
            </w:pPr>
            <w:r>
              <w:rPr>
                <w:rFonts w:hint="eastAsia" w:ascii="宋体" w:hAnsi="宋体" w:cs="宋体"/>
              </w:rPr>
              <w:t>　　贷：投资收益</w:t>
            </w:r>
          </w:p>
        </w:tc>
        <w:tc>
          <w:tcPr>
            <w:tcW w:w="1001" w:type="pct"/>
          </w:tcPr>
          <w:p w14:paraId="761978CF">
            <w:pPr>
              <w:jc w:val="left"/>
              <w:rPr>
                <w:rFonts w:ascii="宋体" w:hAnsi="宋体" w:cs="宋体"/>
              </w:rPr>
            </w:pPr>
            <w:r>
              <w:rPr>
                <w:rFonts w:hint="eastAsia" w:ascii="宋体" w:hAnsi="宋体" w:cs="宋体"/>
              </w:rPr>
              <w:t>借：应收股利</w:t>
            </w:r>
          </w:p>
          <w:p w14:paraId="3CAED178">
            <w:pPr>
              <w:jc w:val="left"/>
              <w:rPr>
                <w:rFonts w:ascii="宋体" w:hAnsi="宋体" w:cs="宋体"/>
              </w:rPr>
            </w:pPr>
            <w:r>
              <w:rPr>
                <w:rFonts w:hint="eastAsia" w:ascii="宋体" w:hAnsi="宋体" w:cs="宋体"/>
              </w:rPr>
              <w:t>　　交易性金融资产——应计利息</w:t>
            </w:r>
          </w:p>
          <w:p w14:paraId="02C2817B">
            <w:pPr>
              <w:jc w:val="left"/>
              <w:rPr>
                <w:rFonts w:ascii="宋体" w:hAnsi="宋体" w:cs="宋体"/>
              </w:rPr>
            </w:pPr>
            <w:r>
              <w:rPr>
                <w:rFonts w:hint="eastAsia" w:ascii="宋体" w:hAnsi="宋体" w:cs="宋体"/>
              </w:rPr>
              <w:t>　　贷：投资收益</w:t>
            </w:r>
          </w:p>
        </w:tc>
      </w:tr>
      <w:tr w14:paraId="7E64C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tcPr>
          <w:p w14:paraId="7E644390">
            <w:pPr>
              <w:jc w:val="left"/>
              <w:rPr>
                <w:rFonts w:ascii="宋体" w:hAnsi="宋体" w:cs="宋体"/>
              </w:rPr>
            </w:pPr>
            <w:r>
              <w:rPr>
                <w:rFonts w:hint="eastAsia" w:ascii="宋体" w:hAnsi="宋体" w:cs="宋体"/>
              </w:rPr>
              <w:t>3.</w:t>
            </w:r>
          </w:p>
          <w:p w14:paraId="09FDD487">
            <w:pPr>
              <w:jc w:val="left"/>
              <w:rPr>
                <w:rFonts w:ascii="宋体" w:hAnsi="宋体" w:cs="宋体"/>
              </w:rPr>
            </w:pPr>
            <w:r>
              <w:rPr>
                <w:rFonts w:hint="eastAsia" w:ascii="宋体" w:hAnsi="宋体" w:cs="宋体"/>
              </w:rPr>
              <w:t>公允</w:t>
            </w:r>
          </w:p>
          <w:p w14:paraId="02DBB1CC">
            <w:pPr>
              <w:jc w:val="left"/>
              <w:rPr>
                <w:rFonts w:ascii="宋体" w:hAnsi="宋体" w:cs="宋体"/>
              </w:rPr>
            </w:pPr>
            <w:r>
              <w:rPr>
                <w:rFonts w:hint="eastAsia" w:ascii="宋体" w:hAnsi="宋体" w:cs="宋体"/>
              </w:rPr>
              <w:t>价值</w:t>
            </w:r>
          </w:p>
          <w:p w14:paraId="5B6A478F">
            <w:pPr>
              <w:jc w:val="left"/>
              <w:rPr>
                <w:rFonts w:ascii="宋体" w:hAnsi="宋体" w:cs="宋体"/>
              </w:rPr>
            </w:pPr>
            <w:r>
              <w:rPr>
                <w:rFonts w:hint="eastAsia" w:ascii="宋体" w:hAnsi="宋体" w:cs="宋体"/>
              </w:rPr>
              <w:t>变动</w:t>
            </w:r>
          </w:p>
          <w:p w14:paraId="6556E34A">
            <w:pPr>
              <w:jc w:val="left"/>
              <w:rPr>
                <w:rFonts w:ascii="宋体" w:hAnsi="宋体" w:cs="宋体"/>
              </w:rPr>
            </w:pPr>
            <w:r>
              <w:rPr>
                <w:rFonts w:hint="eastAsia" w:ascii="宋体" w:hAnsi="宋体" w:cs="宋体"/>
              </w:rPr>
              <w:t> </w:t>
            </w:r>
          </w:p>
        </w:tc>
        <w:tc>
          <w:tcPr>
            <w:tcW w:w="999" w:type="pct"/>
          </w:tcPr>
          <w:p w14:paraId="048F5523">
            <w:pPr>
              <w:jc w:val="left"/>
              <w:rPr>
                <w:rFonts w:ascii="宋体" w:hAnsi="宋体" w:cs="宋体"/>
              </w:rPr>
            </w:pPr>
            <w:r>
              <w:rPr>
                <w:rFonts w:hint="eastAsia" w:ascii="宋体" w:hAnsi="宋体" w:cs="宋体"/>
              </w:rPr>
              <w:t>无涨跌</w:t>
            </w:r>
          </w:p>
        </w:tc>
        <w:tc>
          <w:tcPr>
            <w:tcW w:w="999" w:type="pct"/>
          </w:tcPr>
          <w:p w14:paraId="0AA1C9A8">
            <w:pPr>
              <w:jc w:val="left"/>
              <w:rPr>
                <w:rFonts w:ascii="宋体" w:hAnsi="宋体" w:cs="宋体"/>
              </w:rPr>
            </w:pPr>
            <w:r>
              <w:rPr>
                <w:rFonts w:hint="eastAsia" w:ascii="宋体" w:hAnsi="宋体" w:cs="宋体"/>
              </w:rPr>
              <w:t>（1）涨价：</w:t>
            </w:r>
          </w:p>
          <w:p w14:paraId="65B86E1C">
            <w:pPr>
              <w:jc w:val="left"/>
              <w:rPr>
                <w:rFonts w:ascii="宋体" w:hAnsi="宋体" w:cs="宋体"/>
              </w:rPr>
            </w:pPr>
            <w:r>
              <w:rPr>
                <w:rFonts w:hint="eastAsia" w:ascii="宋体" w:hAnsi="宋体" w:cs="宋体"/>
              </w:rPr>
              <w:t>借：其他债权投资——公允价值变动</w:t>
            </w:r>
          </w:p>
          <w:p w14:paraId="73B7DED3">
            <w:pPr>
              <w:jc w:val="left"/>
              <w:rPr>
                <w:rFonts w:ascii="宋体" w:hAnsi="宋体" w:cs="宋体"/>
              </w:rPr>
            </w:pPr>
            <w:r>
              <w:rPr>
                <w:rFonts w:hint="eastAsia" w:ascii="宋体" w:hAnsi="宋体" w:cs="宋体"/>
              </w:rPr>
              <w:t>　　贷：其他综合收益——其他债权投资公允价值变动</w:t>
            </w:r>
          </w:p>
          <w:p w14:paraId="772D4084">
            <w:pPr>
              <w:jc w:val="left"/>
              <w:rPr>
                <w:rFonts w:ascii="宋体" w:hAnsi="宋体" w:cs="宋体"/>
              </w:rPr>
            </w:pPr>
            <w:r>
              <w:rPr>
                <w:rFonts w:hint="eastAsia" w:ascii="宋体" w:hAnsi="宋体" w:cs="宋体"/>
              </w:rPr>
              <w:t>（2）跌价：做相反的分录</w:t>
            </w:r>
          </w:p>
        </w:tc>
        <w:tc>
          <w:tcPr>
            <w:tcW w:w="1001" w:type="pct"/>
          </w:tcPr>
          <w:p w14:paraId="1F963A88">
            <w:pPr>
              <w:jc w:val="left"/>
              <w:rPr>
                <w:rFonts w:ascii="宋体" w:hAnsi="宋体" w:cs="宋体"/>
              </w:rPr>
            </w:pPr>
            <w:r>
              <w:rPr>
                <w:rFonts w:hint="eastAsia" w:ascii="宋体" w:hAnsi="宋体" w:cs="宋体"/>
              </w:rPr>
              <w:t>（1）涨价：</w:t>
            </w:r>
          </w:p>
          <w:p w14:paraId="3DA38B5F">
            <w:pPr>
              <w:jc w:val="left"/>
              <w:rPr>
                <w:rFonts w:ascii="宋体" w:hAnsi="宋体" w:cs="宋体"/>
              </w:rPr>
            </w:pPr>
            <w:r>
              <w:rPr>
                <w:rFonts w:hint="eastAsia" w:ascii="宋体" w:hAnsi="宋体" w:cs="宋体"/>
              </w:rPr>
              <w:t>借：其他权益工具投资——公允价值变动</w:t>
            </w:r>
          </w:p>
          <w:p w14:paraId="3C3123B5">
            <w:pPr>
              <w:jc w:val="left"/>
              <w:rPr>
                <w:rFonts w:ascii="宋体" w:hAnsi="宋体" w:cs="宋体"/>
              </w:rPr>
            </w:pPr>
            <w:r>
              <w:rPr>
                <w:rFonts w:hint="eastAsia" w:ascii="宋体" w:hAnsi="宋体" w:cs="宋体"/>
              </w:rPr>
              <w:t>　　贷：其他综合收益</w:t>
            </w:r>
          </w:p>
          <w:p w14:paraId="75046988">
            <w:pPr>
              <w:jc w:val="left"/>
              <w:rPr>
                <w:rFonts w:ascii="宋体" w:hAnsi="宋体" w:cs="宋体"/>
              </w:rPr>
            </w:pPr>
            <w:r>
              <w:rPr>
                <w:rFonts w:hint="eastAsia" w:ascii="宋体" w:hAnsi="宋体" w:cs="宋体"/>
              </w:rPr>
              <w:t>（2）跌价：做相反的分录</w:t>
            </w:r>
          </w:p>
        </w:tc>
        <w:tc>
          <w:tcPr>
            <w:tcW w:w="1001" w:type="pct"/>
          </w:tcPr>
          <w:p w14:paraId="61F081D3">
            <w:pPr>
              <w:jc w:val="left"/>
              <w:rPr>
                <w:rFonts w:ascii="宋体" w:hAnsi="宋体" w:cs="宋体"/>
              </w:rPr>
            </w:pPr>
            <w:r>
              <w:rPr>
                <w:rFonts w:hint="eastAsia" w:ascii="宋体" w:hAnsi="宋体" w:cs="宋体"/>
              </w:rPr>
              <w:t>（1）涨价：</w:t>
            </w:r>
          </w:p>
          <w:p w14:paraId="7A985ED1">
            <w:pPr>
              <w:jc w:val="left"/>
              <w:rPr>
                <w:rFonts w:ascii="宋体" w:hAnsi="宋体" w:cs="宋体"/>
              </w:rPr>
            </w:pPr>
            <w:r>
              <w:rPr>
                <w:rFonts w:hint="eastAsia" w:ascii="宋体" w:hAnsi="宋体" w:cs="宋体"/>
              </w:rPr>
              <w:t>借：交易性金融资产——公允价值变动</w:t>
            </w:r>
          </w:p>
          <w:p w14:paraId="33EB51CE">
            <w:pPr>
              <w:jc w:val="left"/>
              <w:rPr>
                <w:rFonts w:ascii="宋体" w:hAnsi="宋体" w:cs="宋体"/>
              </w:rPr>
            </w:pPr>
            <w:r>
              <w:rPr>
                <w:rFonts w:hint="eastAsia" w:ascii="宋体" w:hAnsi="宋体" w:cs="宋体"/>
              </w:rPr>
              <w:t>　　贷：公允价值变动损益</w:t>
            </w:r>
          </w:p>
          <w:p w14:paraId="75690292">
            <w:pPr>
              <w:jc w:val="left"/>
              <w:rPr>
                <w:rFonts w:ascii="宋体" w:hAnsi="宋体" w:cs="宋体"/>
              </w:rPr>
            </w:pPr>
            <w:r>
              <w:rPr>
                <w:rFonts w:hint="eastAsia" w:ascii="宋体" w:hAnsi="宋体" w:cs="宋体"/>
              </w:rPr>
              <w:t>（2）跌价：做相反的分录</w:t>
            </w:r>
          </w:p>
        </w:tc>
      </w:tr>
      <w:tr w14:paraId="262A8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tcPr>
          <w:p w14:paraId="45B9A0E8">
            <w:pPr>
              <w:jc w:val="left"/>
              <w:rPr>
                <w:rFonts w:ascii="宋体" w:hAnsi="宋体" w:cs="宋体"/>
              </w:rPr>
            </w:pPr>
            <w:r>
              <w:rPr>
                <w:rFonts w:hint="eastAsia" w:ascii="宋体" w:hAnsi="宋体" w:cs="宋体"/>
              </w:rPr>
              <w:t>4.</w:t>
            </w:r>
          </w:p>
          <w:p w14:paraId="47876D27">
            <w:pPr>
              <w:jc w:val="left"/>
              <w:rPr>
                <w:rFonts w:ascii="宋体" w:hAnsi="宋体" w:cs="宋体"/>
              </w:rPr>
            </w:pPr>
            <w:r>
              <w:rPr>
                <w:rFonts w:hint="eastAsia" w:ascii="宋体" w:hAnsi="宋体" w:cs="宋体"/>
              </w:rPr>
              <w:t>减</w:t>
            </w:r>
          </w:p>
          <w:p w14:paraId="74823A96">
            <w:pPr>
              <w:jc w:val="left"/>
              <w:rPr>
                <w:rFonts w:ascii="宋体" w:hAnsi="宋体" w:cs="宋体"/>
              </w:rPr>
            </w:pPr>
            <w:r>
              <w:rPr>
                <w:rFonts w:hint="eastAsia" w:ascii="宋体" w:hAnsi="宋体" w:cs="宋体"/>
              </w:rPr>
              <w:t>值</w:t>
            </w:r>
          </w:p>
        </w:tc>
        <w:tc>
          <w:tcPr>
            <w:tcW w:w="999" w:type="pct"/>
          </w:tcPr>
          <w:p w14:paraId="2119A355">
            <w:pPr>
              <w:jc w:val="left"/>
              <w:rPr>
                <w:rFonts w:ascii="宋体" w:hAnsi="宋体" w:cs="宋体"/>
              </w:rPr>
            </w:pPr>
            <w:r>
              <w:rPr>
                <w:rFonts w:hint="eastAsia" w:ascii="宋体" w:hAnsi="宋体" w:cs="宋体"/>
              </w:rPr>
              <w:t>★借：信用减值损失</w:t>
            </w:r>
          </w:p>
          <w:p w14:paraId="0B8627E3">
            <w:pPr>
              <w:jc w:val="left"/>
              <w:rPr>
                <w:rFonts w:ascii="宋体" w:hAnsi="宋体" w:cs="宋体"/>
              </w:rPr>
            </w:pPr>
            <w:r>
              <w:rPr>
                <w:rFonts w:hint="eastAsia" w:ascii="宋体" w:hAnsi="宋体" w:cs="宋体"/>
              </w:rPr>
              <w:t>　　贷：债权投资减值准备</w:t>
            </w:r>
          </w:p>
        </w:tc>
        <w:tc>
          <w:tcPr>
            <w:tcW w:w="999" w:type="pct"/>
          </w:tcPr>
          <w:p w14:paraId="518E3452">
            <w:pPr>
              <w:jc w:val="left"/>
              <w:rPr>
                <w:rFonts w:ascii="宋体" w:hAnsi="宋体" w:cs="宋体"/>
              </w:rPr>
            </w:pPr>
            <w:r>
              <w:rPr>
                <w:rFonts w:hint="eastAsia" w:ascii="宋体" w:hAnsi="宋体" w:cs="宋体"/>
              </w:rPr>
              <w:t>★借：信用减值损失</w:t>
            </w:r>
          </w:p>
          <w:p w14:paraId="1200E916">
            <w:pPr>
              <w:jc w:val="left"/>
              <w:rPr>
                <w:rFonts w:ascii="宋体" w:hAnsi="宋体" w:cs="宋体"/>
              </w:rPr>
            </w:pPr>
            <w:r>
              <w:rPr>
                <w:rFonts w:hint="eastAsia" w:ascii="宋体" w:hAnsi="宋体" w:cs="宋体"/>
              </w:rPr>
              <w:t xml:space="preserve">            贷：其他综合收益——信用减值准备</w:t>
            </w:r>
          </w:p>
        </w:tc>
        <w:tc>
          <w:tcPr>
            <w:tcW w:w="1001" w:type="pct"/>
          </w:tcPr>
          <w:p w14:paraId="6AC41ADF">
            <w:pPr>
              <w:jc w:val="left"/>
              <w:rPr>
                <w:rFonts w:ascii="宋体" w:hAnsi="宋体" w:cs="宋体"/>
              </w:rPr>
            </w:pPr>
            <w:r>
              <w:rPr>
                <w:rFonts w:hint="eastAsia" w:ascii="宋体" w:hAnsi="宋体" w:cs="宋体"/>
              </w:rPr>
              <w:t>★无减值</w:t>
            </w:r>
          </w:p>
        </w:tc>
        <w:tc>
          <w:tcPr>
            <w:tcW w:w="1001" w:type="pct"/>
          </w:tcPr>
          <w:p w14:paraId="4DB980FC">
            <w:pPr>
              <w:jc w:val="left"/>
              <w:rPr>
                <w:rFonts w:ascii="宋体" w:hAnsi="宋体" w:cs="宋体"/>
              </w:rPr>
            </w:pPr>
            <w:r>
              <w:rPr>
                <w:rFonts w:hint="eastAsia" w:ascii="宋体" w:hAnsi="宋体" w:cs="宋体"/>
              </w:rPr>
              <w:t>★无减值</w:t>
            </w:r>
          </w:p>
        </w:tc>
      </w:tr>
      <w:tr w14:paraId="3CC7C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tcPr>
          <w:p w14:paraId="52F6C6C4">
            <w:pPr>
              <w:jc w:val="left"/>
              <w:rPr>
                <w:rFonts w:ascii="宋体" w:hAnsi="宋体" w:cs="宋体"/>
              </w:rPr>
            </w:pPr>
            <w:r>
              <w:rPr>
                <w:rFonts w:hint="eastAsia" w:ascii="宋体" w:hAnsi="宋体" w:cs="宋体"/>
              </w:rPr>
              <w:t>5.</w:t>
            </w:r>
          </w:p>
          <w:p w14:paraId="278BD791">
            <w:pPr>
              <w:jc w:val="left"/>
              <w:rPr>
                <w:rFonts w:ascii="宋体" w:hAnsi="宋体" w:cs="宋体"/>
              </w:rPr>
            </w:pPr>
            <w:r>
              <w:rPr>
                <w:rFonts w:hint="eastAsia" w:ascii="宋体" w:hAnsi="宋体" w:cs="宋体"/>
              </w:rPr>
              <w:t>处</w:t>
            </w:r>
          </w:p>
          <w:p w14:paraId="7FF95317">
            <w:pPr>
              <w:jc w:val="left"/>
              <w:rPr>
                <w:rFonts w:ascii="宋体" w:hAnsi="宋体" w:cs="宋体"/>
              </w:rPr>
            </w:pPr>
            <w:r>
              <w:rPr>
                <w:rFonts w:hint="eastAsia" w:ascii="宋体" w:hAnsi="宋体" w:cs="宋体"/>
              </w:rPr>
              <w:t>置</w:t>
            </w:r>
          </w:p>
        </w:tc>
        <w:tc>
          <w:tcPr>
            <w:tcW w:w="999" w:type="pct"/>
          </w:tcPr>
          <w:p w14:paraId="2E5F5DB9">
            <w:pPr>
              <w:jc w:val="left"/>
              <w:rPr>
                <w:rFonts w:ascii="宋体" w:hAnsi="宋体" w:cs="宋体"/>
              </w:rPr>
            </w:pPr>
            <w:r>
              <w:rPr>
                <w:rFonts w:hint="eastAsia" w:ascii="宋体" w:hAnsi="宋体" w:cs="宋体"/>
              </w:rPr>
              <w:t>借：银行存款</w:t>
            </w:r>
          </w:p>
          <w:p w14:paraId="26803075">
            <w:pPr>
              <w:jc w:val="left"/>
              <w:rPr>
                <w:rFonts w:ascii="宋体" w:hAnsi="宋体" w:cs="宋体"/>
              </w:rPr>
            </w:pPr>
            <w:r>
              <w:rPr>
                <w:rFonts w:hint="eastAsia" w:ascii="宋体" w:hAnsi="宋体" w:cs="宋体"/>
              </w:rPr>
              <w:t>债权投资减值准备</w:t>
            </w:r>
          </w:p>
          <w:p w14:paraId="628C50EE">
            <w:pPr>
              <w:jc w:val="left"/>
              <w:rPr>
                <w:rFonts w:ascii="宋体" w:hAnsi="宋体" w:cs="宋体"/>
              </w:rPr>
            </w:pPr>
            <w:r>
              <w:rPr>
                <w:rFonts w:hint="eastAsia" w:ascii="宋体" w:hAnsi="宋体" w:cs="宋体"/>
              </w:rPr>
              <w:t>　　贷：债权投资——成本、利息调整、应计利息</w:t>
            </w:r>
          </w:p>
          <w:p w14:paraId="189E68E3">
            <w:pPr>
              <w:jc w:val="left"/>
              <w:rPr>
                <w:rFonts w:ascii="宋体" w:hAnsi="宋体" w:cs="宋体"/>
              </w:rPr>
            </w:pPr>
            <w:r>
              <w:rPr>
                <w:rFonts w:hint="eastAsia" w:ascii="宋体" w:hAnsi="宋体" w:cs="宋体"/>
              </w:rPr>
              <w:t>　　投资收益（可能在借方）</w:t>
            </w:r>
          </w:p>
        </w:tc>
        <w:tc>
          <w:tcPr>
            <w:tcW w:w="999" w:type="pct"/>
          </w:tcPr>
          <w:p w14:paraId="6E5BFAB7">
            <w:pPr>
              <w:jc w:val="left"/>
              <w:rPr>
                <w:rFonts w:ascii="宋体" w:hAnsi="宋体" w:cs="宋体"/>
              </w:rPr>
            </w:pPr>
            <w:r>
              <w:rPr>
                <w:rFonts w:hint="eastAsia" w:ascii="宋体" w:hAnsi="宋体" w:cs="宋体"/>
              </w:rPr>
              <w:t>借：银行存款</w:t>
            </w:r>
          </w:p>
          <w:p w14:paraId="5F0AFBEC">
            <w:pPr>
              <w:jc w:val="left"/>
              <w:rPr>
                <w:rFonts w:ascii="宋体" w:hAnsi="宋体" w:cs="宋体"/>
              </w:rPr>
            </w:pPr>
            <w:r>
              <w:rPr>
                <w:rFonts w:hint="eastAsia" w:ascii="宋体" w:hAnsi="宋体" w:cs="宋体"/>
              </w:rPr>
              <w:t>　　贷：其他债权投资——成本、利息调整、应计利息、公允价值变动</w:t>
            </w:r>
          </w:p>
          <w:p w14:paraId="3193DC13">
            <w:pPr>
              <w:jc w:val="left"/>
              <w:rPr>
                <w:rFonts w:ascii="宋体" w:hAnsi="宋体" w:cs="宋体"/>
              </w:rPr>
            </w:pPr>
            <w:r>
              <w:rPr>
                <w:rFonts w:hint="eastAsia" w:ascii="宋体" w:hAnsi="宋体" w:cs="宋体"/>
              </w:rPr>
              <w:t>　　投资收益（可能在借方）</w:t>
            </w:r>
          </w:p>
          <w:p w14:paraId="1ACDEDAF">
            <w:pPr>
              <w:jc w:val="left"/>
              <w:rPr>
                <w:rFonts w:ascii="宋体" w:hAnsi="宋体" w:cs="宋体"/>
              </w:rPr>
            </w:pPr>
            <w:r>
              <w:rPr>
                <w:rFonts w:hint="eastAsia" w:ascii="宋体" w:hAnsi="宋体" w:cs="宋体"/>
              </w:rPr>
              <w:t>借：其他综合收益——信用减值准备</w:t>
            </w:r>
          </w:p>
          <w:p w14:paraId="41E64DB4">
            <w:pPr>
              <w:jc w:val="left"/>
              <w:rPr>
                <w:rFonts w:ascii="宋体" w:hAnsi="宋体" w:cs="宋体"/>
              </w:rPr>
            </w:pPr>
            <w:r>
              <w:rPr>
                <w:rFonts w:hint="eastAsia" w:ascii="宋体" w:hAnsi="宋体" w:cs="宋体"/>
              </w:rPr>
              <w:t>　　——其他债权投资公允价值变动</w:t>
            </w:r>
          </w:p>
          <w:p w14:paraId="29D5CD33">
            <w:pPr>
              <w:jc w:val="left"/>
              <w:rPr>
                <w:rFonts w:ascii="宋体" w:hAnsi="宋体" w:cs="宋体"/>
              </w:rPr>
            </w:pPr>
            <w:r>
              <w:rPr>
                <w:rFonts w:hint="eastAsia" w:ascii="宋体" w:hAnsi="宋体" w:cs="宋体"/>
              </w:rPr>
              <w:t>　　贷：投资收益</w:t>
            </w:r>
          </w:p>
          <w:p w14:paraId="61030B2B">
            <w:pPr>
              <w:jc w:val="left"/>
              <w:rPr>
                <w:rFonts w:ascii="宋体" w:hAnsi="宋体" w:cs="宋体"/>
              </w:rPr>
            </w:pPr>
            <w:r>
              <w:rPr>
                <w:rFonts w:hint="eastAsia" w:ascii="宋体" w:hAnsi="宋体" w:cs="宋体"/>
              </w:rPr>
              <w:t> </w:t>
            </w:r>
          </w:p>
        </w:tc>
        <w:tc>
          <w:tcPr>
            <w:tcW w:w="1001" w:type="pct"/>
          </w:tcPr>
          <w:p w14:paraId="1833D7AF">
            <w:pPr>
              <w:jc w:val="left"/>
              <w:rPr>
                <w:rFonts w:ascii="宋体" w:hAnsi="宋体" w:cs="宋体"/>
              </w:rPr>
            </w:pPr>
            <w:r>
              <w:rPr>
                <w:rFonts w:hint="eastAsia" w:ascii="宋体" w:hAnsi="宋体" w:cs="宋体"/>
              </w:rPr>
              <w:t>借：银行存款</w:t>
            </w:r>
          </w:p>
          <w:p w14:paraId="21D1E7E2">
            <w:pPr>
              <w:jc w:val="left"/>
              <w:rPr>
                <w:rFonts w:ascii="宋体" w:hAnsi="宋体" w:cs="宋体"/>
              </w:rPr>
            </w:pPr>
            <w:r>
              <w:rPr>
                <w:rFonts w:hint="eastAsia" w:ascii="宋体" w:hAnsi="宋体" w:cs="宋体"/>
              </w:rPr>
              <w:t>　　贷：其他权益工具投资——成本</w:t>
            </w:r>
          </w:p>
          <w:p w14:paraId="7A23E664">
            <w:pPr>
              <w:jc w:val="left"/>
              <w:rPr>
                <w:rFonts w:ascii="宋体" w:hAnsi="宋体" w:cs="宋体"/>
              </w:rPr>
            </w:pPr>
            <w:r>
              <w:rPr>
                <w:rFonts w:hint="eastAsia" w:ascii="宋体" w:hAnsi="宋体" w:cs="宋体"/>
              </w:rPr>
              <w:t>　——公允价值变动（可能在借方）</w:t>
            </w:r>
          </w:p>
          <w:p w14:paraId="370B1878">
            <w:pPr>
              <w:jc w:val="left"/>
              <w:rPr>
                <w:rFonts w:ascii="宋体" w:hAnsi="宋体" w:cs="宋体"/>
              </w:rPr>
            </w:pPr>
            <w:r>
              <w:rPr>
                <w:rFonts w:hint="eastAsia" w:ascii="宋体" w:hAnsi="宋体" w:cs="宋体"/>
              </w:rPr>
              <w:t>★利润分配—未分配利润（可能在借方）</w:t>
            </w:r>
          </w:p>
          <w:p w14:paraId="6A67C67B">
            <w:pPr>
              <w:jc w:val="left"/>
              <w:rPr>
                <w:rFonts w:ascii="宋体" w:hAnsi="宋体" w:cs="宋体"/>
              </w:rPr>
            </w:pPr>
            <w:r>
              <w:rPr>
                <w:rFonts w:hint="eastAsia" w:ascii="宋体" w:hAnsi="宋体" w:cs="宋体"/>
              </w:rPr>
              <w:t>借：其他综合收益——公允价值变动</w:t>
            </w:r>
          </w:p>
          <w:p w14:paraId="5CDACC79">
            <w:pPr>
              <w:jc w:val="left"/>
              <w:rPr>
                <w:rFonts w:ascii="宋体" w:hAnsi="宋体" w:cs="宋体"/>
              </w:rPr>
            </w:pPr>
            <w:r>
              <w:rPr>
                <w:rFonts w:hint="eastAsia" w:ascii="宋体" w:hAnsi="宋体" w:cs="宋体"/>
              </w:rPr>
              <w:t>　　贷：</w:t>
            </w:r>
          </w:p>
          <w:p w14:paraId="3E85E518">
            <w:pPr>
              <w:jc w:val="left"/>
              <w:rPr>
                <w:rFonts w:ascii="宋体" w:hAnsi="宋体" w:cs="宋体"/>
              </w:rPr>
            </w:pPr>
            <w:r>
              <w:rPr>
                <w:rFonts w:hint="eastAsia" w:ascii="宋体" w:hAnsi="宋体" w:cs="宋体"/>
              </w:rPr>
              <w:t>★利润分配——未分配利润（可能在借方）</w:t>
            </w:r>
          </w:p>
        </w:tc>
        <w:tc>
          <w:tcPr>
            <w:tcW w:w="1001" w:type="pct"/>
          </w:tcPr>
          <w:p w14:paraId="06CD2BF1">
            <w:pPr>
              <w:jc w:val="left"/>
              <w:rPr>
                <w:rFonts w:ascii="宋体" w:hAnsi="宋体" w:cs="宋体"/>
              </w:rPr>
            </w:pPr>
            <w:r>
              <w:rPr>
                <w:rFonts w:hint="eastAsia" w:ascii="宋体" w:hAnsi="宋体" w:cs="宋体"/>
              </w:rPr>
              <w:t>借：银行存款</w:t>
            </w:r>
          </w:p>
          <w:p w14:paraId="35801CD5">
            <w:pPr>
              <w:jc w:val="left"/>
              <w:rPr>
                <w:rFonts w:ascii="宋体" w:hAnsi="宋体" w:cs="宋体"/>
              </w:rPr>
            </w:pPr>
            <w:r>
              <w:rPr>
                <w:rFonts w:hint="eastAsia" w:ascii="宋体" w:hAnsi="宋体" w:cs="宋体"/>
              </w:rPr>
              <w:t>　　贷：交易性金融资产——成本</w:t>
            </w:r>
          </w:p>
          <w:p w14:paraId="0FDAEA47">
            <w:pPr>
              <w:jc w:val="left"/>
              <w:rPr>
                <w:rFonts w:ascii="宋体" w:hAnsi="宋体" w:cs="宋体"/>
              </w:rPr>
            </w:pPr>
            <w:r>
              <w:rPr>
                <w:rFonts w:hint="eastAsia" w:ascii="宋体" w:hAnsi="宋体" w:cs="宋体"/>
              </w:rPr>
              <w:t>　　——公允价值变动（可能在借方）</w:t>
            </w:r>
          </w:p>
          <w:p w14:paraId="04A13A67">
            <w:pPr>
              <w:jc w:val="left"/>
              <w:rPr>
                <w:rFonts w:ascii="宋体" w:hAnsi="宋体" w:cs="宋体"/>
              </w:rPr>
            </w:pPr>
            <w:r>
              <w:rPr>
                <w:rFonts w:hint="eastAsia" w:ascii="宋体" w:hAnsi="宋体" w:cs="宋体"/>
              </w:rPr>
              <w:t>　投资收益（可能在借方）</w:t>
            </w:r>
          </w:p>
          <w:p w14:paraId="3ABD6FF6">
            <w:pPr>
              <w:jc w:val="left"/>
              <w:rPr>
                <w:rFonts w:ascii="宋体" w:hAnsi="宋体" w:cs="宋体"/>
              </w:rPr>
            </w:pPr>
            <w:r>
              <w:rPr>
                <w:rFonts w:hint="eastAsia" w:ascii="宋体" w:hAnsi="宋体" w:cs="宋体"/>
              </w:rPr>
              <w:t>注意：不转“公允价值变动损益”</w:t>
            </w:r>
          </w:p>
          <w:p w14:paraId="02F586BF">
            <w:pPr>
              <w:jc w:val="left"/>
              <w:rPr>
                <w:rFonts w:ascii="宋体" w:hAnsi="宋体" w:cs="宋体"/>
              </w:rPr>
            </w:pPr>
            <w:r>
              <w:rPr>
                <w:rFonts w:hint="eastAsia" w:ascii="宋体" w:hAnsi="宋体" w:cs="宋体"/>
              </w:rPr>
              <w:t>考试问：处置时和整项投资的营业利润？</w:t>
            </w:r>
          </w:p>
        </w:tc>
      </w:tr>
    </w:tbl>
    <w:p w14:paraId="328D0ED3">
      <w:pPr>
        <w:jc w:val="left"/>
        <w:rPr>
          <w:rFonts w:ascii="宋体" w:hAnsi="宋体" w:cs="宋体"/>
        </w:rPr>
      </w:pPr>
      <w:r>
        <w:rPr>
          <w:rFonts w:hint="eastAsia" w:ascii="宋体" w:hAnsi="宋体" w:cs="宋体"/>
        </w:rPr>
        <w:t>【考点】★★金融资产重分类的六种情形</w:t>
      </w:r>
    </w:p>
    <w:tbl>
      <w:tblPr>
        <w:tblStyle w:val="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32"/>
        <w:gridCol w:w="2532"/>
        <w:gridCol w:w="2536"/>
        <w:gridCol w:w="2536"/>
      </w:tblGrid>
      <w:tr w14:paraId="4768F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9" w:type="pct"/>
          </w:tcPr>
          <w:p w14:paraId="4CF924A1">
            <w:pPr>
              <w:jc w:val="left"/>
              <w:rPr>
                <w:rFonts w:ascii="宋体" w:hAnsi="宋体" w:cs="宋体"/>
              </w:rPr>
            </w:pPr>
            <w:r>
              <w:rPr>
                <w:rFonts w:hint="eastAsia" w:ascii="宋体" w:hAnsi="宋体" w:cs="宋体"/>
              </w:rPr>
              <w:t>1.（1）债权投资转为（2—1）其他债权投资（共 2个分录）</w:t>
            </w:r>
          </w:p>
        </w:tc>
        <w:tc>
          <w:tcPr>
            <w:tcW w:w="1249" w:type="pct"/>
          </w:tcPr>
          <w:p w14:paraId="4E210C04">
            <w:pPr>
              <w:jc w:val="left"/>
              <w:rPr>
                <w:rFonts w:ascii="宋体" w:hAnsi="宋体" w:cs="宋体"/>
              </w:rPr>
            </w:pPr>
            <w:r>
              <w:rPr>
                <w:rFonts w:hint="eastAsia" w:ascii="宋体" w:hAnsi="宋体" w:cs="宋体"/>
              </w:rPr>
              <w:t>（1）账面转公允</w:t>
            </w:r>
          </w:p>
          <w:p w14:paraId="505DC673">
            <w:pPr>
              <w:jc w:val="left"/>
              <w:rPr>
                <w:rFonts w:ascii="宋体" w:hAnsi="宋体" w:cs="宋体"/>
              </w:rPr>
            </w:pPr>
            <w:r>
              <w:rPr>
                <w:rFonts w:hint="eastAsia" w:ascii="宋体" w:hAnsi="宋体" w:cs="宋体"/>
              </w:rPr>
              <w:t>借：其他债权投资——成本（重分类日公允价）</w:t>
            </w:r>
          </w:p>
          <w:p w14:paraId="7C8BEFC2">
            <w:pPr>
              <w:jc w:val="left"/>
              <w:rPr>
                <w:rFonts w:ascii="宋体" w:hAnsi="宋体" w:cs="宋体"/>
              </w:rPr>
            </w:pPr>
            <w:r>
              <w:rPr>
                <w:rFonts w:hint="eastAsia" w:ascii="宋体" w:hAnsi="宋体" w:cs="宋体"/>
              </w:rPr>
              <w:t>　　贷：债权投资——成本、利息调整、应计利息</w:t>
            </w:r>
          </w:p>
          <w:p w14:paraId="59A9ED40">
            <w:pPr>
              <w:jc w:val="left"/>
              <w:rPr>
                <w:rFonts w:ascii="宋体" w:hAnsi="宋体" w:cs="宋体"/>
              </w:rPr>
            </w:pPr>
            <w:r>
              <w:rPr>
                <w:rFonts w:hint="eastAsia" w:ascii="宋体" w:hAnsi="宋体" w:cs="宋体"/>
              </w:rPr>
              <w:t>其他综合收益（差额，可能在借方）</w:t>
            </w:r>
          </w:p>
          <w:p w14:paraId="1DF65E0F">
            <w:pPr>
              <w:jc w:val="left"/>
              <w:rPr>
                <w:rFonts w:ascii="宋体" w:hAnsi="宋体" w:cs="宋体"/>
              </w:rPr>
            </w:pPr>
            <w:r>
              <w:rPr>
                <w:rFonts w:hint="eastAsia" w:ascii="宋体" w:hAnsi="宋体" w:cs="宋体"/>
              </w:rPr>
              <w:t>（2）转准备</w:t>
            </w:r>
          </w:p>
          <w:p w14:paraId="1183FC32">
            <w:pPr>
              <w:jc w:val="left"/>
              <w:rPr>
                <w:rFonts w:ascii="宋体" w:hAnsi="宋体" w:cs="宋体"/>
              </w:rPr>
            </w:pPr>
            <w:r>
              <w:rPr>
                <w:rFonts w:hint="eastAsia" w:ascii="宋体" w:hAnsi="宋体" w:cs="宋体"/>
              </w:rPr>
              <w:t>借：债权投资减值准备</w:t>
            </w:r>
          </w:p>
          <w:p w14:paraId="4B5DBDC4">
            <w:pPr>
              <w:jc w:val="left"/>
              <w:rPr>
                <w:rFonts w:ascii="宋体" w:hAnsi="宋体" w:cs="宋体"/>
              </w:rPr>
            </w:pPr>
            <w:r>
              <w:rPr>
                <w:rFonts w:hint="eastAsia" w:ascii="宋体" w:hAnsi="宋体" w:cs="宋体"/>
              </w:rPr>
              <w:t>　　贷：其他综合收益——信用减值准备</w:t>
            </w:r>
          </w:p>
        </w:tc>
        <w:tc>
          <w:tcPr>
            <w:tcW w:w="1251" w:type="pct"/>
          </w:tcPr>
          <w:p w14:paraId="31A12AFB">
            <w:pPr>
              <w:jc w:val="left"/>
              <w:rPr>
                <w:rFonts w:ascii="宋体" w:hAnsi="宋体" w:cs="宋体"/>
              </w:rPr>
            </w:pPr>
            <w:r>
              <w:rPr>
                <w:rFonts w:hint="eastAsia" w:ascii="宋体" w:hAnsi="宋体" w:cs="宋体"/>
              </w:rPr>
              <w:t>2.★★</w:t>
            </w:r>
          </w:p>
          <w:p w14:paraId="5A07AF84">
            <w:pPr>
              <w:jc w:val="left"/>
              <w:rPr>
                <w:rFonts w:ascii="宋体" w:hAnsi="宋体" w:cs="宋体"/>
              </w:rPr>
            </w:pPr>
            <w:r>
              <w:rPr>
                <w:rFonts w:hint="eastAsia" w:ascii="宋体" w:hAnsi="宋体" w:cs="宋体"/>
              </w:rPr>
              <w:t>（2—1）</w:t>
            </w:r>
          </w:p>
          <w:p w14:paraId="01DE90C7">
            <w:pPr>
              <w:jc w:val="left"/>
              <w:rPr>
                <w:rFonts w:ascii="宋体" w:hAnsi="宋体" w:cs="宋体"/>
              </w:rPr>
            </w:pPr>
            <w:r>
              <w:rPr>
                <w:rFonts w:hint="eastAsia" w:ascii="宋体" w:hAnsi="宋体" w:cs="宋体"/>
              </w:rPr>
              <w:t>其他债权投资转为（1）债权投资（共3 个分录）</w:t>
            </w:r>
          </w:p>
        </w:tc>
        <w:tc>
          <w:tcPr>
            <w:tcW w:w="1251" w:type="pct"/>
          </w:tcPr>
          <w:p w14:paraId="469D882F">
            <w:pPr>
              <w:jc w:val="left"/>
              <w:rPr>
                <w:rFonts w:ascii="宋体" w:hAnsi="宋体" w:cs="宋体"/>
              </w:rPr>
            </w:pPr>
            <w:r>
              <w:rPr>
                <w:rFonts w:hint="eastAsia" w:ascii="宋体" w:hAnsi="宋体" w:cs="宋体"/>
              </w:rPr>
              <w:t>（1）账面价值对应结转，一直以摊余成本计量</w:t>
            </w:r>
          </w:p>
          <w:p w14:paraId="20A94B2D">
            <w:pPr>
              <w:jc w:val="left"/>
              <w:rPr>
                <w:rFonts w:ascii="宋体" w:hAnsi="宋体" w:cs="宋体"/>
              </w:rPr>
            </w:pPr>
            <w:r>
              <w:rPr>
                <w:rFonts w:hint="eastAsia" w:ascii="宋体" w:hAnsi="宋体" w:cs="宋体"/>
              </w:rPr>
              <w:t>借：债权投资——成本、利息调整、应计利息</w:t>
            </w:r>
          </w:p>
          <w:p w14:paraId="1837804C">
            <w:pPr>
              <w:jc w:val="left"/>
              <w:rPr>
                <w:rFonts w:ascii="宋体" w:hAnsi="宋体" w:cs="宋体"/>
              </w:rPr>
            </w:pPr>
            <w:r>
              <w:rPr>
                <w:rFonts w:hint="eastAsia" w:ascii="宋体" w:hAnsi="宋体" w:cs="宋体"/>
              </w:rPr>
              <w:t>　　贷：其他债权投资——成本、利息调整、应计利息</w:t>
            </w:r>
          </w:p>
          <w:p w14:paraId="5A28B414">
            <w:pPr>
              <w:jc w:val="left"/>
              <w:rPr>
                <w:rFonts w:ascii="宋体" w:hAnsi="宋体" w:cs="宋体"/>
              </w:rPr>
            </w:pPr>
            <w:r>
              <w:rPr>
                <w:rFonts w:hint="eastAsia" w:ascii="宋体" w:hAnsi="宋体" w:cs="宋体"/>
              </w:rPr>
              <w:t>（2）冲销公允价值变动</w:t>
            </w:r>
          </w:p>
          <w:p w14:paraId="68AD1CFA">
            <w:pPr>
              <w:jc w:val="left"/>
              <w:rPr>
                <w:rFonts w:ascii="宋体" w:hAnsi="宋体" w:cs="宋体"/>
              </w:rPr>
            </w:pPr>
            <w:r>
              <w:rPr>
                <w:rFonts w:hint="eastAsia" w:ascii="宋体" w:hAnsi="宋体" w:cs="宋体"/>
              </w:rPr>
              <w:t>借：其他综合收益——公允价值变动</w:t>
            </w:r>
          </w:p>
          <w:p w14:paraId="300BE604">
            <w:pPr>
              <w:jc w:val="left"/>
              <w:rPr>
                <w:rFonts w:ascii="宋体" w:hAnsi="宋体" w:cs="宋体"/>
              </w:rPr>
            </w:pPr>
            <w:r>
              <w:rPr>
                <w:rFonts w:hint="eastAsia" w:ascii="宋体" w:hAnsi="宋体" w:cs="宋体"/>
              </w:rPr>
              <w:t>　　贷：其他债权投资——公允价值变动</w:t>
            </w:r>
          </w:p>
          <w:p w14:paraId="1E1D2B87">
            <w:pPr>
              <w:jc w:val="left"/>
              <w:rPr>
                <w:rFonts w:ascii="宋体" w:hAnsi="宋体" w:cs="宋体"/>
              </w:rPr>
            </w:pPr>
            <w:r>
              <w:rPr>
                <w:rFonts w:hint="eastAsia" w:ascii="宋体" w:hAnsi="宋体" w:cs="宋体"/>
              </w:rPr>
              <w:t>（3）减值准备对应结转</w:t>
            </w:r>
          </w:p>
          <w:p w14:paraId="4589E4AC">
            <w:pPr>
              <w:jc w:val="left"/>
              <w:rPr>
                <w:rFonts w:ascii="宋体" w:hAnsi="宋体" w:cs="宋体"/>
              </w:rPr>
            </w:pPr>
            <w:r>
              <w:rPr>
                <w:rFonts w:hint="eastAsia" w:ascii="宋体" w:hAnsi="宋体" w:cs="宋体"/>
              </w:rPr>
              <w:t>借：其他综合收益——信用减值准备</w:t>
            </w:r>
          </w:p>
          <w:p w14:paraId="64D880B1">
            <w:pPr>
              <w:jc w:val="left"/>
              <w:rPr>
                <w:rFonts w:ascii="宋体" w:hAnsi="宋体" w:cs="宋体"/>
              </w:rPr>
            </w:pPr>
            <w:r>
              <w:rPr>
                <w:rFonts w:hint="eastAsia" w:ascii="宋体" w:hAnsi="宋体" w:cs="宋体"/>
              </w:rPr>
              <w:t>　　贷：债权投资减值准备</w:t>
            </w:r>
          </w:p>
        </w:tc>
      </w:tr>
      <w:tr w14:paraId="0825D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Pr>
          <w:p w14:paraId="4F35E4A1">
            <w:pPr>
              <w:jc w:val="left"/>
              <w:rPr>
                <w:rFonts w:ascii="宋体" w:hAnsi="宋体" w:cs="宋体"/>
              </w:rPr>
            </w:pPr>
            <w:r>
              <w:rPr>
                <w:rFonts w:hint="eastAsia" w:ascii="宋体" w:hAnsi="宋体" w:cs="宋体"/>
              </w:rPr>
              <w:t>3.★★</w:t>
            </w:r>
          </w:p>
          <w:p w14:paraId="5A3ED963">
            <w:pPr>
              <w:jc w:val="left"/>
              <w:rPr>
                <w:rFonts w:ascii="宋体" w:hAnsi="宋体" w:cs="宋体"/>
              </w:rPr>
            </w:pPr>
            <w:r>
              <w:rPr>
                <w:rFonts w:hint="eastAsia" w:ascii="宋体" w:hAnsi="宋体" w:cs="宋体"/>
              </w:rPr>
              <w:t>（1）债权投资转为</w:t>
            </w:r>
          </w:p>
          <w:p w14:paraId="4FEADAC3">
            <w:pPr>
              <w:jc w:val="left"/>
              <w:rPr>
                <w:rFonts w:ascii="宋体" w:hAnsi="宋体" w:cs="宋体"/>
              </w:rPr>
            </w:pPr>
            <w:r>
              <w:rPr>
                <w:rFonts w:hint="eastAsia" w:ascii="宋体" w:hAnsi="宋体" w:cs="宋体"/>
              </w:rPr>
              <w:t>（3）交易性金融资产</w:t>
            </w:r>
          </w:p>
          <w:p w14:paraId="50B3C0FA">
            <w:pPr>
              <w:jc w:val="left"/>
              <w:rPr>
                <w:rFonts w:ascii="宋体" w:hAnsi="宋体" w:cs="宋体"/>
              </w:rPr>
            </w:pPr>
            <w:r>
              <w:rPr>
                <w:rFonts w:hint="eastAsia" w:ascii="宋体" w:hAnsi="宋体" w:cs="宋体"/>
              </w:rPr>
              <w:t>（1个）</w:t>
            </w:r>
          </w:p>
        </w:tc>
        <w:tc>
          <w:tcPr>
            <w:tcW w:w="1249" w:type="pct"/>
          </w:tcPr>
          <w:p w14:paraId="4848E1B4">
            <w:pPr>
              <w:jc w:val="left"/>
              <w:rPr>
                <w:rFonts w:ascii="宋体" w:hAnsi="宋体" w:cs="宋体"/>
              </w:rPr>
            </w:pPr>
            <w:r>
              <w:rPr>
                <w:rFonts w:hint="eastAsia" w:ascii="宋体" w:hAnsi="宋体" w:cs="宋体"/>
              </w:rPr>
              <w:t>账面价值（摊余成本）转公允，有差额</w:t>
            </w:r>
          </w:p>
          <w:p w14:paraId="0E9DDEDC">
            <w:pPr>
              <w:jc w:val="left"/>
              <w:rPr>
                <w:rFonts w:ascii="宋体" w:hAnsi="宋体" w:cs="宋体"/>
              </w:rPr>
            </w:pPr>
            <w:r>
              <w:rPr>
                <w:rFonts w:hint="eastAsia" w:ascii="宋体" w:hAnsi="宋体" w:cs="宋体"/>
              </w:rPr>
              <w:t>借：交易性金融资产——成本（重分类日的公允价）</w:t>
            </w:r>
          </w:p>
          <w:p w14:paraId="6DCC15E1">
            <w:pPr>
              <w:jc w:val="left"/>
              <w:rPr>
                <w:rFonts w:ascii="宋体" w:hAnsi="宋体" w:cs="宋体"/>
              </w:rPr>
            </w:pPr>
            <w:r>
              <w:rPr>
                <w:rFonts w:hint="eastAsia" w:ascii="宋体" w:hAnsi="宋体" w:cs="宋体"/>
              </w:rPr>
              <w:t>　　债权投资减值准备</w:t>
            </w:r>
          </w:p>
          <w:p w14:paraId="7934CE08">
            <w:pPr>
              <w:jc w:val="left"/>
              <w:rPr>
                <w:rFonts w:ascii="宋体" w:hAnsi="宋体" w:cs="宋体"/>
              </w:rPr>
            </w:pPr>
            <w:r>
              <w:rPr>
                <w:rFonts w:hint="eastAsia" w:ascii="宋体" w:hAnsi="宋体" w:cs="宋体"/>
              </w:rPr>
              <w:t>　　贷：债权投资——成本、利息调整、应计利息</w:t>
            </w:r>
          </w:p>
          <w:p w14:paraId="509E2B55">
            <w:pPr>
              <w:jc w:val="left"/>
              <w:rPr>
                <w:rFonts w:ascii="宋体" w:hAnsi="宋体" w:cs="宋体"/>
              </w:rPr>
            </w:pPr>
            <w:r>
              <w:rPr>
                <w:rFonts w:hint="eastAsia" w:ascii="宋体" w:hAnsi="宋体" w:cs="宋体"/>
              </w:rPr>
              <w:t>　公允价值变动损益（差额，可能在借方）</w:t>
            </w:r>
          </w:p>
        </w:tc>
        <w:tc>
          <w:tcPr>
            <w:tcW w:w="1251" w:type="pct"/>
          </w:tcPr>
          <w:p w14:paraId="4404FA8F">
            <w:pPr>
              <w:jc w:val="left"/>
              <w:rPr>
                <w:rFonts w:ascii="宋体" w:hAnsi="宋体" w:cs="宋体"/>
              </w:rPr>
            </w:pPr>
            <w:r>
              <w:rPr>
                <w:rFonts w:hint="eastAsia" w:ascii="宋体" w:hAnsi="宋体" w:cs="宋体"/>
              </w:rPr>
              <w:t>4.（3）</w:t>
            </w:r>
          </w:p>
          <w:p w14:paraId="6DE7C62A">
            <w:pPr>
              <w:jc w:val="left"/>
              <w:rPr>
                <w:rFonts w:ascii="宋体" w:hAnsi="宋体" w:cs="宋体"/>
              </w:rPr>
            </w:pPr>
            <w:r>
              <w:rPr>
                <w:rFonts w:hint="eastAsia" w:ascii="宋体" w:hAnsi="宋体" w:cs="宋体"/>
              </w:rPr>
              <w:t>交易性金融资产转为（1）债权投资</w:t>
            </w:r>
          </w:p>
          <w:p w14:paraId="20879231">
            <w:pPr>
              <w:jc w:val="left"/>
              <w:rPr>
                <w:rFonts w:ascii="宋体" w:hAnsi="宋体" w:cs="宋体"/>
              </w:rPr>
            </w:pPr>
            <w:r>
              <w:rPr>
                <w:rFonts w:hint="eastAsia" w:ascii="宋体" w:hAnsi="宋体" w:cs="宋体"/>
              </w:rPr>
              <w:t>（1个）</w:t>
            </w:r>
          </w:p>
        </w:tc>
        <w:tc>
          <w:tcPr>
            <w:tcW w:w="1251" w:type="pct"/>
          </w:tcPr>
          <w:p w14:paraId="393AD441">
            <w:pPr>
              <w:jc w:val="left"/>
              <w:rPr>
                <w:rFonts w:ascii="宋体" w:hAnsi="宋体" w:cs="宋体"/>
              </w:rPr>
            </w:pPr>
            <w:r>
              <w:rPr>
                <w:rFonts w:hint="eastAsia" w:ascii="宋体" w:hAnsi="宋体" w:cs="宋体"/>
              </w:rPr>
              <w:t>账面价值（公允）转公允，有差额</w:t>
            </w:r>
          </w:p>
          <w:p w14:paraId="2E8B23B6">
            <w:pPr>
              <w:jc w:val="left"/>
              <w:rPr>
                <w:rFonts w:ascii="宋体" w:hAnsi="宋体" w:cs="宋体"/>
              </w:rPr>
            </w:pPr>
            <w:r>
              <w:rPr>
                <w:rFonts w:hint="eastAsia" w:ascii="宋体" w:hAnsi="宋体" w:cs="宋体"/>
              </w:rPr>
              <w:t>借：债权投资——成本、利息调整、应计利息</w:t>
            </w:r>
          </w:p>
          <w:p w14:paraId="6AF884DA">
            <w:pPr>
              <w:jc w:val="left"/>
              <w:rPr>
                <w:rFonts w:ascii="宋体" w:hAnsi="宋体" w:cs="宋体"/>
              </w:rPr>
            </w:pPr>
            <w:r>
              <w:rPr>
                <w:rFonts w:hint="eastAsia" w:ascii="宋体" w:hAnsi="宋体" w:cs="宋体"/>
              </w:rPr>
              <w:t>　　贷：交易性金融资产——成本、公允价值变动</w:t>
            </w:r>
          </w:p>
          <w:p w14:paraId="00D1B6C3">
            <w:pPr>
              <w:jc w:val="left"/>
              <w:rPr>
                <w:rFonts w:ascii="宋体" w:hAnsi="宋体" w:cs="宋体"/>
              </w:rPr>
            </w:pPr>
            <w:r>
              <w:rPr>
                <w:rFonts w:hint="eastAsia" w:ascii="宋体" w:hAnsi="宋体" w:cs="宋体"/>
              </w:rPr>
              <w:t>　公允价值变动损益（差额，可能在借方）</w:t>
            </w:r>
          </w:p>
        </w:tc>
      </w:tr>
      <w:tr w14:paraId="47291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Pr>
          <w:p w14:paraId="4677D82D">
            <w:pPr>
              <w:jc w:val="left"/>
              <w:rPr>
                <w:rFonts w:ascii="宋体" w:hAnsi="宋体" w:cs="宋体"/>
              </w:rPr>
            </w:pPr>
            <w:r>
              <w:rPr>
                <w:rFonts w:hint="eastAsia" w:ascii="宋体" w:hAnsi="宋体" w:cs="宋体"/>
              </w:rPr>
              <w:t>5.（2—1）其他债权投资转为（3）交易性金融资</w:t>
            </w:r>
          </w:p>
          <w:p w14:paraId="35C1E315">
            <w:pPr>
              <w:jc w:val="left"/>
              <w:rPr>
                <w:rFonts w:ascii="宋体" w:hAnsi="宋体" w:cs="宋体"/>
              </w:rPr>
            </w:pPr>
            <w:r>
              <w:rPr>
                <w:rFonts w:hint="eastAsia" w:ascii="宋体" w:hAnsi="宋体" w:cs="宋体"/>
              </w:rPr>
              <w:t>产（3个）</w:t>
            </w:r>
          </w:p>
        </w:tc>
        <w:tc>
          <w:tcPr>
            <w:tcW w:w="1249" w:type="pct"/>
          </w:tcPr>
          <w:p w14:paraId="6B3B16BF">
            <w:pPr>
              <w:jc w:val="left"/>
              <w:rPr>
                <w:rFonts w:ascii="宋体" w:hAnsi="宋体" w:cs="宋体"/>
              </w:rPr>
            </w:pPr>
            <w:r>
              <w:rPr>
                <w:rFonts w:hint="eastAsia" w:ascii="宋体" w:hAnsi="宋体" w:cs="宋体"/>
              </w:rPr>
              <w:t>（1）账面价值（公允）转公允，有差额</w:t>
            </w:r>
          </w:p>
          <w:p w14:paraId="1C1EAA40">
            <w:pPr>
              <w:jc w:val="left"/>
              <w:rPr>
                <w:rFonts w:ascii="宋体" w:hAnsi="宋体" w:cs="宋体"/>
              </w:rPr>
            </w:pPr>
            <w:r>
              <w:rPr>
                <w:rFonts w:hint="eastAsia" w:ascii="宋体" w:hAnsi="宋体" w:cs="宋体"/>
              </w:rPr>
              <w:t>借：交易性金融资产——成本（重分类日的公允价）</w:t>
            </w:r>
          </w:p>
          <w:p w14:paraId="24C460F1">
            <w:pPr>
              <w:jc w:val="left"/>
              <w:rPr>
                <w:rFonts w:ascii="宋体" w:hAnsi="宋体" w:cs="宋体"/>
              </w:rPr>
            </w:pPr>
            <w:r>
              <w:rPr>
                <w:rFonts w:hint="eastAsia" w:ascii="宋体" w:hAnsi="宋体" w:cs="宋体"/>
              </w:rPr>
              <w:t>　　贷：其他债权投资——成本、利息调整、应计利息</w:t>
            </w:r>
          </w:p>
          <w:p w14:paraId="55BF6089">
            <w:pPr>
              <w:jc w:val="left"/>
              <w:rPr>
                <w:rFonts w:ascii="宋体" w:hAnsi="宋体" w:cs="宋体"/>
              </w:rPr>
            </w:pPr>
            <w:r>
              <w:rPr>
                <w:rFonts w:hint="eastAsia" w:ascii="宋体" w:hAnsi="宋体" w:cs="宋体"/>
              </w:rPr>
              <w:t>　           公允价值变动损益（差额，可能在借方）</w:t>
            </w:r>
          </w:p>
          <w:p w14:paraId="26297A38">
            <w:pPr>
              <w:jc w:val="left"/>
              <w:rPr>
                <w:rFonts w:ascii="宋体" w:hAnsi="宋体" w:cs="宋体"/>
              </w:rPr>
            </w:pPr>
            <w:r>
              <w:rPr>
                <w:rFonts w:hint="eastAsia" w:ascii="宋体" w:hAnsi="宋体" w:cs="宋体"/>
              </w:rPr>
              <w:t>（2）结转公允价值变动</w:t>
            </w:r>
          </w:p>
          <w:p w14:paraId="38C36728">
            <w:pPr>
              <w:jc w:val="left"/>
              <w:rPr>
                <w:rFonts w:ascii="宋体" w:hAnsi="宋体" w:cs="宋体"/>
              </w:rPr>
            </w:pPr>
            <w:r>
              <w:rPr>
                <w:rFonts w:hint="eastAsia" w:ascii="宋体" w:hAnsi="宋体" w:cs="宋体"/>
              </w:rPr>
              <w:t>借：其他综合收益——公允价值变动</w:t>
            </w:r>
          </w:p>
          <w:p w14:paraId="283C52AE">
            <w:pPr>
              <w:jc w:val="left"/>
              <w:rPr>
                <w:rFonts w:ascii="宋体" w:hAnsi="宋体" w:cs="宋体"/>
              </w:rPr>
            </w:pPr>
            <w:r>
              <w:rPr>
                <w:rFonts w:hint="eastAsia" w:ascii="宋体" w:hAnsi="宋体" w:cs="宋体"/>
              </w:rPr>
              <w:t>　　贷：公允价值变动损益</w:t>
            </w:r>
          </w:p>
          <w:p w14:paraId="3EEC02C0">
            <w:pPr>
              <w:jc w:val="left"/>
              <w:rPr>
                <w:rFonts w:ascii="宋体" w:hAnsi="宋体" w:cs="宋体"/>
              </w:rPr>
            </w:pPr>
            <w:r>
              <w:rPr>
                <w:rFonts w:hint="eastAsia" w:ascii="宋体" w:hAnsi="宋体" w:cs="宋体"/>
              </w:rPr>
              <w:t>（3）结转减值准备</w:t>
            </w:r>
          </w:p>
          <w:p w14:paraId="51723599">
            <w:pPr>
              <w:jc w:val="left"/>
              <w:rPr>
                <w:rFonts w:ascii="宋体" w:hAnsi="宋体" w:cs="宋体"/>
              </w:rPr>
            </w:pPr>
            <w:r>
              <w:rPr>
                <w:rFonts w:hint="eastAsia" w:ascii="宋体" w:hAnsi="宋体" w:cs="宋体"/>
              </w:rPr>
              <w:t>借：其他综合收益——信用减值准备</w:t>
            </w:r>
          </w:p>
          <w:p w14:paraId="4C67B41B">
            <w:pPr>
              <w:jc w:val="left"/>
              <w:rPr>
                <w:rFonts w:ascii="宋体" w:hAnsi="宋体" w:cs="宋体"/>
              </w:rPr>
            </w:pPr>
            <w:r>
              <w:rPr>
                <w:rFonts w:hint="eastAsia" w:ascii="宋体" w:hAnsi="宋体" w:cs="宋体"/>
              </w:rPr>
              <w:t>　　贷：公允价值变动损益</w:t>
            </w:r>
          </w:p>
        </w:tc>
        <w:tc>
          <w:tcPr>
            <w:tcW w:w="1251" w:type="pct"/>
          </w:tcPr>
          <w:p w14:paraId="45D24954">
            <w:pPr>
              <w:jc w:val="left"/>
              <w:rPr>
                <w:rFonts w:ascii="宋体" w:hAnsi="宋体" w:cs="宋体"/>
              </w:rPr>
            </w:pPr>
            <w:r>
              <w:rPr>
                <w:rFonts w:hint="eastAsia" w:ascii="宋体" w:hAnsi="宋体" w:cs="宋体"/>
              </w:rPr>
              <w:t>6.（3）</w:t>
            </w:r>
          </w:p>
          <w:p w14:paraId="4671D21C">
            <w:pPr>
              <w:jc w:val="left"/>
              <w:rPr>
                <w:rFonts w:ascii="宋体" w:hAnsi="宋体" w:cs="宋体"/>
              </w:rPr>
            </w:pPr>
            <w:r>
              <w:rPr>
                <w:rFonts w:hint="eastAsia" w:ascii="宋体" w:hAnsi="宋体" w:cs="宋体"/>
              </w:rPr>
              <w:t>交易性金融资产转为（2—</w:t>
            </w:r>
          </w:p>
          <w:p w14:paraId="3978F036">
            <w:pPr>
              <w:jc w:val="left"/>
              <w:rPr>
                <w:rFonts w:ascii="宋体" w:hAnsi="宋体" w:cs="宋体"/>
              </w:rPr>
            </w:pPr>
            <w:r>
              <w:rPr>
                <w:rFonts w:hint="eastAsia" w:ascii="宋体" w:hAnsi="宋体" w:cs="宋体"/>
              </w:rPr>
              <w:t>1）其他债权投资（1个）</w:t>
            </w:r>
          </w:p>
        </w:tc>
        <w:tc>
          <w:tcPr>
            <w:tcW w:w="1251" w:type="pct"/>
          </w:tcPr>
          <w:p w14:paraId="21F4023A">
            <w:pPr>
              <w:jc w:val="left"/>
              <w:rPr>
                <w:rFonts w:ascii="宋体" w:hAnsi="宋体" w:cs="宋体"/>
              </w:rPr>
            </w:pPr>
            <w:r>
              <w:rPr>
                <w:rFonts w:hint="eastAsia" w:ascii="宋体" w:hAnsi="宋体" w:cs="宋体"/>
              </w:rPr>
              <w:t>借：其他债权投资</w:t>
            </w:r>
          </w:p>
          <w:p w14:paraId="6E90D0EE">
            <w:pPr>
              <w:jc w:val="left"/>
              <w:rPr>
                <w:rFonts w:ascii="宋体" w:hAnsi="宋体" w:cs="宋体"/>
              </w:rPr>
            </w:pPr>
            <w:r>
              <w:rPr>
                <w:rFonts w:hint="eastAsia" w:ascii="宋体" w:hAnsi="宋体" w:cs="宋体"/>
              </w:rPr>
              <w:t>　　贷：交易性金融资产</w:t>
            </w:r>
          </w:p>
          <w:p w14:paraId="713B3B9B">
            <w:pPr>
              <w:jc w:val="left"/>
              <w:rPr>
                <w:rFonts w:ascii="宋体" w:hAnsi="宋体" w:cs="宋体"/>
                <w:color w:val="FF0000"/>
              </w:rPr>
            </w:pPr>
            <w:r>
              <w:rPr>
                <w:rFonts w:hint="eastAsia" w:ascii="宋体" w:hAnsi="宋体" w:cs="宋体"/>
                <w:color w:val="FF0000"/>
              </w:rPr>
              <w:t>采用未来适用法。</w:t>
            </w:r>
          </w:p>
          <w:p w14:paraId="5BFC3A23">
            <w:pPr>
              <w:jc w:val="left"/>
              <w:rPr>
                <w:rFonts w:ascii="宋体" w:hAnsi="宋体" w:cs="宋体"/>
              </w:rPr>
            </w:pPr>
            <w:r>
              <w:rPr>
                <w:rFonts w:hint="eastAsia" w:ascii="宋体" w:hAnsi="宋体" w:cs="宋体"/>
              </w:rPr>
              <w:t>不转公允价值变动，即不做分录：</w:t>
            </w:r>
          </w:p>
          <w:p w14:paraId="72733A6F">
            <w:pPr>
              <w:jc w:val="left"/>
              <w:rPr>
                <w:rFonts w:ascii="宋体" w:hAnsi="宋体" w:cs="宋体"/>
              </w:rPr>
            </w:pPr>
            <w:r>
              <w:rPr>
                <w:rFonts w:hint="eastAsia" w:ascii="宋体" w:hAnsi="宋体" w:cs="宋体"/>
              </w:rPr>
              <w:t>借：公允价值变动损益</w:t>
            </w:r>
          </w:p>
          <w:p w14:paraId="1AF798CC">
            <w:pPr>
              <w:jc w:val="left"/>
              <w:rPr>
                <w:rFonts w:ascii="宋体" w:hAnsi="宋体" w:cs="宋体"/>
              </w:rPr>
            </w:pPr>
            <w:r>
              <w:rPr>
                <w:rFonts w:hint="eastAsia" w:ascii="宋体" w:hAnsi="宋体" w:cs="宋体"/>
              </w:rPr>
              <w:t>　　贷：其他综合收益</w:t>
            </w:r>
          </w:p>
        </w:tc>
      </w:tr>
    </w:tbl>
    <w:p w14:paraId="253AFD81">
      <w:pPr>
        <w:jc w:val="left"/>
        <w:rPr>
          <w:rFonts w:ascii="宋体" w:hAnsi="宋体" w:cs="宋体"/>
        </w:rPr>
      </w:pPr>
      <w:r>
        <w:rPr>
          <w:rFonts w:hint="eastAsia" w:ascii="宋体" w:hAnsi="宋体" w:cs="宋体"/>
        </w:rPr>
        <w:t>【考点】★金融负债的后续计量</w:t>
      </w:r>
    </w:p>
    <w:tbl>
      <w:tblPr>
        <w:tblStyle w:val="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5"/>
        <w:gridCol w:w="3479"/>
        <w:gridCol w:w="1597"/>
        <w:gridCol w:w="3325"/>
      </w:tblGrid>
      <w:tr w14:paraId="529E2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2" w:type="pct"/>
            <w:gridSpan w:val="2"/>
          </w:tcPr>
          <w:p w14:paraId="2FF02A95">
            <w:pPr>
              <w:jc w:val="left"/>
              <w:rPr>
                <w:rFonts w:ascii="宋体" w:hAnsi="宋体" w:cs="宋体"/>
              </w:rPr>
            </w:pPr>
            <w:r>
              <w:rPr>
                <w:rFonts w:hint="eastAsia" w:ascii="宋体" w:hAnsi="宋体" w:cs="宋体"/>
              </w:rPr>
              <w:t>1.以公允价值计量且其变动计入当期损益的金融负债，即交易性金融负债</w:t>
            </w:r>
            <w:r>
              <w:rPr>
                <w:rFonts w:hint="eastAsia" w:ascii="宋体" w:hAnsi="宋体" w:cs="宋体"/>
                <w:color w:val="FF0000"/>
              </w:rPr>
              <w:t>（到期只还本金和利息）</w:t>
            </w:r>
          </w:p>
        </w:tc>
        <w:tc>
          <w:tcPr>
            <w:tcW w:w="2428" w:type="pct"/>
            <w:gridSpan w:val="2"/>
          </w:tcPr>
          <w:p w14:paraId="43CF999B">
            <w:pPr>
              <w:jc w:val="left"/>
              <w:rPr>
                <w:rFonts w:ascii="宋体" w:hAnsi="宋体" w:cs="宋体"/>
              </w:rPr>
            </w:pPr>
            <w:r>
              <w:rPr>
                <w:rFonts w:hint="eastAsia" w:ascii="宋体" w:hAnsi="宋体" w:cs="宋体"/>
              </w:rPr>
              <w:t>2.以摊余成本计量的金融负债，即应付债券等</w:t>
            </w:r>
          </w:p>
        </w:tc>
      </w:tr>
      <w:tr w14:paraId="44B4B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pct"/>
          </w:tcPr>
          <w:p w14:paraId="1F02AC83">
            <w:pPr>
              <w:jc w:val="left"/>
              <w:rPr>
                <w:rFonts w:ascii="宋体" w:hAnsi="宋体" w:cs="宋体"/>
              </w:rPr>
            </w:pPr>
            <w:r>
              <w:rPr>
                <w:rFonts w:hint="eastAsia" w:ascii="宋体" w:hAnsi="宋体" w:cs="宋体"/>
              </w:rPr>
              <w:t>（1）发行短期融资券</w:t>
            </w:r>
          </w:p>
        </w:tc>
        <w:tc>
          <w:tcPr>
            <w:tcW w:w="1716" w:type="pct"/>
          </w:tcPr>
          <w:p w14:paraId="2BD153B9">
            <w:pPr>
              <w:jc w:val="left"/>
              <w:rPr>
                <w:rFonts w:ascii="宋体" w:hAnsi="宋体" w:cs="宋体"/>
              </w:rPr>
            </w:pPr>
            <w:r>
              <w:rPr>
                <w:rFonts w:hint="eastAsia" w:ascii="宋体" w:hAnsi="宋体" w:cs="宋体"/>
              </w:rPr>
              <w:t>借：银行存款</w:t>
            </w:r>
          </w:p>
          <w:p w14:paraId="41FF93DE">
            <w:pPr>
              <w:jc w:val="left"/>
              <w:rPr>
                <w:rFonts w:ascii="宋体" w:hAnsi="宋体" w:cs="宋体"/>
              </w:rPr>
            </w:pPr>
            <w:r>
              <w:rPr>
                <w:rFonts w:hint="eastAsia" w:ascii="宋体" w:hAnsi="宋体" w:cs="宋体"/>
              </w:rPr>
              <w:t>　　贷：交易性金融负债——本金</w:t>
            </w:r>
          </w:p>
        </w:tc>
        <w:tc>
          <w:tcPr>
            <w:tcW w:w="788" w:type="pct"/>
          </w:tcPr>
          <w:p w14:paraId="0ACAA467">
            <w:pPr>
              <w:jc w:val="left"/>
              <w:rPr>
                <w:rFonts w:ascii="宋体" w:hAnsi="宋体" w:cs="宋体"/>
              </w:rPr>
            </w:pPr>
            <w:r>
              <w:rPr>
                <w:rFonts w:hint="eastAsia" w:ascii="宋体" w:hAnsi="宋体" w:cs="宋体"/>
              </w:rPr>
              <w:t>（1）发行债券</w:t>
            </w:r>
          </w:p>
        </w:tc>
        <w:tc>
          <w:tcPr>
            <w:tcW w:w="1641" w:type="pct"/>
          </w:tcPr>
          <w:p w14:paraId="2051FA82">
            <w:pPr>
              <w:jc w:val="left"/>
              <w:rPr>
                <w:rFonts w:ascii="宋体" w:hAnsi="宋体" w:cs="宋体"/>
              </w:rPr>
            </w:pPr>
            <w:r>
              <w:rPr>
                <w:rFonts w:hint="eastAsia" w:ascii="宋体" w:hAnsi="宋体" w:cs="宋体"/>
              </w:rPr>
              <w:t>借：银行存款</w:t>
            </w:r>
          </w:p>
          <w:p w14:paraId="1580E2F1">
            <w:pPr>
              <w:jc w:val="left"/>
              <w:rPr>
                <w:rFonts w:ascii="宋体" w:hAnsi="宋体" w:cs="宋体"/>
              </w:rPr>
            </w:pPr>
            <w:r>
              <w:rPr>
                <w:rFonts w:hint="eastAsia" w:ascii="宋体" w:hAnsi="宋体" w:cs="宋体"/>
              </w:rPr>
              <w:t>　　应付债券——利息调整（或在贷方）</w:t>
            </w:r>
          </w:p>
          <w:p w14:paraId="18E8F737">
            <w:pPr>
              <w:jc w:val="left"/>
              <w:rPr>
                <w:rFonts w:ascii="宋体" w:hAnsi="宋体" w:cs="宋体"/>
              </w:rPr>
            </w:pPr>
            <w:r>
              <w:rPr>
                <w:rFonts w:hint="eastAsia" w:ascii="宋体" w:hAnsi="宋体" w:cs="宋体"/>
              </w:rPr>
              <w:t>　　贷：应付债券——面值</w:t>
            </w:r>
          </w:p>
        </w:tc>
      </w:tr>
      <w:tr w14:paraId="648D6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pct"/>
            <w:vMerge w:val="restart"/>
          </w:tcPr>
          <w:p w14:paraId="5B510978">
            <w:pPr>
              <w:jc w:val="left"/>
              <w:rPr>
                <w:rFonts w:ascii="宋体" w:hAnsi="宋体" w:cs="宋体"/>
              </w:rPr>
            </w:pPr>
            <w:r>
              <w:rPr>
                <w:rFonts w:hint="eastAsia" w:ascii="宋体" w:hAnsi="宋体" w:cs="宋体"/>
              </w:rPr>
              <w:t>（2）年末确认公允价值变动和利息费用</w:t>
            </w:r>
          </w:p>
        </w:tc>
        <w:tc>
          <w:tcPr>
            <w:tcW w:w="1716" w:type="pct"/>
          </w:tcPr>
          <w:p w14:paraId="69F223F0">
            <w:pPr>
              <w:jc w:val="left"/>
              <w:rPr>
                <w:rFonts w:ascii="宋体" w:hAnsi="宋体" w:cs="宋体"/>
              </w:rPr>
            </w:pPr>
            <w:r>
              <w:rPr>
                <w:rFonts w:hint="eastAsia" w:ascii="宋体" w:hAnsi="宋体" w:cs="宋体"/>
              </w:rPr>
              <w:t>借：公允价值变动损益</w:t>
            </w:r>
          </w:p>
          <w:p w14:paraId="12B3A0E8">
            <w:pPr>
              <w:jc w:val="left"/>
              <w:rPr>
                <w:rFonts w:ascii="宋体" w:hAnsi="宋体" w:cs="宋体"/>
              </w:rPr>
            </w:pPr>
            <w:r>
              <w:rPr>
                <w:rFonts w:hint="eastAsia" w:ascii="宋体" w:hAnsi="宋体" w:cs="宋体"/>
              </w:rPr>
              <w:t>　　贷：交易性金融负债——公允价值变动</w:t>
            </w:r>
          </w:p>
          <w:p w14:paraId="3A918069">
            <w:pPr>
              <w:jc w:val="left"/>
              <w:rPr>
                <w:rFonts w:ascii="宋体" w:hAnsi="宋体" w:cs="宋体"/>
              </w:rPr>
            </w:pPr>
            <w:r>
              <w:rPr>
                <w:rFonts w:hint="eastAsia" w:ascii="宋体" w:hAnsi="宋体" w:cs="宋体"/>
              </w:rPr>
              <w:t>或相反分录</w:t>
            </w:r>
          </w:p>
        </w:tc>
        <w:tc>
          <w:tcPr>
            <w:tcW w:w="788" w:type="pct"/>
            <w:vMerge w:val="restart"/>
          </w:tcPr>
          <w:p w14:paraId="60FDA677">
            <w:pPr>
              <w:jc w:val="left"/>
              <w:rPr>
                <w:rFonts w:ascii="宋体" w:hAnsi="宋体" w:cs="宋体"/>
              </w:rPr>
            </w:pPr>
            <w:r>
              <w:rPr>
                <w:rFonts w:hint="eastAsia" w:ascii="宋体" w:hAnsi="宋体" w:cs="宋体"/>
              </w:rPr>
              <w:t>（2）年末确认和结转利息</w:t>
            </w:r>
          </w:p>
        </w:tc>
        <w:tc>
          <w:tcPr>
            <w:tcW w:w="1641" w:type="pct"/>
            <w:vMerge w:val="restart"/>
          </w:tcPr>
          <w:p w14:paraId="6F4125BE">
            <w:pPr>
              <w:jc w:val="left"/>
              <w:rPr>
                <w:rFonts w:ascii="宋体" w:hAnsi="宋体" w:cs="宋体"/>
              </w:rPr>
            </w:pPr>
            <w:r>
              <w:rPr>
                <w:rFonts w:hint="eastAsia" w:ascii="宋体" w:hAnsi="宋体" w:cs="宋体"/>
              </w:rPr>
              <w:t>借：在建工程（资本化）</w:t>
            </w:r>
          </w:p>
          <w:p w14:paraId="6DA27FC3">
            <w:pPr>
              <w:jc w:val="left"/>
              <w:rPr>
                <w:rFonts w:ascii="宋体" w:hAnsi="宋体" w:cs="宋体"/>
              </w:rPr>
            </w:pPr>
            <w:r>
              <w:rPr>
                <w:rFonts w:hint="eastAsia" w:ascii="宋体" w:hAnsi="宋体" w:cs="宋体"/>
              </w:rPr>
              <w:t>　　财务费用（费用化）</w:t>
            </w:r>
          </w:p>
          <w:p w14:paraId="621194C2">
            <w:pPr>
              <w:jc w:val="left"/>
              <w:rPr>
                <w:rFonts w:ascii="宋体" w:hAnsi="宋体" w:cs="宋体"/>
              </w:rPr>
            </w:pPr>
            <w:r>
              <w:rPr>
                <w:rFonts w:hint="eastAsia" w:ascii="宋体" w:hAnsi="宋体" w:cs="宋体"/>
              </w:rPr>
              <w:t>　　贷：应付债券——应计利息</w:t>
            </w:r>
          </w:p>
          <w:p w14:paraId="5CD1EA47">
            <w:pPr>
              <w:jc w:val="left"/>
              <w:rPr>
                <w:rFonts w:ascii="宋体" w:hAnsi="宋体" w:cs="宋体"/>
              </w:rPr>
            </w:pPr>
            <w:r>
              <w:rPr>
                <w:rFonts w:hint="eastAsia" w:ascii="宋体" w:hAnsi="宋体" w:cs="宋体"/>
              </w:rPr>
              <w:t>　应付债券——利息调整（或在借方）</w:t>
            </w:r>
          </w:p>
        </w:tc>
      </w:tr>
      <w:tr w14:paraId="27873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pct"/>
            <w:vMerge w:val="continue"/>
          </w:tcPr>
          <w:p w14:paraId="00781D0B">
            <w:pPr>
              <w:jc w:val="left"/>
              <w:rPr>
                <w:rFonts w:ascii="宋体" w:hAnsi="宋体" w:cs="宋体"/>
              </w:rPr>
            </w:pPr>
          </w:p>
        </w:tc>
        <w:tc>
          <w:tcPr>
            <w:tcW w:w="1716" w:type="pct"/>
          </w:tcPr>
          <w:p w14:paraId="4D450904">
            <w:pPr>
              <w:jc w:val="left"/>
              <w:rPr>
                <w:rFonts w:ascii="宋体" w:hAnsi="宋体" w:cs="宋体"/>
              </w:rPr>
            </w:pPr>
            <w:r>
              <w:rPr>
                <w:rFonts w:hint="eastAsia" w:ascii="宋体" w:hAnsi="宋体" w:cs="宋体"/>
              </w:rPr>
              <w:t>借：财务费用</w:t>
            </w:r>
          </w:p>
          <w:p w14:paraId="7842235D">
            <w:pPr>
              <w:jc w:val="left"/>
              <w:rPr>
                <w:rFonts w:ascii="宋体" w:hAnsi="宋体" w:cs="宋体"/>
              </w:rPr>
            </w:pPr>
            <w:r>
              <w:rPr>
                <w:rFonts w:hint="eastAsia" w:ascii="宋体" w:hAnsi="宋体" w:cs="宋体"/>
              </w:rPr>
              <w:t>　　贷：交易性金融负债——应计利息</w:t>
            </w:r>
          </w:p>
        </w:tc>
        <w:tc>
          <w:tcPr>
            <w:tcW w:w="788" w:type="pct"/>
            <w:vMerge w:val="continue"/>
          </w:tcPr>
          <w:p w14:paraId="5F2AE2EB">
            <w:pPr>
              <w:jc w:val="left"/>
              <w:rPr>
                <w:rFonts w:ascii="宋体" w:hAnsi="宋体" w:cs="宋体"/>
              </w:rPr>
            </w:pPr>
          </w:p>
        </w:tc>
        <w:tc>
          <w:tcPr>
            <w:tcW w:w="1641" w:type="pct"/>
            <w:vMerge w:val="continue"/>
          </w:tcPr>
          <w:p w14:paraId="1C47DD9D">
            <w:pPr>
              <w:jc w:val="left"/>
              <w:rPr>
                <w:rFonts w:ascii="宋体" w:hAnsi="宋体" w:cs="宋体"/>
              </w:rPr>
            </w:pPr>
          </w:p>
        </w:tc>
      </w:tr>
    </w:tbl>
    <w:p w14:paraId="4BE37D96">
      <w:pPr>
        <w:jc w:val="left"/>
        <w:rPr>
          <w:rFonts w:ascii="宋体" w:hAnsi="宋体" w:cs="宋体"/>
        </w:rPr>
      </w:pPr>
      <w:r>
        <w:rPr>
          <w:rFonts w:hint="eastAsia" w:ascii="宋体" w:hAnsi="宋体" w:cs="宋体"/>
        </w:rPr>
        <w:t>【考点】★金融负债的后续计量</w:t>
      </w:r>
    </w:p>
    <w:tbl>
      <w:tblPr>
        <w:tblStyle w:val="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32"/>
        <w:gridCol w:w="2534"/>
        <w:gridCol w:w="2534"/>
        <w:gridCol w:w="2536"/>
      </w:tblGrid>
      <w:tr w14:paraId="2341F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gridSpan w:val="2"/>
          </w:tcPr>
          <w:p w14:paraId="718A511B">
            <w:pPr>
              <w:jc w:val="left"/>
              <w:rPr>
                <w:rFonts w:ascii="宋体" w:hAnsi="宋体" w:cs="宋体"/>
              </w:rPr>
            </w:pPr>
            <w:r>
              <w:rPr>
                <w:rFonts w:hint="eastAsia" w:ascii="宋体" w:hAnsi="宋体" w:cs="宋体"/>
              </w:rPr>
              <w:t>1.以公允价值计量且其变动计入当期损益的金融负债，即交易性金融负债</w:t>
            </w:r>
            <w:r>
              <w:rPr>
                <w:rFonts w:hint="eastAsia" w:ascii="宋体" w:hAnsi="宋体" w:cs="宋体"/>
                <w:color w:val="FF0000"/>
              </w:rPr>
              <w:t>（到期只还本金和利息）</w:t>
            </w:r>
          </w:p>
        </w:tc>
        <w:tc>
          <w:tcPr>
            <w:tcW w:w="2501" w:type="pct"/>
            <w:gridSpan w:val="2"/>
          </w:tcPr>
          <w:p w14:paraId="40F7A363">
            <w:pPr>
              <w:jc w:val="left"/>
              <w:rPr>
                <w:rFonts w:ascii="宋体" w:hAnsi="宋体" w:cs="宋体"/>
              </w:rPr>
            </w:pPr>
            <w:r>
              <w:rPr>
                <w:rFonts w:hint="eastAsia" w:ascii="宋体" w:hAnsi="宋体" w:cs="宋体"/>
              </w:rPr>
              <w:t>2.以摊余成本计量的金融负债，即应付债券等</w:t>
            </w:r>
          </w:p>
        </w:tc>
      </w:tr>
      <w:tr w14:paraId="6DF31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vMerge w:val="restart"/>
          </w:tcPr>
          <w:p w14:paraId="6746BA33">
            <w:pPr>
              <w:jc w:val="left"/>
              <w:rPr>
                <w:rFonts w:ascii="宋体" w:hAnsi="宋体" w:cs="宋体"/>
              </w:rPr>
            </w:pPr>
            <w:r>
              <w:rPr>
                <w:rFonts w:hint="eastAsia" w:ascii="宋体" w:hAnsi="宋体" w:cs="宋体"/>
              </w:rPr>
              <w:t>（3）短期融资券到期日归还本金和利息</w:t>
            </w:r>
          </w:p>
        </w:tc>
        <w:tc>
          <w:tcPr>
            <w:tcW w:w="1250" w:type="pct"/>
          </w:tcPr>
          <w:p w14:paraId="4C5C6E3E">
            <w:pPr>
              <w:jc w:val="left"/>
              <w:rPr>
                <w:rFonts w:ascii="宋体" w:hAnsi="宋体" w:cs="宋体"/>
              </w:rPr>
            </w:pPr>
            <w:r>
              <w:rPr>
                <w:rFonts w:hint="eastAsia" w:ascii="宋体" w:hAnsi="宋体" w:cs="宋体"/>
              </w:rPr>
              <w:t>借：财务费用</w:t>
            </w:r>
          </w:p>
          <w:p w14:paraId="213CDFB6">
            <w:pPr>
              <w:jc w:val="left"/>
              <w:rPr>
                <w:rFonts w:ascii="宋体" w:hAnsi="宋体" w:cs="宋体"/>
              </w:rPr>
            </w:pPr>
            <w:r>
              <w:rPr>
                <w:rFonts w:hint="eastAsia" w:ascii="宋体" w:hAnsi="宋体" w:cs="宋体"/>
              </w:rPr>
              <w:t>　　贷：交易性金融负债——应计利息</w:t>
            </w:r>
          </w:p>
        </w:tc>
        <w:tc>
          <w:tcPr>
            <w:tcW w:w="1250" w:type="pct"/>
          </w:tcPr>
          <w:p w14:paraId="48F160EE">
            <w:pPr>
              <w:jc w:val="left"/>
              <w:rPr>
                <w:rFonts w:ascii="宋体" w:hAnsi="宋体" w:cs="宋体"/>
              </w:rPr>
            </w:pPr>
            <w:r>
              <w:rPr>
                <w:rFonts w:hint="eastAsia" w:ascii="宋体" w:hAnsi="宋体" w:cs="宋体"/>
              </w:rPr>
              <w:t>（3）支付利息</w:t>
            </w:r>
          </w:p>
        </w:tc>
        <w:tc>
          <w:tcPr>
            <w:tcW w:w="1250" w:type="pct"/>
          </w:tcPr>
          <w:p w14:paraId="4281D08B">
            <w:pPr>
              <w:jc w:val="left"/>
              <w:rPr>
                <w:rFonts w:ascii="宋体" w:hAnsi="宋体" w:cs="宋体"/>
              </w:rPr>
            </w:pPr>
            <w:r>
              <w:rPr>
                <w:rFonts w:hint="eastAsia" w:ascii="宋体" w:hAnsi="宋体" w:cs="宋体"/>
              </w:rPr>
              <w:t>借：应付债券——应计利息</w:t>
            </w:r>
          </w:p>
          <w:p w14:paraId="3DCACAEF">
            <w:pPr>
              <w:jc w:val="left"/>
              <w:rPr>
                <w:rFonts w:ascii="宋体" w:hAnsi="宋体" w:cs="宋体"/>
              </w:rPr>
            </w:pPr>
            <w:r>
              <w:rPr>
                <w:rFonts w:hint="eastAsia" w:ascii="宋体" w:hAnsi="宋体" w:cs="宋体"/>
              </w:rPr>
              <w:t>　　贷：银行存款</w:t>
            </w:r>
          </w:p>
        </w:tc>
      </w:tr>
      <w:tr w14:paraId="29863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vMerge w:val="continue"/>
          </w:tcPr>
          <w:p w14:paraId="10501659">
            <w:pPr>
              <w:jc w:val="left"/>
              <w:rPr>
                <w:rFonts w:ascii="宋体" w:hAnsi="宋体" w:cs="宋体"/>
              </w:rPr>
            </w:pPr>
          </w:p>
        </w:tc>
        <w:tc>
          <w:tcPr>
            <w:tcW w:w="1250" w:type="pct"/>
          </w:tcPr>
          <w:p w14:paraId="0AA61055">
            <w:pPr>
              <w:jc w:val="left"/>
              <w:rPr>
                <w:rFonts w:ascii="宋体" w:hAnsi="宋体" w:cs="宋体"/>
              </w:rPr>
            </w:pPr>
            <w:r>
              <w:rPr>
                <w:rFonts w:hint="eastAsia" w:ascii="宋体" w:hAnsi="宋体" w:cs="宋体"/>
              </w:rPr>
              <w:t>借：交易性金融负债——本金</w:t>
            </w:r>
          </w:p>
          <w:p w14:paraId="6E5B6C3E">
            <w:pPr>
              <w:jc w:val="left"/>
              <w:rPr>
                <w:rFonts w:ascii="宋体" w:hAnsi="宋体" w:cs="宋体"/>
              </w:rPr>
            </w:pPr>
            <w:r>
              <w:rPr>
                <w:rFonts w:hint="eastAsia" w:ascii="宋体" w:hAnsi="宋体" w:cs="宋体"/>
              </w:rPr>
              <w:t>　　                        ——公允价值变动</w:t>
            </w:r>
          </w:p>
          <w:p w14:paraId="6D0DF260">
            <w:pPr>
              <w:jc w:val="left"/>
              <w:rPr>
                <w:rFonts w:ascii="宋体" w:hAnsi="宋体" w:cs="宋体"/>
              </w:rPr>
            </w:pPr>
            <w:r>
              <w:rPr>
                <w:rFonts w:hint="eastAsia" w:ascii="宋体" w:hAnsi="宋体" w:cs="宋体"/>
              </w:rPr>
              <w:t xml:space="preserve">                              ——应计利息</w:t>
            </w:r>
          </w:p>
          <w:p w14:paraId="0B5EF7A1">
            <w:pPr>
              <w:jc w:val="left"/>
              <w:rPr>
                <w:rFonts w:ascii="宋体" w:hAnsi="宋体" w:cs="宋体"/>
              </w:rPr>
            </w:pPr>
            <w:r>
              <w:rPr>
                <w:rFonts w:hint="eastAsia" w:ascii="宋体" w:hAnsi="宋体" w:cs="宋体"/>
              </w:rPr>
              <w:t>　　贷：银行存款</w:t>
            </w:r>
          </w:p>
          <w:p w14:paraId="51429DDC">
            <w:pPr>
              <w:jc w:val="left"/>
              <w:rPr>
                <w:rFonts w:ascii="宋体" w:hAnsi="宋体" w:cs="宋体"/>
              </w:rPr>
            </w:pPr>
            <w:r>
              <w:rPr>
                <w:rFonts w:hint="eastAsia" w:ascii="宋体" w:hAnsi="宋体" w:cs="宋体"/>
              </w:rPr>
              <w:t xml:space="preserve">        </w:t>
            </w:r>
            <w:r>
              <w:rPr>
                <w:rFonts w:hint="eastAsia" w:ascii="宋体" w:hAnsi="宋体" w:cs="宋体"/>
                <w:color w:val="FF0000"/>
              </w:rPr>
              <w:t>投资收益</w:t>
            </w:r>
          </w:p>
        </w:tc>
        <w:tc>
          <w:tcPr>
            <w:tcW w:w="1250" w:type="pct"/>
          </w:tcPr>
          <w:p w14:paraId="4CC145AF">
            <w:pPr>
              <w:jc w:val="left"/>
              <w:rPr>
                <w:rFonts w:ascii="宋体" w:hAnsi="宋体" w:cs="宋体"/>
              </w:rPr>
            </w:pPr>
            <w:r>
              <w:rPr>
                <w:rFonts w:hint="eastAsia" w:ascii="宋体" w:hAnsi="宋体" w:cs="宋体"/>
              </w:rPr>
              <w:t>（4）债券到期兑付</w:t>
            </w:r>
          </w:p>
        </w:tc>
        <w:tc>
          <w:tcPr>
            <w:tcW w:w="1250" w:type="pct"/>
          </w:tcPr>
          <w:p w14:paraId="59A2184F">
            <w:pPr>
              <w:jc w:val="left"/>
              <w:rPr>
                <w:rFonts w:ascii="宋体" w:hAnsi="宋体" w:cs="宋体"/>
              </w:rPr>
            </w:pPr>
            <w:r>
              <w:rPr>
                <w:rFonts w:hint="eastAsia" w:ascii="宋体" w:hAnsi="宋体" w:cs="宋体"/>
              </w:rPr>
              <w:t>借：应付债券——面值</w:t>
            </w:r>
          </w:p>
          <w:p w14:paraId="611C98CB">
            <w:pPr>
              <w:jc w:val="left"/>
              <w:rPr>
                <w:rFonts w:ascii="宋体" w:hAnsi="宋体" w:cs="宋体"/>
              </w:rPr>
            </w:pPr>
            <w:r>
              <w:rPr>
                <w:rFonts w:hint="eastAsia" w:ascii="宋体" w:hAnsi="宋体" w:cs="宋体"/>
              </w:rPr>
              <w:t>　　贷：银行存款</w:t>
            </w:r>
          </w:p>
        </w:tc>
      </w:tr>
    </w:tbl>
    <w:p w14:paraId="2C616C94">
      <w:pPr>
        <w:jc w:val="left"/>
        <w:rPr>
          <w:rFonts w:ascii="宋体" w:hAnsi="宋体" w:cs="宋体"/>
        </w:rPr>
      </w:pPr>
    </w:p>
    <w:p w14:paraId="4B086DBB">
      <w:pPr>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left="0" w:firstLine="0"/>
        <w:textAlignment w:val="auto"/>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第九章  职工薪酬</w:t>
      </w:r>
      <w:r>
        <w:rPr>
          <w:rFonts w:hint="eastAsia" w:ascii="宋体" w:hAnsi="宋体" w:cs="宋体"/>
          <w:b/>
          <w:color w:val="auto"/>
          <w:sz w:val="21"/>
          <w:szCs w:val="21"/>
          <w:lang w:val="en-US" w:eastAsia="zh-CN"/>
        </w:rPr>
        <w:t xml:space="preserve">  </w:t>
      </w:r>
      <w:r>
        <w:rPr>
          <w:rFonts w:hint="eastAsia" w:ascii="宋体" w:hAnsi="宋体" w:eastAsia="宋体" w:cs="宋体"/>
          <w:b/>
          <w:color w:val="auto"/>
          <w:sz w:val="21"/>
          <w:szCs w:val="21"/>
        </w:rPr>
        <w:br w:type="textWrapping"/>
      </w:r>
    </w:p>
    <w:p w14:paraId="19316107">
      <w:pPr>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left="0" w:firstLine="0"/>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预计2025</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考核客观题和主观题</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分值为2-4分。</w:t>
      </w:r>
    </w:p>
    <w:p w14:paraId="59CD4344">
      <w:pPr>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left="0" w:firstLine="0"/>
        <w:textAlignment w:val="auto"/>
        <w:outlineLvl w:val="9"/>
        <w:rPr>
          <w:rFonts w:hint="eastAsia" w:ascii="宋体" w:hAnsi="宋体" w:eastAsia="宋体" w:cs="宋体"/>
          <w:color w:val="FF0000"/>
          <w:sz w:val="21"/>
          <w:szCs w:val="21"/>
          <w:lang w:eastAsia="zh-CN"/>
        </w:rPr>
      </w:pPr>
      <w:r>
        <w:rPr>
          <w:rFonts w:hint="eastAsia" w:ascii="宋体" w:hAnsi="宋体" w:eastAsia="宋体" w:cs="宋体"/>
          <w:color w:val="FF0000"/>
          <w:sz w:val="21"/>
          <w:szCs w:val="21"/>
          <w:lang w:eastAsia="zh-CN"/>
        </w:rPr>
        <w:t>【知识点】职工薪酬的内容</w:t>
      </w:r>
    </w:p>
    <w:p w14:paraId="0A68CF8A">
      <w:pPr>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left="0" w:firstLine="0"/>
        <w:textAlignment w:val="auto"/>
        <w:outlineLvl w:val="9"/>
        <w:rPr>
          <w:rFonts w:hint="eastAsia" w:ascii="宋体" w:hAnsi="宋体" w:eastAsia="宋体" w:cs="宋体"/>
          <w:color w:val="FFFF00"/>
          <w:sz w:val="21"/>
          <w:szCs w:val="21"/>
          <w:lang w:val="en-US" w:eastAsia="zh-CN"/>
        </w:rPr>
      </w:pPr>
      <w:r>
        <w:rPr>
          <w:rFonts w:hint="eastAsia" w:ascii="宋体" w:hAnsi="宋体" w:eastAsia="宋体" w:cs="宋体"/>
          <w:color w:val="FF0000"/>
          <w:sz w:val="21"/>
          <w:szCs w:val="21"/>
        </w:rPr>
        <w:t>（</w:t>
      </w:r>
      <w:r>
        <w:rPr>
          <w:rFonts w:hint="eastAsia" w:ascii="宋体" w:hAnsi="宋体" w:eastAsia="宋体" w:cs="宋体"/>
          <w:color w:val="FF0000"/>
          <w:sz w:val="21"/>
          <w:szCs w:val="21"/>
          <w:lang w:eastAsia="zh-CN"/>
        </w:rPr>
        <w:t>一</w:t>
      </w:r>
      <w:r>
        <w:rPr>
          <w:rFonts w:hint="eastAsia" w:ascii="宋体" w:hAnsi="宋体" w:eastAsia="宋体" w:cs="宋体"/>
          <w:color w:val="FF0000"/>
          <w:sz w:val="21"/>
          <w:szCs w:val="21"/>
        </w:rPr>
        <w:t>）</w:t>
      </w:r>
      <w:r>
        <w:rPr>
          <w:rFonts w:hint="eastAsia" w:ascii="宋体" w:hAnsi="宋体" w:eastAsia="宋体" w:cs="宋体"/>
          <w:color w:val="FF0000"/>
          <w:sz w:val="21"/>
          <w:szCs w:val="21"/>
          <w:lang w:eastAsia="zh-CN"/>
        </w:rPr>
        <w:t>短期薪酬</w:t>
      </w:r>
    </w:p>
    <w:p w14:paraId="7B3FA88F">
      <w:pPr>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left="0" w:firstLine="0"/>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职工工资、奖金、津贴和补贴</w:t>
      </w:r>
      <w:r>
        <w:rPr>
          <w:rFonts w:hint="eastAsia" w:ascii="宋体" w:hAnsi="宋体" w:eastAsia="宋体" w:cs="宋体"/>
          <w:color w:val="auto"/>
          <w:sz w:val="21"/>
          <w:szCs w:val="21"/>
        </w:rPr>
        <w:t>；</w:t>
      </w:r>
    </w:p>
    <w:p w14:paraId="287CD5B7">
      <w:pPr>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left="0" w:firstLine="0"/>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职工福利费</w:t>
      </w:r>
      <w:r>
        <w:rPr>
          <w:rFonts w:hint="eastAsia" w:ascii="宋体" w:hAnsi="宋体" w:eastAsia="宋体" w:cs="宋体"/>
          <w:color w:val="auto"/>
          <w:sz w:val="21"/>
          <w:szCs w:val="21"/>
        </w:rPr>
        <w:t>；</w:t>
      </w:r>
    </w:p>
    <w:p w14:paraId="5B9F496D">
      <w:pPr>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left="0" w:firstLine="0"/>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医疗保险费、工伤保险费和生育保险费等社会保险费</w:t>
      </w:r>
      <w:r>
        <w:rPr>
          <w:rFonts w:hint="eastAsia" w:ascii="宋体" w:hAnsi="宋体" w:eastAsia="宋体" w:cs="宋体"/>
          <w:color w:val="auto"/>
          <w:sz w:val="21"/>
          <w:szCs w:val="21"/>
        </w:rPr>
        <w:t>；</w:t>
      </w:r>
    </w:p>
    <w:p w14:paraId="2F139D04">
      <w:pPr>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left="0" w:firstLine="0"/>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住房公积金</w:t>
      </w:r>
      <w:r>
        <w:rPr>
          <w:rFonts w:hint="eastAsia" w:ascii="宋体" w:hAnsi="宋体" w:eastAsia="宋体" w:cs="宋体"/>
          <w:color w:val="auto"/>
          <w:sz w:val="21"/>
          <w:szCs w:val="21"/>
        </w:rPr>
        <w:t>；</w:t>
      </w:r>
    </w:p>
    <w:p w14:paraId="55D0CBC3">
      <w:pPr>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left="0" w:firstLine="0"/>
        <w:textAlignment w:val="auto"/>
        <w:outlineLvl w:val="9"/>
        <w:rPr>
          <w:rFonts w:hint="eastAsia" w:ascii="宋体" w:hAnsi="宋体" w:eastAsia="宋体" w:cs="宋体"/>
          <w:color w:val="FFFFFF"/>
          <w:sz w:val="21"/>
          <w:szCs w:val="21"/>
          <w:lang w:val="en-US" w:eastAsia="zh-CN"/>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工会经费和职工教育经费</w:t>
      </w:r>
      <w:r>
        <w:rPr>
          <w:rFonts w:hint="eastAsia" w:ascii="宋体" w:hAnsi="宋体" w:eastAsia="宋体" w:cs="宋体"/>
          <w:color w:val="auto"/>
          <w:sz w:val="21"/>
          <w:szCs w:val="21"/>
        </w:rPr>
        <w:t>；</w:t>
      </w:r>
    </w:p>
    <w:p w14:paraId="34623F9A">
      <w:pPr>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left="0" w:firstLine="0"/>
        <w:textAlignment w:val="auto"/>
        <w:outlineLvl w:val="9"/>
        <w:rPr>
          <w:rFonts w:hint="eastAsia" w:ascii="宋体" w:hAnsi="宋体" w:eastAsia="宋体" w:cs="宋体"/>
          <w:color w:val="FFFFFF"/>
          <w:sz w:val="21"/>
          <w:szCs w:val="21"/>
          <w:lang w:val="en-US" w:eastAsia="zh-CN"/>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短期带薪缺勤</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包括年休假、病假、短期伤残、婚假、产假、丧假、探亲假等</w:t>
      </w:r>
      <w:r>
        <w:rPr>
          <w:rFonts w:hint="eastAsia" w:ascii="宋体" w:hAnsi="宋体" w:eastAsia="宋体" w:cs="宋体"/>
          <w:color w:val="auto"/>
          <w:sz w:val="21"/>
          <w:szCs w:val="21"/>
        </w:rPr>
        <w:t>；</w:t>
      </w:r>
    </w:p>
    <w:p w14:paraId="17AB9DCD">
      <w:pPr>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left="0" w:firstLine="0"/>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短期利润分享计划</w:t>
      </w:r>
      <w:r>
        <w:rPr>
          <w:rFonts w:hint="eastAsia" w:ascii="宋体" w:hAnsi="宋体" w:eastAsia="宋体" w:cs="宋体"/>
          <w:color w:val="auto"/>
          <w:sz w:val="21"/>
          <w:szCs w:val="21"/>
        </w:rPr>
        <w:t>；</w:t>
      </w:r>
    </w:p>
    <w:p w14:paraId="27A9F061">
      <w:pPr>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left="0" w:firstLine="0"/>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非货币性福利</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 xml:space="preserve"> </w:t>
      </w:r>
    </w:p>
    <w:p w14:paraId="44866E30">
      <w:pPr>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left="0" w:firstLine="0"/>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其他短期薪酬。</w:t>
      </w:r>
    </w:p>
    <w:p w14:paraId="77065F56">
      <w:pPr>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left="0" w:firstLine="0"/>
        <w:textAlignment w:val="auto"/>
        <w:outlineLvl w:val="9"/>
        <w:rPr>
          <w:rFonts w:hint="eastAsia" w:ascii="宋体" w:hAnsi="宋体" w:eastAsia="宋体" w:cs="宋体"/>
          <w:color w:val="FFFFFF"/>
          <w:sz w:val="21"/>
          <w:szCs w:val="21"/>
          <w:lang w:val="en-US" w:eastAsia="zh-CN"/>
        </w:rPr>
      </w:pPr>
      <w:r>
        <w:rPr>
          <w:rFonts w:hint="eastAsia" w:ascii="宋体" w:hAnsi="宋体" w:eastAsia="宋体" w:cs="宋体"/>
          <w:color w:val="FF0000"/>
          <w:sz w:val="21"/>
          <w:szCs w:val="21"/>
        </w:rPr>
        <w:t>（</w:t>
      </w:r>
      <w:r>
        <w:rPr>
          <w:rFonts w:hint="eastAsia" w:ascii="宋体" w:hAnsi="宋体" w:eastAsia="宋体" w:cs="宋体"/>
          <w:color w:val="FF0000"/>
          <w:sz w:val="21"/>
          <w:szCs w:val="21"/>
          <w:lang w:eastAsia="zh-CN"/>
        </w:rPr>
        <w:t>二</w:t>
      </w:r>
      <w:r>
        <w:rPr>
          <w:rFonts w:hint="eastAsia" w:ascii="宋体" w:hAnsi="宋体" w:eastAsia="宋体" w:cs="宋体"/>
          <w:color w:val="FF0000"/>
          <w:sz w:val="21"/>
          <w:szCs w:val="21"/>
        </w:rPr>
        <w:t>）</w:t>
      </w:r>
      <w:r>
        <w:rPr>
          <w:rFonts w:hint="eastAsia" w:ascii="宋体" w:hAnsi="宋体" w:eastAsia="宋体" w:cs="宋体"/>
          <w:color w:val="FF0000"/>
          <w:sz w:val="21"/>
          <w:szCs w:val="21"/>
          <w:lang w:eastAsia="zh-CN"/>
        </w:rPr>
        <w:t>离职后福利</w:t>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rPr>
        <w:t>　　</w:t>
      </w:r>
      <w:r>
        <w:rPr>
          <w:rFonts w:hint="eastAsia" w:ascii="宋体" w:hAnsi="宋体" w:eastAsia="宋体" w:cs="宋体"/>
          <w:color w:val="auto"/>
          <w:sz w:val="21"/>
          <w:szCs w:val="21"/>
          <w:lang w:eastAsia="zh-CN"/>
        </w:rPr>
        <w:t>离职后福利计划按其特征可以分为设定提存计划和设定受益计划。</w:t>
      </w:r>
    </w:p>
    <w:p w14:paraId="4982531D">
      <w:pPr>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left="0" w:firstLine="0"/>
        <w:textAlignment w:val="auto"/>
        <w:outlineLvl w:val="9"/>
        <w:rPr>
          <w:rFonts w:hint="eastAsia" w:ascii="宋体" w:hAnsi="宋体" w:eastAsia="宋体" w:cs="宋体"/>
          <w:color w:val="FF0000"/>
          <w:sz w:val="21"/>
          <w:szCs w:val="21"/>
          <w:lang w:eastAsia="zh-CN"/>
        </w:rPr>
      </w:pPr>
      <w:r>
        <w:rPr>
          <w:rFonts w:hint="eastAsia" w:ascii="宋体" w:hAnsi="宋体" w:eastAsia="宋体" w:cs="宋体"/>
          <w:color w:val="FF0000"/>
          <w:sz w:val="21"/>
          <w:szCs w:val="21"/>
        </w:rPr>
        <w:t>（</w:t>
      </w:r>
      <w:r>
        <w:rPr>
          <w:rFonts w:hint="eastAsia" w:ascii="宋体" w:hAnsi="宋体" w:eastAsia="宋体" w:cs="宋体"/>
          <w:color w:val="FF0000"/>
          <w:sz w:val="21"/>
          <w:szCs w:val="21"/>
          <w:lang w:eastAsia="zh-CN"/>
        </w:rPr>
        <w:t>三</w:t>
      </w:r>
      <w:r>
        <w:rPr>
          <w:rFonts w:hint="eastAsia" w:ascii="宋体" w:hAnsi="宋体" w:eastAsia="宋体" w:cs="宋体"/>
          <w:color w:val="FF0000"/>
          <w:sz w:val="21"/>
          <w:szCs w:val="21"/>
        </w:rPr>
        <w:t>）</w:t>
      </w:r>
      <w:r>
        <w:rPr>
          <w:rFonts w:hint="eastAsia" w:ascii="宋体" w:hAnsi="宋体" w:eastAsia="宋体" w:cs="宋体"/>
          <w:color w:val="FF0000"/>
          <w:sz w:val="21"/>
          <w:szCs w:val="21"/>
          <w:lang w:eastAsia="zh-CN"/>
        </w:rPr>
        <w:t>辞退福利</w:t>
      </w:r>
    </w:p>
    <w:p w14:paraId="66D2E1D8">
      <w:pPr>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left="0" w:firstLine="0"/>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四</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其他长期职工福利包括长期带薪缺勤、长期残疾福利、长期利润分享计划等。</w:t>
      </w:r>
    </w:p>
    <w:p w14:paraId="755E066F">
      <w:pPr>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left="0" w:firstLine="0"/>
        <w:textAlignment w:val="auto"/>
        <w:outlineLvl w:val="9"/>
        <w:rPr>
          <w:rFonts w:hint="eastAsia" w:ascii="宋体" w:hAnsi="宋体" w:eastAsia="宋体" w:cs="宋体"/>
          <w:color w:val="FF0000"/>
          <w:sz w:val="21"/>
          <w:szCs w:val="21"/>
          <w:lang w:eastAsia="zh-CN"/>
        </w:rPr>
      </w:pPr>
      <w:r>
        <w:rPr>
          <w:rFonts w:hint="eastAsia" w:ascii="宋体" w:hAnsi="宋体" w:eastAsia="宋体" w:cs="宋体"/>
          <w:color w:val="FF0000"/>
          <w:sz w:val="21"/>
          <w:szCs w:val="21"/>
          <w:lang w:eastAsia="zh-CN"/>
        </w:rPr>
        <w:t>【知识点】一般短期薪酬的确认和计量</w:t>
      </w:r>
    </w:p>
    <w:p w14:paraId="4392C5D9">
      <w:pPr>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left="0" w:firstLine="0"/>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FF0000"/>
          <w:sz w:val="21"/>
          <w:szCs w:val="21"/>
        </w:rPr>
        <w:t>（</w:t>
      </w:r>
      <w:r>
        <w:rPr>
          <w:rFonts w:hint="eastAsia" w:ascii="宋体" w:hAnsi="宋体" w:eastAsia="宋体" w:cs="宋体"/>
          <w:color w:val="FF0000"/>
          <w:sz w:val="21"/>
          <w:szCs w:val="21"/>
          <w:lang w:eastAsia="zh-CN"/>
        </w:rPr>
        <w:t>一</w:t>
      </w:r>
      <w:r>
        <w:rPr>
          <w:rFonts w:hint="eastAsia" w:ascii="宋体" w:hAnsi="宋体" w:eastAsia="宋体" w:cs="宋体"/>
          <w:color w:val="FF0000"/>
          <w:sz w:val="21"/>
          <w:szCs w:val="21"/>
        </w:rPr>
        <w:t>）</w:t>
      </w:r>
      <w:r>
        <w:rPr>
          <w:rFonts w:hint="eastAsia" w:ascii="宋体" w:hAnsi="宋体" w:eastAsia="宋体" w:cs="宋体"/>
          <w:color w:val="FF0000"/>
          <w:sz w:val="21"/>
          <w:szCs w:val="21"/>
          <w:lang w:eastAsia="zh-CN"/>
        </w:rPr>
        <w:t>货币性</w:t>
      </w:r>
      <w:r>
        <w:rPr>
          <w:rFonts w:hint="eastAsia" w:ascii="宋体" w:hAnsi="宋体" w:eastAsia="宋体" w:cs="宋体"/>
          <w:color w:val="auto"/>
          <w:sz w:val="21"/>
          <w:szCs w:val="21"/>
          <w:lang w:eastAsia="zh-CN"/>
        </w:rPr>
        <w:t>短期薪酬</w:t>
      </w:r>
      <w:r>
        <w:rPr>
          <w:rFonts w:hint="eastAsia" w:ascii="宋体" w:hAnsi="宋体" w:eastAsia="宋体" w:cs="宋体"/>
          <w:color w:val="auto"/>
          <w:sz w:val="21"/>
          <w:szCs w:val="21"/>
        </w:rPr>
        <w:t>（</w:t>
      </w:r>
      <w:r>
        <w:rPr>
          <w:rFonts w:hint="eastAsia" w:ascii="宋体" w:hAnsi="宋体" w:eastAsia="宋体" w:cs="宋体"/>
          <w:color w:val="FF0000"/>
          <w:sz w:val="21"/>
          <w:szCs w:val="21"/>
          <w:lang w:eastAsia="zh-CN"/>
        </w:rPr>
        <w:t>工资、两险一金、三项经费</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不包括</w:t>
      </w:r>
      <w:r>
        <w:rPr>
          <w:rFonts w:hint="eastAsia" w:ascii="宋体" w:hAnsi="宋体" w:eastAsia="宋体" w:cs="宋体"/>
          <w:color w:val="FF0000"/>
          <w:sz w:val="21"/>
          <w:szCs w:val="21"/>
          <w:lang w:eastAsia="zh-CN"/>
        </w:rPr>
        <w:t>养老保险</w:t>
      </w:r>
      <w:r>
        <w:rPr>
          <w:rFonts w:hint="eastAsia" w:ascii="宋体" w:hAnsi="宋体" w:eastAsia="宋体" w:cs="宋体"/>
          <w:color w:val="auto"/>
          <w:sz w:val="21"/>
          <w:szCs w:val="21"/>
          <w:lang w:eastAsia="zh-CN"/>
        </w:rPr>
        <w:t>和</w:t>
      </w:r>
      <w:r>
        <w:rPr>
          <w:rFonts w:hint="eastAsia" w:ascii="宋体" w:hAnsi="宋体" w:eastAsia="宋体" w:cs="宋体"/>
          <w:color w:val="FF0000"/>
          <w:sz w:val="21"/>
          <w:szCs w:val="21"/>
          <w:lang w:eastAsia="zh-CN"/>
        </w:rPr>
        <w:t>失业保险</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属于</w:t>
      </w:r>
      <w:r>
        <w:rPr>
          <w:rFonts w:hint="eastAsia" w:ascii="宋体" w:hAnsi="宋体" w:eastAsia="宋体" w:cs="宋体"/>
          <w:color w:val="FF0000"/>
          <w:sz w:val="21"/>
          <w:szCs w:val="21"/>
          <w:lang w:eastAsia="zh-CN"/>
        </w:rPr>
        <w:t>离职后福利</w:t>
      </w:r>
      <w:r>
        <w:rPr>
          <w:rFonts w:hint="eastAsia" w:ascii="宋体" w:hAnsi="宋体" w:eastAsia="宋体" w:cs="宋体"/>
          <w:color w:val="auto"/>
          <w:sz w:val="21"/>
          <w:szCs w:val="21"/>
        </w:rPr>
        <w:t>）</w:t>
      </w:r>
    </w:p>
    <w:p w14:paraId="5D7391A4">
      <w:pPr>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left="0" w:firstLine="0"/>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借</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生产成本</w:t>
      </w:r>
      <w:r>
        <w:rPr>
          <w:rFonts w:hint="eastAsia" w:ascii="宋体" w:hAnsi="宋体" w:eastAsia="宋体" w:cs="宋体"/>
          <w:color w:val="auto"/>
          <w:sz w:val="21"/>
          <w:szCs w:val="21"/>
        </w:rPr>
        <w:t>（</w:t>
      </w:r>
      <w:r>
        <w:rPr>
          <w:rFonts w:hint="eastAsia" w:ascii="宋体" w:hAnsi="宋体" w:eastAsia="宋体" w:cs="宋体"/>
          <w:color w:val="FF0000"/>
          <w:sz w:val="21"/>
          <w:szCs w:val="21"/>
          <w:lang w:eastAsia="zh-CN"/>
        </w:rPr>
        <w:t>生产工人</w:t>
      </w:r>
      <w:r>
        <w:rPr>
          <w:rFonts w:hint="eastAsia" w:ascii="宋体" w:hAnsi="宋体" w:eastAsia="宋体" w:cs="宋体"/>
          <w:color w:val="auto"/>
          <w:sz w:val="21"/>
          <w:szCs w:val="21"/>
        </w:rPr>
        <w:t>）</w:t>
      </w:r>
    </w:p>
    <w:p w14:paraId="405C8B52">
      <w:pPr>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left="0" w:firstLine="0"/>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制造费用</w:t>
      </w:r>
      <w:r>
        <w:rPr>
          <w:rFonts w:hint="eastAsia" w:ascii="宋体" w:hAnsi="宋体" w:eastAsia="宋体" w:cs="宋体"/>
          <w:color w:val="auto"/>
          <w:sz w:val="21"/>
          <w:szCs w:val="21"/>
        </w:rPr>
        <w:t>（</w:t>
      </w:r>
      <w:r>
        <w:rPr>
          <w:rFonts w:hint="eastAsia" w:ascii="宋体" w:hAnsi="宋体" w:eastAsia="宋体" w:cs="宋体"/>
          <w:color w:val="FF0000"/>
          <w:sz w:val="21"/>
          <w:szCs w:val="21"/>
          <w:lang w:eastAsia="zh-CN"/>
        </w:rPr>
        <w:t>车间管理人员</w:t>
      </w:r>
      <w:r>
        <w:rPr>
          <w:rFonts w:hint="eastAsia" w:ascii="宋体" w:hAnsi="宋体" w:eastAsia="宋体" w:cs="宋体"/>
          <w:color w:val="auto"/>
          <w:sz w:val="21"/>
          <w:szCs w:val="21"/>
        </w:rPr>
        <w:t>）</w:t>
      </w:r>
    </w:p>
    <w:p w14:paraId="6926AD42">
      <w:pPr>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left="0" w:firstLine="0"/>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管理费用</w:t>
      </w:r>
      <w:r>
        <w:rPr>
          <w:rFonts w:hint="eastAsia" w:ascii="宋体" w:hAnsi="宋体" w:eastAsia="宋体" w:cs="宋体"/>
          <w:color w:val="auto"/>
          <w:sz w:val="21"/>
          <w:szCs w:val="21"/>
        </w:rPr>
        <w:t>（</w:t>
      </w:r>
      <w:r>
        <w:rPr>
          <w:rFonts w:hint="eastAsia" w:ascii="宋体" w:hAnsi="宋体" w:eastAsia="宋体" w:cs="宋体"/>
          <w:color w:val="FF0000"/>
          <w:sz w:val="21"/>
          <w:szCs w:val="21"/>
          <w:lang w:eastAsia="zh-CN"/>
        </w:rPr>
        <w:t>行政管理人员</w:t>
      </w:r>
      <w:r>
        <w:rPr>
          <w:rFonts w:hint="eastAsia" w:ascii="宋体" w:hAnsi="宋体" w:eastAsia="宋体" w:cs="宋体"/>
          <w:color w:val="auto"/>
          <w:sz w:val="21"/>
          <w:szCs w:val="21"/>
        </w:rPr>
        <w:t>）</w:t>
      </w:r>
    </w:p>
    <w:p w14:paraId="657F6C37">
      <w:pPr>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left="0" w:firstLine="0"/>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销售费用</w:t>
      </w:r>
      <w:r>
        <w:rPr>
          <w:rFonts w:hint="eastAsia" w:ascii="宋体" w:hAnsi="宋体" w:eastAsia="宋体" w:cs="宋体"/>
          <w:color w:val="auto"/>
          <w:sz w:val="21"/>
          <w:szCs w:val="21"/>
        </w:rPr>
        <w:t>（</w:t>
      </w:r>
      <w:r>
        <w:rPr>
          <w:rFonts w:hint="eastAsia" w:ascii="宋体" w:hAnsi="宋体" w:eastAsia="宋体" w:cs="宋体"/>
          <w:color w:val="FF0000"/>
          <w:sz w:val="21"/>
          <w:szCs w:val="21"/>
          <w:lang w:eastAsia="zh-CN"/>
        </w:rPr>
        <w:t>销售人员</w:t>
      </w:r>
      <w:r>
        <w:rPr>
          <w:rFonts w:hint="eastAsia" w:ascii="宋体" w:hAnsi="宋体" w:eastAsia="宋体" w:cs="宋体"/>
          <w:color w:val="auto"/>
          <w:sz w:val="21"/>
          <w:szCs w:val="21"/>
        </w:rPr>
        <w:t>）</w:t>
      </w:r>
    </w:p>
    <w:p w14:paraId="0F2024DB">
      <w:pPr>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left="0" w:firstLine="0"/>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在建工程</w:t>
      </w:r>
      <w:r>
        <w:rPr>
          <w:rFonts w:hint="eastAsia" w:ascii="宋体" w:hAnsi="宋体" w:eastAsia="宋体" w:cs="宋体"/>
          <w:color w:val="auto"/>
          <w:sz w:val="21"/>
          <w:szCs w:val="21"/>
        </w:rPr>
        <w:t>（</w:t>
      </w:r>
      <w:r>
        <w:rPr>
          <w:rFonts w:hint="eastAsia" w:ascii="宋体" w:hAnsi="宋体" w:eastAsia="宋体" w:cs="宋体"/>
          <w:color w:val="FF0000"/>
          <w:sz w:val="21"/>
          <w:szCs w:val="21"/>
          <w:lang w:eastAsia="zh-CN"/>
        </w:rPr>
        <w:t>基建人员</w:t>
      </w:r>
      <w:r>
        <w:rPr>
          <w:rFonts w:hint="eastAsia" w:ascii="宋体" w:hAnsi="宋体" w:eastAsia="宋体" w:cs="宋体"/>
          <w:color w:val="auto"/>
          <w:sz w:val="21"/>
          <w:szCs w:val="21"/>
        </w:rPr>
        <w:t>）</w:t>
      </w:r>
    </w:p>
    <w:p w14:paraId="6062FFB7">
      <w:pPr>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left="0" w:firstLine="0"/>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研发支出——资本化支出</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eastAsia="zh-CN"/>
        </w:rPr>
        <w:t>费用化支出</w:t>
      </w:r>
      <w:r>
        <w:rPr>
          <w:rFonts w:hint="eastAsia" w:ascii="宋体" w:hAnsi="宋体" w:eastAsia="宋体" w:cs="宋体"/>
          <w:color w:val="auto"/>
          <w:sz w:val="21"/>
          <w:szCs w:val="21"/>
        </w:rPr>
        <w:t>（</w:t>
      </w:r>
      <w:r>
        <w:rPr>
          <w:rFonts w:hint="eastAsia" w:ascii="宋体" w:hAnsi="宋体" w:eastAsia="宋体" w:cs="宋体"/>
          <w:color w:val="FF0000"/>
          <w:sz w:val="21"/>
          <w:szCs w:val="21"/>
          <w:lang w:eastAsia="zh-CN"/>
        </w:rPr>
        <w:t>研发人员</w:t>
      </w:r>
      <w:r>
        <w:rPr>
          <w:rFonts w:hint="eastAsia" w:ascii="宋体" w:hAnsi="宋体" w:eastAsia="宋体" w:cs="宋体"/>
          <w:color w:val="auto"/>
          <w:sz w:val="21"/>
          <w:szCs w:val="21"/>
        </w:rPr>
        <w:t>）</w:t>
      </w:r>
    </w:p>
    <w:p w14:paraId="2A37A4C0">
      <w:pPr>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left="0" w:firstLine="0"/>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rPr>
        <w:t>　</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lang w:eastAsia="zh-CN"/>
        </w:rPr>
        <w:t>贷</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应付职工薪酬——工资</w:t>
      </w:r>
    </w:p>
    <w:p w14:paraId="43D017C8">
      <w:pPr>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left="0" w:firstLine="0"/>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——职工福利费</w:t>
      </w:r>
    </w:p>
    <w:p w14:paraId="284A6ED8">
      <w:pPr>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left="0" w:firstLine="0"/>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——社会保险费</w:t>
      </w:r>
    </w:p>
    <w:p w14:paraId="6B7E526E">
      <w:pPr>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left="0" w:firstLine="0"/>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——住房公积金</w:t>
      </w:r>
    </w:p>
    <w:p w14:paraId="5FAB8363">
      <w:pPr>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left="0" w:firstLine="0"/>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 xml:space="preserve">                   </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——工会经费</w:t>
      </w:r>
    </w:p>
    <w:p w14:paraId="1245B15A">
      <w:pPr>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left="0" w:firstLine="0"/>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——职工教育经费等</w:t>
      </w:r>
    </w:p>
    <w:p w14:paraId="4F29161E">
      <w:pPr>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left="0" w:firstLine="0"/>
        <w:textAlignment w:val="auto"/>
        <w:outlineLvl w:val="9"/>
        <w:rPr>
          <w:rFonts w:hint="eastAsia" w:ascii="宋体" w:hAnsi="宋体" w:eastAsia="宋体" w:cs="宋体"/>
          <w:color w:val="FF0000"/>
          <w:sz w:val="21"/>
          <w:szCs w:val="21"/>
        </w:rPr>
      </w:pPr>
    </w:p>
    <w:p w14:paraId="32F972E3">
      <w:pPr>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left="0" w:firstLine="0"/>
        <w:textAlignment w:val="auto"/>
        <w:outlineLvl w:val="9"/>
        <w:rPr>
          <w:rFonts w:hint="eastAsia" w:ascii="宋体" w:hAnsi="宋体" w:eastAsia="宋体" w:cs="宋体"/>
          <w:color w:val="FF0000"/>
          <w:sz w:val="21"/>
          <w:szCs w:val="21"/>
          <w:lang w:eastAsia="zh-CN"/>
        </w:rPr>
      </w:pPr>
      <w:r>
        <w:rPr>
          <w:rFonts w:hint="eastAsia" w:ascii="宋体" w:hAnsi="宋体" w:eastAsia="宋体" w:cs="宋体"/>
          <w:color w:val="FF0000"/>
          <w:sz w:val="21"/>
          <w:szCs w:val="21"/>
        </w:rPr>
        <w:t>（</w:t>
      </w:r>
      <w:r>
        <w:rPr>
          <w:rFonts w:hint="eastAsia" w:ascii="宋体" w:hAnsi="宋体" w:eastAsia="宋体" w:cs="宋体"/>
          <w:color w:val="FF0000"/>
          <w:sz w:val="21"/>
          <w:szCs w:val="21"/>
          <w:lang w:eastAsia="zh-CN"/>
        </w:rPr>
        <w:t>二</w:t>
      </w:r>
      <w:r>
        <w:rPr>
          <w:rFonts w:hint="eastAsia" w:ascii="宋体" w:hAnsi="宋体" w:eastAsia="宋体" w:cs="宋体"/>
          <w:color w:val="FF0000"/>
          <w:sz w:val="21"/>
          <w:szCs w:val="21"/>
        </w:rPr>
        <w:t>）</w:t>
      </w:r>
      <w:r>
        <w:rPr>
          <w:rFonts w:hint="eastAsia" w:ascii="宋体" w:hAnsi="宋体" w:eastAsia="宋体" w:cs="宋体"/>
          <w:color w:val="FF0000"/>
          <w:sz w:val="21"/>
          <w:szCs w:val="21"/>
          <w:lang w:eastAsia="zh-CN"/>
        </w:rPr>
        <w:t>以自产产品发放给职工作为福利</w:t>
      </w:r>
    </w:p>
    <w:p w14:paraId="54FE31CF">
      <w:pPr>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left="0" w:firstLine="0"/>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确认收入</w:t>
      </w:r>
    </w:p>
    <w:p w14:paraId="765830DC">
      <w:pPr>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left="0" w:firstLine="0"/>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借</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应付职工薪酬一非货币性福利</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含税的公允价</w:t>
      </w:r>
      <w:r>
        <w:rPr>
          <w:rFonts w:hint="eastAsia" w:ascii="宋体" w:hAnsi="宋体" w:eastAsia="宋体" w:cs="宋体"/>
          <w:color w:val="auto"/>
          <w:sz w:val="21"/>
          <w:szCs w:val="21"/>
        </w:rPr>
        <w:t>）</w:t>
      </w:r>
    </w:p>
    <w:p w14:paraId="266A8B2E">
      <w:pPr>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left="0" w:firstLine="0"/>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rPr>
        <w:t>　　</w:t>
      </w:r>
      <w:r>
        <w:rPr>
          <w:rFonts w:hint="eastAsia" w:ascii="宋体" w:hAnsi="宋体" w:eastAsia="宋体" w:cs="宋体"/>
          <w:color w:val="auto"/>
          <w:sz w:val="21"/>
          <w:szCs w:val="21"/>
          <w:lang w:eastAsia="zh-CN"/>
        </w:rPr>
        <w:t>贷</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主营业务收入</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公允价</w:t>
      </w:r>
      <w:r>
        <w:rPr>
          <w:rFonts w:hint="eastAsia" w:ascii="宋体" w:hAnsi="宋体" w:eastAsia="宋体" w:cs="宋体"/>
          <w:color w:val="auto"/>
          <w:sz w:val="21"/>
          <w:szCs w:val="21"/>
        </w:rPr>
        <w:t>）</w:t>
      </w:r>
    </w:p>
    <w:p w14:paraId="79DB8896">
      <w:pPr>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left="0" w:firstLine="0"/>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应交税费——应交增值税</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销项税额</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　</w:t>
      </w:r>
    </w:p>
    <w:p w14:paraId="2491046E">
      <w:pPr>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left="0" w:firstLine="0"/>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结转成本</w:t>
      </w:r>
    </w:p>
    <w:p w14:paraId="3814D792">
      <w:pPr>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left="0" w:firstLine="0"/>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借</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主营业务成本</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成本价</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 xml:space="preserve">　 </w:t>
      </w:r>
    </w:p>
    <w:p w14:paraId="546F6128">
      <w:pPr>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left="0" w:firstLine="0"/>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rPr>
        <w:t>　　</w:t>
      </w:r>
      <w:r>
        <w:rPr>
          <w:rFonts w:hint="eastAsia" w:ascii="宋体" w:hAnsi="宋体" w:eastAsia="宋体" w:cs="宋体"/>
          <w:color w:val="auto"/>
          <w:sz w:val="21"/>
          <w:szCs w:val="21"/>
          <w:lang w:eastAsia="zh-CN"/>
        </w:rPr>
        <w:t>贷</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库存商品</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成本价</w:t>
      </w:r>
      <w:r>
        <w:rPr>
          <w:rFonts w:hint="eastAsia" w:ascii="宋体" w:hAnsi="宋体" w:eastAsia="宋体" w:cs="宋体"/>
          <w:color w:val="auto"/>
          <w:sz w:val="21"/>
          <w:szCs w:val="21"/>
        </w:rPr>
        <w:t>）</w:t>
      </w:r>
    </w:p>
    <w:p w14:paraId="63001C09">
      <w:pPr>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left="0" w:firstLine="0"/>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确认应付职工薪酬</w:t>
      </w:r>
    </w:p>
    <w:p w14:paraId="4C8BB55C">
      <w:pPr>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left="0" w:firstLine="0"/>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借</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 xml:space="preserve">生产成本 </w:t>
      </w:r>
    </w:p>
    <w:p w14:paraId="173119AF">
      <w:pPr>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left="0" w:firstLine="0"/>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管理费用</w:t>
      </w:r>
    </w:p>
    <w:p w14:paraId="62A7A63C">
      <w:pPr>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left="0" w:firstLine="0"/>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rPr>
        <w:t>　　</w:t>
      </w:r>
      <w:r>
        <w:rPr>
          <w:rFonts w:hint="eastAsia" w:ascii="宋体" w:hAnsi="宋体" w:eastAsia="宋体" w:cs="宋体"/>
          <w:color w:val="auto"/>
          <w:sz w:val="21"/>
          <w:szCs w:val="21"/>
          <w:lang w:eastAsia="zh-CN"/>
        </w:rPr>
        <w:t>贷</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应付职工薪酬</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eastAsia="zh-CN"/>
        </w:rPr>
        <w:t>非货币性福利</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含税的公允价</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 xml:space="preserve">　　 </w:t>
      </w:r>
    </w:p>
    <w:p w14:paraId="41AD6549">
      <w:pPr>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left="0" w:firstLine="0"/>
        <w:textAlignment w:val="auto"/>
        <w:outlineLvl w:val="9"/>
        <w:rPr>
          <w:rFonts w:hint="eastAsia" w:ascii="宋体" w:hAnsi="宋体" w:eastAsia="宋体" w:cs="宋体"/>
          <w:color w:val="FF0000"/>
          <w:sz w:val="21"/>
          <w:szCs w:val="21"/>
        </w:rPr>
      </w:pPr>
    </w:p>
    <w:p w14:paraId="362F029D">
      <w:pPr>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left="0" w:firstLine="0"/>
        <w:textAlignment w:val="auto"/>
        <w:outlineLvl w:val="9"/>
        <w:rPr>
          <w:rFonts w:hint="eastAsia" w:ascii="宋体" w:hAnsi="宋体" w:eastAsia="宋体" w:cs="宋体"/>
          <w:color w:val="FF0000"/>
          <w:sz w:val="21"/>
          <w:szCs w:val="21"/>
          <w:lang w:eastAsia="zh-CN"/>
        </w:rPr>
      </w:pPr>
      <w:r>
        <w:rPr>
          <w:rFonts w:hint="eastAsia" w:ascii="宋体" w:hAnsi="宋体" w:eastAsia="宋体" w:cs="宋体"/>
          <w:color w:val="FF0000"/>
          <w:sz w:val="21"/>
          <w:szCs w:val="21"/>
        </w:rPr>
        <w:t>（</w:t>
      </w:r>
      <w:r>
        <w:rPr>
          <w:rFonts w:hint="eastAsia" w:ascii="宋体" w:hAnsi="宋体" w:eastAsia="宋体" w:cs="宋体"/>
          <w:color w:val="FF0000"/>
          <w:sz w:val="21"/>
          <w:szCs w:val="21"/>
          <w:lang w:eastAsia="zh-CN"/>
        </w:rPr>
        <w:t>三</w:t>
      </w:r>
      <w:r>
        <w:rPr>
          <w:rFonts w:hint="eastAsia" w:ascii="宋体" w:hAnsi="宋体" w:eastAsia="宋体" w:cs="宋体"/>
          <w:color w:val="FF0000"/>
          <w:sz w:val="21"/>
          <w:szCs w:val="21"/>
        </w:rPr>
        <w:t>）</w:t>
      </w:r>
      <w:r>
        <w:rPr>
          <w:rFonts w:hint="eastAsia" w:ascii="宋体" w:hAnsi="宋体" w:eastAsia="宋体" w:cs="宋体"/>
          <w:color w:val="FF0000"/>
          <w:sz w:val="21"/>
          <w:szCs w:val="21"/>
          <w:lang w:eastAsia="zh-CN"/>
        </w:rPr>
        <w:t>以外购商品发放给职工作为福利</w:t>
      </w:r>
    </w:p>
    <w:p w14:paraId="692F21D1">
      <w:pPr>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left="0" w:firstLine="0"/>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购入时</w:t>
      </w:r>
    </w:p>
    <w:p w14:paraId="340F92B4">
      <w:pPr>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left="0" w:firstLine="0"/>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借</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 xml:space="preserve">库存商品　　 </w:t>
      </w:r>
    </w:p>
    <w:p w14:paraId="526F5C10">
      <w:pPr>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left="0" w:firstLine="0"/>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应交税费——应交增值税</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进项税额</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 xml:space="preserve">　　 </w:t>
      </w:r>
    </w:p>
    <w:p w14:paraId="464A0299">
      <w:pPr>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left="0" w:firstLine="0"/>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　　</w:t>
      </w:r>
      <w:r>
        <w:rPr>
          <w:rFonts w:hint="eastAsia" w:ascii="宋体" w:hAnsi="宋体" w:eastAsia="宋体" w:cs="宋体"/>
          <w:color w:val="auto"/>
          <w:sz w:val="21"/>
          <w:szCs w:val="21"/>
          <w:lang w:eastAsia="zh-CN"/>
        </w:rPr>
        <w:t>贷</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银行存款　</w:t>
      </w:r>
    </w:p>
    <w:p w14:paraId="216C59CF">
      <w:pPr>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left="0" w:firstLine="0"/>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 xml:space="preserve">决定发放非货币性福利时 </w:t>
      </w:r>
    </w:p>
    <w:p w14:paraId="35C23303">
      <w:pPr>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left="0" w:firstLine="0"/>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借</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生产成本　　</w:t>
      </w:r>
    </w:p>
    <w:p w14:paraId="5FFF496D">
      <w:pPr>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left="0" w:firstLine="0"/>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rPr>
        <w:t>　　</w:t>
      </w:r>
      <w:r>
        <w:rPr>
          <w:rFonts w:hint="eastAsia" w:ascii="宋体" w:hAnsi="宋体" w:eastAsia="宋体" w:cs="宋体"/>
          <w:color w:val="auto"/>
          <w:sz w:val="21"/>
          <w:szCs w:val="21"/>
          <w:lang w:eastAsia="zh-CN"/>
        </w:rPr>
        <w:t>管理费用</w:t>
      </w:r>
    </w:p>
    <w:p w14:paraId="43F520D6">
      <w:pPr>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left="0" w:firstLine="0"/>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rPr>
        <w:t>　　</w:t>
      </w:r>
      <w:r>
        <w:rPr>
          <w:rFonts w:hint="eastAsia" w:ascii="宋体" w:hAnsi="宋体" w:eastAsia="宋体" w:cs="宋体"/>
          <w:color w:val="auto"/>
          <w:sz w:val="21"/>
          <w:szCs w:val="21"/>
          <w:lang w:eastAsia="zh-CN"/>
        </w:rPr>
        <w:t>在建工程等　　</w:t>
      </w:r>
    </w:p>
    <w:p w14:paraId="1AEF8521">
      <w:pPr>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left="0" w:firstLine="0"/>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rPr>
        <w:t>　　</w:t>
      </w:r>
      <w:r>
        <w:rPr>
          <w:rFonts w:hint="eastAsia" w:ascii="宋体" w:hAnsi="宋体" w:eastAsia="宋体" w:cs="宋体"/>
          <w:color w:val="auto"/>
          <w:sz w:val="21"/>
          <w:szCs w:val="21"/>
          <w:lang w:eastAsia="zh-CN"/>
        </w:rPr>
        <w:t>贷</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 xml:space="preserve">应付职工薪酬——非货币性福利 </w:t>
      </w:r>
    </w:p>
    <w:p w14:paraId="7D1546F2">
      <w:pPr>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left="0" w:firstLine="0"/>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发放时</w:t>
      </w:r>
    </w:p>
    <w:p w14:paraId="155C6ADC">
      <w:pPr>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left="0" w:firstLine="0"/>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借</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应付职工薪酬——非货币性福利　　 　</w:t>
      </w:r>
    </w:p>
    <w:p w14:paraId="527B7D4D">
      <w:pPr>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left="0" w:firstLine="0"/>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rPr>
        <w:t>　　</w:t>
      </w:r>
      <w:r>
        <w:rPr>
          <w:rFonts w:hint="eastAsia" w:ascii="宋体" w:hAnsi="宋体" w:eastAsia="宋体" w:cs="宋体"/>
          <w:color w:val="auto"/>
          <w:sz w:val="21"/>
          <w:szCs w:val="21"/>
          <w:lang w:eastAsia="zh-CN"/>
        </w:rPr>
        <w:t>贷</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库存商品</w:t>
      </w:r>
    </w:p>
    <w:p w14:paraId="6AEBE057">
      <w:pPr>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left="0" w:firstLine="0"/>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eastAsia="zh-CN"/>
        </w:rPr>
        <w:t>应交税费——应交增值税</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进项税额转出</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 xml:space="preserve"> </w:t>
      </w:r>
    </w:p>
    <w:p w14:paraId="0DAE9D38">
      <w:pPr>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left="0" w:firstLine="0"/>
        <w:textAlignment w:val="auto"/>
        <w:outlineLvl w:val="9"/>
        <w:rPr>
          <w:rFonts w:hint="eastAsia" w:ascii="宋体" w:hAnsi="宋体" w:eastAsia="宋体" w:cs="宋体"/>
          <w:color w:val="FF0000"/>
          <w:sz w:val="21"/>
          <w:szCs w:val="21"/>
          <w:lang w:eastAsia="zh-CN"/>
        </w:rPr>
      </w:pPr>
    </w:p>
    <w:p w14:paraId="4DC140F5">
      <w:pPr>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left="0" w:firstLine="0"/>
        <w:textAlignment w:val="auto"/>
        <w:outlineLvl w:val="9"/>
        <w:rPr>
          <w:rFonts w:hint="eastAsia" w:ascii="宋体" w:hAnsi="宋体" w:eastAsia="宋体" w:cs="宋体"/>
          <w:color w:val="FFFF00"/>
          <w:sz w:val="21"/>
          <w:szCs w:val="21"/>
          <w:lang w:val="en-US" w:eastAsia="zh-CN"/>
        </w:rPr>
      </w:pPr>
      <w:r>
        <w:rPr>
          <w:rFonts w:hint="eastAsia" w:ascii="宋体" w:hAnsi="宋体" w:eastAsia="宋体" w:cs="宋体"/>
          <w:color w:val="FF0000"/>
          <w:sz w:val="21"/>
          <w:szCs w:val="21"/>
          <w:lang w:eastAsia="zh-CN"/>
        </w:rPr>
        <w:t>【知识点】短期带薪缺勤的确认和计量</w:t>
      </w:r>
    </w:p>
    <w:p w14:paraId="3241AF24">
      <w:pPr>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left="0" w:firstLine="0"/>
        <w:textAlignment w:val="auto"/>
        <w:outlineLvl w:val="9"/>
        <w:rPr>
          <w:rFonts w:hint="eastAsia" w:ascii="宋体" w:hAnsi="宋体" w:eastAsia="宋体" w:cs="宋体"/>
          <w:color w:val="FF0000"/>
          <w:sz w:val="21"/>
          <w:szCs w:val="21"/>
          <w:lang w:eastAsia="zh-CN"/>
        </w:rPr>
      </w:pPr>
      <w:r>
        <w:rPr>
          <w:rFonts w:hint="eastAsia" w:ascii="宋体" w:hAnsi="宋体" w:eastAsia="宋体" w:cs="宋体"/>
          <w:color w:val="FF0000"/>
          <w:sz w:val="21"/>
          <w:szCs w:val="21"/>
        </w:rPr>
        <w:t>（</w:t>
      </w:r>
      <w:r>
        <w:rPr>
          <w:rFonts w:hint="eastAsia" w:ascii="宋体" w:hAnsi="宋体" w:eastAsia="宋体" w:cs="宋体"/>
          <w:color w:val="FF0000"/>
          <w:sz w:val="21"/>
          <w:szCs w:val="21"/>
          <w:lang w:eastAsia="zh-CN"/>
        </w:rPr>
        <w:t>一</w:t>
      </w:r>
      <w:r>
        <w:rPr>
          <w:rFonts w:hint="eastAsia" w:ascii="宋体" w:hAnsi="宋体" w:eastAsia="宋体" w:cs="宋体"/>
          <w:color w:val="FF0000"/>
          <w:sz w:val="21"/>
          <w:szCs w:val="21"/>
        </w:rPr>
        <w:t>）</w:t>
      </w:r>
      <w:r>
        <w:rPr>
          <w:rFonts w:hint="eastAsia" w:ascii="宋体" w:hAnsi="宋体" w:eastAsia="宋体" w:cs="宋体"/>
          <w:color w:val="FF0000"/>
          <w:sz w:val="21"/>
          <w:szCs w:val="21"/>
          <w:lang w:eastAsia="zh-CN"/>
        </w:rPr>
        <w:t>累积带薪缺勤</w:t>
      </w:r>
    </w:p>
    <w:p w14:paraId="0D6EF09E">
      <w:pPr>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left="0" w:firstLine="0"/>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累积带薪缺勤</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是指</w:t>
      </w:r>
      <w:r>
        <w:rPr>
          <w:rFonts w:hint="eastAsia" w:ascii="宋体" w:hAnsi="宋体" w:eastAsia="宋体" w:cs="宋体"/>
          <w:color w:val="FF0000"/>
          <w:sz w:val="21"/>
          <w:szCs w:val="21"/>
          <w:lang w:eastAsia="zh-CN"/>
        </w:rPr>
        <w:t>带薪权利可以结转下期</w:t>
      </w:r>
      <w:r>
        <w:rPr>
          <w:rFonts w:hint="eastAsia" w:ascii="宋体" w:hAnsi="宋体" w:eastAsia="宋体" w:cs="宋体"/>
          <w:color w:val="auto"/>
          <w:sz w:val="21"/>
          <w:szCs w:val="21"/>
          <w:lang w:eastAsia="zh-CN"/>
        </w:rPr>
        <w:t>的带薪缺勤</w:t>
      </w:r>
      <w:r>
        <w:rPr>
          <w:rFonts w:hint="eastAsia" w:ascii="宋体" w:hAnsi="宋体" w:eastAsia="宋体" w:cs="宋体"/>
          <w:color w:val="auto"/>
          <w:sz w:val="21"/>
          <w:szCs w:val="21"/>
        </w:rPr>
        <w:t>，</w:t>
      </w:r>
      <w:r>
        <w:rPr>
          <w:rFonts w:hint="eastAsia" w:ascii="宋体" w:hAnsi="宋体" w:eastAsia="宋体" w:cs="宋体"/>
          <w:color w:val="FF0000"/>
          <w:sz w:val="21"/>
          <w:szCs w:val="21"/>
          <w:lang w:eastAsia="zh-CN"/>
        </w:rPr>
        <w:t>本期尚未用完</w:t>
      </w:r>
      <w:r>
        <w:rPr>
          <w:rFonts w:hint="eastAsia" w:ascii="宋体" w:hAnsi="宋体" w:eastAsia="宋体" w:cs="宋体"/>
          <w:color w:val="auto"/>
          <w:sz w:val="21"/>
          <w:szCs w:val="21"/>
          <w:lang w:eastAsia="zh-CN"/>
        </w:rPr>
        <w:t>的带薪缺勤权利可以</w:t>
      </w:r>
      <w:r>
        <w:rPr>
          <w:rFonts w:hint="eastAsia" w:ascii="宋体" w:hAnsi="宋体" w:eastAsia="宋体" w:cs="宋体"/>
          <w:color w:val="FF0000"/>
          <w:sz w:val="21"/>
          <w:szCs w:val="21"/>
          <w:lang w:eastAsia="zh-CN"/>
        </w:rPr>
        <w:t>在未来期间使用</w:t>
      </w:r>
      <w:r>
        <w:rPr>
          <w:rFonts w:hint="eastAsia" w:ascii="宋体" w:hAnsi="宋体" w:eastAsia="宋体" w:cs="宋体"/>
          <w:color w:val="auto"/>
          <w:sz w:val="21"/>
          <w:szCs w:val="21"/>
          <w:lang w:eastAsia="zh-CN"/>
        </w:rPr>
        <w:t>。</w:t>
      </w:r>
    </w:p>
    <w:p w14:paraId="4BE5ADED">
      <w:pPr>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left="0" w:firstLine="0"/>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确认原则</w:t>
      </w:r>
    </w:p>
    <w:p w14:paraId="333B694C">
      <w:pPr>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left="0" w:firstLine="0"/>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企业应当在职工</w:t>
      </w:r>
      <w:r>
        <w:rPr>
          <w:rFonts w:hint="eastAsia" w:ascii="宋体" w:hAnsi="宋体" w:eastAsia="宋体" w:cs="宋体"/>
          <w:color w:val="FF0000"/>
          <w:sz w:val="21"/>
          <w:szCs w:val="21"/>
          <w:lang w:eastAsia="zh-CN"/>
        </w:rPr>
        <w:t>提供了服务</w:t>
      </w:r>
      <w:r>
        <w:rPr>
          <w:rFonts w:hint="eastAsia" w:ascii="宋体" w:hAnsi="宋体" w:eastAsia="宋体" w:cs="宋体"/>
          <w:color w:val="auto"/>
          <w:sz w:val="21"/>
          <w:szCs w:val="21"/>
          <w:lang w:eastAsia="zh-CN"/>
        </w:rPr>
        <w:t>从而</w:t>
      </w:r>
      <w:r>
        <w:rPr>
          <w:rFonts w:hint="eastAsia" w:ascii="宋体" w:hAnsi="宋体" w:eastAsia="宋体" w:cs="宋体"/>
          <w:color w:val="FF0000"/>
          <w:sz w:val="21"/>
          <w:szCs w:val="21"/>
          <w:lang w:eastAsia="zh-CN"/>
        </w:rPr>
        <w:t>增加了</w:t>
      </w:r>
      <w:r>
        <w:rPr>
          <w:rFonts w:hint="eastAsia" w:ascii="宋体" w:hAnsi="宋体" w:eastAsia="宋体" w:cs="宋体"/>
          <w:color w:val="auto"/>
          <w:sz w:val="21"/>
          <w:szCs w:val="21"/>
          <w:lang w:eastAsia="zh-CN"/>
        </w:rPr>
        <w:t>其</w:t>
      </w:r>
      <w:r>
        <w:rPr>
          <w:rFonts w:hint="eastAsia" w:ascii="宋体" w:hAnsi="宋体" w:eastAsia="宋体" w:cs="宋体"/>
          <w:color w:val="FF0000"/>
          <w:sz w:val="21"/>
          <w:szCs w:val="21"/>
          <w:lang w:eastAsia="zh-CN"/>
        </w:rPr>
        <w:t>未来享有的</w:t>
      </w:r>
      <w:r>
        <w:rPr>
          <w:rFonts w:hint="eastAsia" w:ascii="宋体" w:hAnsi="宋体" w:eastAsia="宋体" w:cs="宋体"/>
          <w:color w:val="auto"/>
          <w:sz w:val="21"/>
          <w:szCs w:val="21"/>
          <w:lang w:eastAsia="zh-CN"/>
        </w:rPr>
        <w:t>带薪缺勤权利时</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确认与累积带薪缺勤相关的职工薪酬</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并以</w:t>
      </w:r>
      <w:r>
        <w:rPr>
          <w:rFonts w:hint="eastAsia" w:ascii="宋体" w:hAnsi="宋体" w:eastAsia="宋体" w:cs="宋体"/>
          <w:color w:val="FF0000"/>
          <w:sz w:val="21"/>
          <w:szCs w:val="21"/>
          <w:lang w:eastAsia="zh-CN"/>
        </w:rPr>
        <w:t>累积未行使权利</w:t>
      </w:r>
      <w:r>
        <w:rPr>
          <w:rFonts w:hint="eastAsia" w:ascii="宋体" w:hAnsi="宋体" w:eastAsia="宋体" w:cs="宋体"/>
          <w:color w:val="auto"/>
          <w:sz w:val="21"/>
          <w:szCs w:val="21"/>
          <w:lang w:eastAsia="zh-CN"/>
        </w:rPr>
        <w:t>而</w:t>
      </w:r>
      <w:r>
        <w:rPr>
          <w:rFonts w:hint="eastAsia" w:ascii="宋体" w:hAnsi="宋体" w:eastAsia="宋体" w:cs="宋体"/>
          <w:color w:val="FF0000"/>
          <w:sz w:val="21"/>
          <w:szCs w:val="21"/>
          <w:lang w:eastAsia="zh-CN"/>
        </w:rPr>
        <w:t>增加的预期支付金额</w:t>
      </w:r>
      <w:r>
        <w:rPr>
          <w:rFonts w:hint="eastAsia" w:ascii="宋体" w:hAnsi="宋体" w:eastAsia="宋体" w:cs="宋体"/>
          <w:color w:val="auto"/>
          <w:sz w:val="21"/>
          <w:szCs w:val="21"/>
          <w:lang w:eastAsia="zh-CN"/>
        </w:rPr>
        <w:t>计量。</w:t>
      </w:r>
      <w:r>
        <w:rPr>
          <w:rFonts w:hint="eastAsia" w:ascii="宋体" w:hAnsi="宋体" w:eastAsia="宋体" w:cs="宋体"/>
          <w:color w:val="auto"/>
          <w:sz w:val="21"/>
          <w:szCs w:val="21"/>
        </w:rPr>
        <w:t>（</w:t>
      </w:r>
      <w:r>
        <w:rPr>
          <w:rFonts w:hint="eastAsia" w:ascii="宋体" w:hAnsi="宋体" w:eastAsia="宋体" w:cs="宋体"/>
          <w:color w:val="FF0000"/>
          <w:sz w:val="21"/>
          <w:szCs w:val="21"/>
          <w:lang w:eastAsia="zh-CN"/>
        </w:rPr>
        <w:t>今年确认明年的</w:t>
      </w:r>
      <w:r>
        <w:rPr>
          <w:rFonts w:hint="eastAsia" w:ascii="宋体" w:hAnsi="宋体" w:eastAsia="宋体" w:cs="宋体"/>
          <w:color w:val="auto"/>
          <w:sz w:val="21"/>
          <w:szCs w:val="21"/>
        </w:rPr>
        <w:t>）</w:t>
      </w:r>
    </w:p>
    <w:p w14:paraId="00C0DC1E">
      <w:pPr>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left="0" w:firstLine="0"/>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借</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 xml:space="preserve">管理费用 </w:t>
      </w:r>
    </w:p>
    <w:p w14:paraId="739CEAB7">
      <w:pPr>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left="0" w:firstLine="0"/>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rPr>
        <w:t>　　</w:t>
      </w:r>
      <w:r>
        <w:rPr>
          <w:rFonts w:hint="eastAsia" w:ascii="宋体" w:hAnsi="宋体" w:eastAsia="宋体" w:cs="宋体"/>
          <w:color w:val="auto"/>
          <w:sz w:val="21"/>
          <w:szCs w:val="21"/>
          <w:lang w:eastAsia="zh-CN"/>
        </w:rPr>
        <w:t>贷</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 xml:space="preserve">应付职工薪酬——累积带薪缺勤 </w:t>
      </w:r>
    </w:p>
    <w:p w14:paraId="50252EA5">
      <w:pPr>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left="0" w:firstLine="0"/>
        <w:textAlignment w:val="auto"/>
        <w:outlineLvl w:val="9"/>
        <w:rPr>
          <w:rFonts w:hint="eastAsia" w:ascii="宋体" w:hAnsi="宋体" w:eastAsia="宋体" w:cs="宋体"/>
          <w:color w:val="FF0000"/>
          <w:sz w:val="21"/>
          <w:szCs w:val="21"/>
          <w:lang w:eastAsia="zh-CN"/>
        </w:rPr>
      </w:pPr>
      <w:r>
        <w:rPr>
          <w:rFonts w:hint="eastAsia" w:ascii="宋体" w:hAnsi="宋体" w:eastAsia="宋体" w:cs="宋体"/>
          <w:color w:val="FF0000"/>
          <w:sz w:val="21"/>
          <w:szCs w:val="21"/>
        </w:rPr>
        <w:t>（</w:t>
      </w:r>
      <w:r>
        <w:rPr>
          <w:rFonts w:hint="eastAsia" w:ascii="宋体" w:hAnsi="宋体" w:eastAsia="宋体" w:cs="宋体"/>
          <w:color w:val="FF0000"/>
          <w:sz w:val="21"/>
          <w:szCs w:val="21"/>
          <w:lang w:eastAsia="zh-CN"/>
        </w:rPr>
        <w:t>二</w:t>
      </w:r>
      <w:r>
        <w:rPr>
          <w:rFonts w:hint="eastAsia" w:ascii="宋体" w:hAnsi="宋体" w:eastAsia="宋体" w:cs="宋体"/>
          <w:color w:val="FF0000"/>
          <w:sz w:val="21"/>
          <w:szCs w:val="21"/>
        </w:rPr>
        <w:t>）</w:t>
      </w:r>
      <w:r>
        <w:rPr>
          <w:rFonts w:hint="eastAsia" w:ascii="宋体" w:hAnsi="宋体" w:eastAsia="宋体" w:cs="宋体"/>
          <w:color w:val="FF0000"/>
          <w:sz w:val="21"/>
          <w:szCs w:val="21"/>
          <w:lang w:eastAsia="zh-CN"/>
        </w:rPr>
        <w:t>非累积带薪缺勤</w:t>
      </w:r>
    </w:p>
    <w:p w14:paraId="02EF2CB0">
      <w:pPr>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left="0" w:firstLine="0"/>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是指带薪权利</w:t>
      </w:r>
      <w:r>
        <w:rPr>
          <w:rFonts w:hint="eastAsia" w:ascii="宋体" w:hAnsi="宋体" w:eastAsia="宋体" w:cs="宋体"/>
          <w:color w:val="FF0000"/>
          <w:sz w:val="21"/>
          <w:szCs w:val="21"/>
          <w:lang w:eastAsia="zh-CN"/>
        </w:rPr>
        <w:t>不能结转下期</w:t>
      </w:r>
      <w:r>
        <w:rPr>
          <w:rFonts w:hint="eastAsia" w:ascii="宋体" w:hAnsi="宋体" w:eastAsia="宋体" w:cs="宋体"/>
          <w:color w:val="auto"/>
          <w:sz w:val="21"/>
          <w:szCs w:val="21"/>
          <w:lang w:eastAsia="zh-CN"/>
        </w:rPr>
        <w:t>的带薪缺勤</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本期</w:t>
      </w:r>
      <w:r>
        <w:rPr>
          <w:rFonts w:hint="eastAsia" w:ascii="宋体" w:hAnsi="宋体" w:eastAsia="宋体" w:cs="宋体"/>
          <w:color w:val="FF0000"/>
          <w:sz w:val="21"/>
          <w:szCs w:val="21"/>
          <w:lang w:eastAsia="zh-CN"/>
        </w:rPr>
        <w:t>尚未用完</w:t>
      </w:r>
      <w:r>
        <w:rPr>
          <w:rFonts w:hint="eastAsia" w:ascii="宋体" w:hAnsi="宋体" w:eastAsia="宋体" w:cs="宋体"/>
          <w:color w:val="auto"/>
          <w:sz w:val="21"/>
          <w:szCs w:val="21"/>
          <w:lang w:eastAsia="zh-CN"/>
        </w:rPr>
        <w:t>的带薪缺勤权利</w:t>
      </w:r>
      <w:r>
        <w:rPr>
          <w:rFonts w:hint="eastAsia" w:ascii="宋体" w:hAnsi="宋体" w:eastAsia="宋体" w:cs="宋体"/>
          <w:color w:val="FF0000"/>
          <w:sz w:val="21"/>
          <w:szCs w:val="21"/>
          <w:lang w:eastAsia="zh-CN"/>
        </w:rPr>
        <w:t>将予以取消</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并且职工离开企业时也</w:t>
      </w:r>
      <w:r>
        <w:rPr>
          <w:rFonts w:hint="eastAsia" w:ascii="宋体" w:hAnsi="宋体" w:eastAsia="宋体" w:cs="宋体"/>
          <w:color w:val="FF0000"/>
          <w:sz w:val="21"/>
          <w:szCs w:val="21"/>
          <w:lang w:eastAsia="zh-CN"/>
        </w:rPr>
        <w:t>无权获得</w:t>
      </w:r>
      <w:r>
        <w:rPr>
          <w:rFonts w:hint="eastAsia" w:ascii="宋体" w:hAnsi="宋体" w:eastAsia="宋体" w:cs="宋体"/>
          <w:color w:val="auto"/>
          <w:sz w:val="21"/>
          <w:szCs w:val="21"/>
          <w:lang w:eastAsia="zh-CN"/>
        </w:rPr>
        <w:t>现金支付。</w:t>
      </w:r>
    </w:p>
    <w:p w14:paraId="6FCA215E">
      <w:pPr>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left="0" w:firstLine="0"/>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我国企业职工休</w:t>
      </w:r>
      <w:r>
        <w:rPr>
          <w:rFonts w:hint="eastAsia" w:ascii="宋体" w:hAnsi="宋体" w:eastAsia="宋体" w:cs="宋体"/>
          <w:color w:val="FF0000"/>
          <w:sz w:val="21"/>
          <w:szCs w:val="21"/>
          <w:lang w:eastAsia="zh-CN"/>
        </w:rPr>
        <w:t>婚假、产假、丧假、探亲假、病假期间的工资</w:t>
      </w:r>
      <w:r>
        <w:rPr>
          <w:rFonts w:hint="eastAsia" w:ascii="宋体" w:hAnsi="宋体" w:eastAsia="宋体" w:cs="宋体"/>
          <w:color w:val="auto"/>
          <w:sz w:val="21"/>
          <w:szCs w:val="21"/>
          <w:lang w:eastAsia="zh-CN"/>
        </w:rPr>
        <w:t>通常属于非累积带薪缺勤。</w:t>
      </w:r>
    </w:p>
    <w:p w14:paraId="46D4B34B">
      <w:pPr>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left="0" w:firstLine="0"/>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FF0000"/>
          <w:sz w:val="21"/>
          <w:szCs w:val="21"/>
          <w:lang w:eastAsia="zh-CN"/>
        </w:rPr>
        <w:t>不必作额外的账务处理</w:t>
      </w:r>
      <w:r>
        <w:rPr>
          <w:rFonts w:hint="eastAsia" w:ascii="宋体" w:hAnsi="宋体" w:eastAsia="宋体" w:cs="宋体"/>
          <w:color w:val="auto"/>
          <w:sz w:val="21"/>
          <w:szCs w:val="21"/>
          <w:lang w:eastAsia="zh-CN"/>
        </w:rPr>
        <w:t>。</w:t>
      </w:r>
    </w:p>
    <w:p w14:paraId="4E43C3EB">
      <w:pPr>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left="0" w:firstLine="0"/>
        <w:textAlignment w:val="auto"/>
        <w:outlineLvl w:val="9"/>
        <w:rPr>
          <w:rFonts w:hint="eastAsia" w:ascii="宋体" w:hAnsi="宋体" w:eastAsia="宋体" w:cs="宋体"/>
          <w:color w:val="FF0000"/>
          <w:sz w:val="21"/>
          <w:szCs w:val="21"/>
          <w:lang w:eastAsia="zh-CN"/>
        </w:rPr>
      </w:pPr>
      <w:r>
        <w:rPr>
          <w:rFonts w:hint="eastAsia" w:ascii="宋体" w:hAnsi="宋体" w:eastAsia="宋体" w:cs="宋体"/>
          <w:color w:val="FF0000"/>
          <w:sz w:val="21"/>
          <w:szCs w:val="21"/>
          <w:lang w:eastAsia="zh-CN"/>
        </w:rPr>
        <w:t>【知识点】离职后福利的确认与计量</w:t>
      </w:r>
    </w:p>
    <w:p w14:paraId="3931FF53">
      <w:pPr>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left="0" w:firstLine="0"/>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设定提存</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先提后存</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计划的确认和计量</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精算风险和投资风险</w:t>
      </w:r>
      <w:r>
        <w:rPr>
          <w:rFonts w:hint="eastAsia" w:ascii="宋体" w:hAnsi="宋体" w:eastAsia="宋体" w:cs="宋体"/>
          <w:color w:val="FF0000"/>
          <w:sz w:val="21"/>
          <w:szCs w:val="21"/>
          <w:lang w:eastAsia="zh-CN"/>
        </w:rPr>
        <w:t>由职工负担</w:t>
      </w:r>
      <w:r>
        <w:rPr>
          <w:rFonts w:hint="eastAsia" w:ascii="宋体" w:hAnsi="宋体" w:eastAsia="宋体" w:cs="宋体"/>
          <w:color w:val="FF0000"/>
          <w:sz w:val="21"/>
          <w:szCs w:val="21"/>
        </w:rPr>
        <w:t>，</w:t>
      </w:r>
      <w:r>
        <w:rPr>
          <w:rFonts w:hint="eastAsia" w:ascii="宋体" w:hAnsi="宋体" w:eastAsia="宋体" w:cs="宋体"/>
          <w:color w:val="FF0000"/>
          <w:sz w:val="21"/>
          <w:szCs w:val="21"/>
          <w:lang w:eastAsia="zh-CN"/>
        </w:rPr>
        <w:t>单位不负责养老金不够养老</w:t>
      </w:r>
      <w:r>
        <w:rPr>
          <w:rFonts w:hint="eastAsia" w:ascii="宋体" w:hAnsi="宋体" w:eastAsia="宋体" w:cs="宋体"/>
          <w:color w:val="auto"/>
          <w:sz w:val="21"/>
          <w:szCs w:val="21"/>
        </w:rPr>
        <w:t>）</w:t>
      </w:r>
    </w:p>
    <w:p w14:paraId="660BA7C4">
      <w:pPr>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left="0" w:firstLine="0"/>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对于设定提存计划</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企业应当根据</w:t>
      </w:r>
      <w:r>
        <w:rPr>
          <w:rFonts w:hint="eastAsia" w:ascii="宋体" w:hAnsi="宋体" w:eastAsia="宋体" w:cs="宋体"/>
          <w:color w:val="FF0000"/>
          <w:sz w:val="21"/>
          <w:szCs w:val="21"/>
          <w:lang w:eastAsia="zh-CN"/>
        </w:rPr>
        <w:t>在资产负债表日</w:t>
      </w:r>
      <w:r>
        <w:rPr>
          <w:rFonts w:hint="eastAsia" w:ascii="宋体" w:hAnsi="宋体" w:eastAsia="宋体" w:cs="宋体"/>
          <w:color w:val="auto"/>
          <w:sz w:val="21"/>
          <w:szCs w:val="21"/>
          <w:lang w:eastAsia="zh-CN"/>
        </w:rPr>
        <w:t>为换取职工在会计期间提供的服务而应</w:t>
      </w:r>
      <w:r>
        <w:rPr>
          <w:rFonts w:hint="eastAsia" w:ascii="宋体" w:hAnsi="宋体" w:eastAsia="宋体" w:cs="宋体"/>
          <w:color w:val="FF0000"/>
          <w:sz w:val="21"/>
          <w:szCs w:val="21"/>
          <w:lang w:eastAsia="zh-CN"/>
        </w:rPr>
        <w:t>向单独主体缴存的提存金</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确认职工薪酬负债</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并将其计入</w:t>
      </w:r>
      <w:r>
        <w:rPr>
          <w:rFonts w:hint="eastAsia" w:ascii="宋体" w:hAnsi="宋体" w:eastAsia="宋体" w:cs="宋体"/>
          <w:color w:val="FF0000"/>
          <w:sz w:val="21"/>
          <w:szCs w:val="21"/>
          <w:lang w:eastAsia="zh-CN"/>
        </w:rPr>
        <w:t>当期损益或相关资产成本</w:t>
      </w:r>
      <w:r>
        <w:rPr>
          <w:rFonts w:hint="eastAsia" w:ascii="宋体" w:hAnsi="宋体" w:eastAsia="宋体" w:cs="宋体"/>
          <w:color w:val="auto"/>
          <w:sz w:val="21"/>
          <w:szCs w:val="21"/>
          <w:lang w:eastAsia="zh-CN"/>
        </w:rPr>
        <w:t>。</w:t>
      </w:r>
    </w:p>
    <w:p w14:paraId="32542CE5">
      <w:pPr>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left="0" w:firstLine="0"/>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借</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管理费用等</w:t>
      </w:r>
    </w:p>
    <w:p w14:paraId="3974F051">
      <w:pPr>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left="0" w:firstLine="0"/>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rPr>
        <w:t>　　</w:t>
      </w:r>
      <w:r>
        <w:rPr>
          <w:rFonts w:hint="eastAsia" w:ascii="宋体" w:hAnsi="宋体" w:eastAsia="宋体" w:cs="宋体"/>
          <w:color w:val="auto"/>
          <w:sz w:val="21"/>
          <w:szCs w:val="21"/>
          <w:lang w:eastAsia="zh-CN"/>
        </w:rPr>
        <w:t>贷</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应付职工薪酬</w:t>
      </w:r>
    </w:p>
    <w:p w14:paraId="2F1F0137">
      <w:pPr>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left="0" w:firstLine="0"/>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设定受益计划</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精算风险和投资风险</w:t>
      </w:r>
      <w:r>
        <w:rPr>
          <w:rFonts w:hint="eastAsia" w:ascii="宋体" w:hAnsi="宋体" w:eastAsia="宋体" w:cs="宋体"/>
          <w:color w:val="FF0000"/>
          <w:sz w:val="21"/>
          <w:szCs w:val="21"/>
          <w:lang w:eastAsia="zh-CN"/>
        </w:rPr>
        <w:t>由单位负担</w:t>
      </w:r>
      <w:r>
        <w:rPr>
          <w:rFonts w:hint="eastAsia" w:ascii="宋体" w:hAnsi="宋体" w:eastAsia="宋体" w:cs="宋体"/>
          <w:color w:val="auto"/>
          <w:sz w:val="21"/>
          <w:szCs w:val="21"/>
        </w:rPr>
        <w:t>）</w:t>
      </w:r>
    </w:p>
    <w:p w14:paraId="206981B1">
      <w:pPr>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left="0" w:firstLine="0"/>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设定受益计划</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是指</w:t>
      </w:r>
      <w:r>
        <w:rPr>
          <w:rFonts w:hint="eastAsia" w:ascii="宋体" w:hAnsi="宋体" w:eastAsia="宋体" w:cs="宋体"/>
          <w:color w:val="FF0000"/>
          <w:sz w:val="21"/>
          <w:szCs w:val="21"/>
          <w:lang w:eastAsia="zh-CN"/>
        </w:rPr>
        <w:t>除设定提存计划以外</w:t>
      </w:r>
      <w:r>
        <w:rPr>
          <w:rFonts w:hint="eastAsia" w:ascii="宋体" w:hAnsi="宋体" w:eastAsia="宋体" w:cs="宋体"/>
          <w:color w:val="auto"/>
          <w:sz w:val="21"/>
          <w:szCs w:val="21"/>
          <w:lang w:eastAsia="zh-CN"/>
        </w:rPr>
        <w:t>的离职后福利计划。</w:t>
      </w:r>
    </w:p>
    <w:p w14:paraId="1B3B804B">
      <w:pPr>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left="0" w:firstLine="0"/>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区分应当计入当期损益的金额和应当计入其他综合收益的金额 </w:t>
      </w:r>
    </w:p>
    <w:tbl>
      <w:tblPr>
        <w:tblStyle w:val="6"/>
        <w:tblW w:w="501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4318"/>
        <w:gridCol w:w="5844"/>
      </w:tblGrid>
      <w:tr w14:paraId="6E409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3" w:hRule="atLeast"/>
        </w:trPr>
        <w:tc>
          <w:tcPr>
            <w:tcW w:w="2124" w:type="pct"/>
            <w:shd w:val="clear" w:color="auto" w:fill="auto"/>
            <w:tcMar>
              <w:top w:w="109" w:type="dxa"/>
              <w:left w:w="109" w:type="dxa"/>
              <w:bottom w:w="109" w:type="dxa"/>
              <w:right w:w="109" w:type="dxa"/>
            </w:tcMar>
            <w:vAlign w:val="center"/>
          </w:tcPr>
          <w:p w14:paraId="395149FE">
            <w:pPr>
              <w:pStyle w:val="5"/>
              <w:keepNext w:val="0"/>
              <w:keepLines w:val="0"/>
              <w:widowControl/>
              <w:suppressLineNumbers w:val="0"/>
              <w:kinsoku/>
              <w:wordWrap/>
              <w:overflowPunct/>
              <w:bidi w:val="0"/>
              <w:spacing w:before="0" w:beforeAutospacing="0" w:after="0" w:afterAutospacing="0" w:line="312" w:lineRule="auto"/>
              <w:ind w:left="0"/>
              <w:jc w:val="center"/>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eastAsia="zh-CN"/>
              </w:rPr>
              <w:t>计入当期损益</w:t>
            </w:r>
            <w:r>
              <w:rPr>
                <w:rFonts w:hint="default" w:ascii="宋体" w:hAnsi="宋体" w:eastAsia="宋体" w:cs="宋体"/>
                <w:color w:val="auto"/>
                <w:kern w:val="2"/>
                <w:sz w:val="21"/>
                <w:szCs w:val="21"/>
                <w:lang w:eastAsia="zh-CN"/>
              </w:rPr>
              <w:t>（资产成本）金额</w:t>
            </w:r>
          </w:p>
        </w:tc>
        <w:tc>
          <w:tcPr>
            <w:tcW w:w="2875" w:type="pct"/>
            <w:shd w:val="clear" w:color="auto" w:fill="auto"/>
            <w:tcMar>
              <w:top w:w="109" w:type="dxa"/>
              <w:left w:w="109" w:type="dxa"/>
              <w:bottom w:w="109" w:type="dxa"/>
              <w:right w:w="109" w:type="dxa"/>
            </w:tcMar>
            <w:vAlign w:val="center"/>
          </w:tcPr>
          <w:p w14:paraId="79BCB03F">
            <w:pPr>
              <w:pStyle w:val="5"/>
              <w:keepNext w:val="0"/>
              <w:keepLines w:val="0"/>
              <w:widowControl/>
              <w:suppressLineNumbers w:val="0"/>
              <w:kinsoku/>
              <w:wordWrap/>
              <w:overflowPunct/>
              <w:bidi w:val="0"/>
              <w:spacing w:before="0" w:beforeAutospacing="0" w:after="0" w:afterAutospacing="0" w:line="312" w:lineRule="auto"/>
              <w:ind w:left="0"/>
              <w:jc w:val="center"/>
              <w:rPr>
                <w:rFonts w:hint="eastAsia" w:ascii="宋体" w:hAnsi="宋体" w:eastAsia="宋体" w:cs="宋体"/>
                <w:color w:val="auto"/>
                <w:kern w:val="2"/>
                <w:sz w:val="21"/>
                <w:szCs w:val="21"/>
                <w:lang w:eastAsia="zh-CN"/>
              </w:rPr>
            </w:pPr>
            <w:r>
              <w:rPr>
                <w:rFonts w:hint="default" w:ascii="宋体" w:hAnsi="宋体" w:eastAsia="宋体" w:cs="宋体"/>
                <w:color w:val="auto"/>
                <w:kern w:val="2"/>
                <w:sz w:val="21"/>
                <w:szCs w:val="21"/>
                <w:lang w:eastAsia="zh-CN"/>
              </w:rPr>
              <w:t>计入其他综合收益的金额</w:t>
            </w:r>
          </w:p>
        </w:tc>
      </w:tr>
      <w:tr w14:paraId="293DC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02" w:hRule="atLeast"/>
        </w:trPr>
        <w:tc>
          <w:tcPr>
            <w:tcW w:w="2124" w:type="pct"/>
            <w:shd w:val="clear" w:color="auto" w:fill="auto"/>
            <w:tcMar>
              <w:top w:w="109" w:type="dxa"/>
              <w:left w:w="109" w:type="dxa"/>
              <w:bottom w:w="109" w:type="dxa"/>
              <w:right w:w="109" w:type="dxa"/>
            </w:tcMar>
            <w:vAlign w:val="center"/>
          </w:tcPr>
          <w:p w14:paraId="5D049F81">
            <w:pPr>
              <w:pStyle w:val="5"/>
              <w:keepNext w:val="0"/>
              <w:keepLines w:val="0"/>
              <w:widowControl/>
              <w:suppressLineNumbers w:val="0"/>
              <w:kinsoku/>
              <w:wordWrap/>
              <w:overflowPunct/>
              <w:bidi w:val="0"/>
              <w:spacing w:before="0" w:beforeAutospacing="0" w:after="0" w:afterAutospacing="0" w:line="312" w:lineRule="auto"/>
              <w:ind w:left="0"/>
              <w:jc w:val="left"/>
              <w:rPr>
                <w:rFonts w:hint="eastAsia" w:ascii="宋体" w:hAnsi="宋体" w:eastAsia="宋体" w:cs="宋体"/>
                <w:color w:val="auto"/>
                <w:kern w:val="2"/>
                <w:sz w:val="21"/>
                <w:szCs w:val="21"/>
                <w:lang w:eastAsia="zh-CN"/>
              </w:rPr>
            </w:pPr>
            <w:r>
              <w:rPr>
                <w:rFonts w:hint="default" w:ascii="宋体" w:hAnsi="宋体" w:eastAsia="宋体" w:cs="宋体"/>
                <w:color w:val="auto"/>
                <w:kern w:val="2"/>
                <w:sz w:val="21"/>
                <w:szCs w:val="21"/>
                <w:lang w:eastAsia="zh-CN"/>
              </w:rPr>
              <w:t>①当期服务成本；</w:t>
            </w:r>
          </w:p>
          <w:p w14:paraId="01C0FB8D">
            <w:pPr>
              <w:pStyle w:val="5"/>
              <w:keepNext w:val="0"/>
              <w:keepLines w:val="0"/>
              <w:widowControl/>
              <w:suppressLineNumbers w:val="0"/>
              <w:kinsoku/>
              <w:wordWrap/>
              <w:overflowPunct/>
              <w:bidi w:val="0"/>
              <w:spacing w:before="0" w:beforeAutospacing="0" w:after="0" w:afterAutospacing="0" w:line="312" w:lineRule="auto"/>
              <w:ind w:left="0"/>
              <w:jc w:val="left"/>
              <w:rPr>
                <w:rFonts w:hint="eastAsia" w:ascii="宋体" w:hAnsi="宋体" w:eastAsia="宋体" w:cs="宋体"/>
                <w:color w:val="auto"/>
                <w:kern w:val="2"/>
                <w:sz w:val="21"/>
                <w:szCs w:val="21"/>
                <w:lang w:eastAsia="zh-CN"/>
              </w:rPr>
            </w:pPr>
            <w:r>
              <w:rPr>
                <w:rFonts w:hint="default" w:ascii="宋体" w:hAnsi="宋体" w:eastAsia="宋体" w:cs="宋体"/>
                <w:color w:val="auto"/>
                <w:kern w:val="2"/>
                <w:sz w:val="21"/>
                <w:szCs w:val="21"/>
                <w:lang w:eastAsia="zh-CN"/>
              </w:rPr>
              <w:t>②过去服务成本；</w:t>
            </w:r>
          </w:p>
          <w:p w14:paraId="2B98D32F">
            <w:pPr>
              <w:pStyle w:val="5"/>
              <w:keepNext w:val="0"/>
              <w:keepLines w:val="0"/>
              <w:widowControl/>
              <w:suppressLineNumbers w:val="0"/>
              <w:kinsoku/>
              <w:wordWrap/>
              <w:overflowPunct/>
              <w:bidi w:val="0"/>
              <w:spacing w:before="0" w:beforeAutospacing="0" w:after="0" w:afterAutospacing="0" w:line="312" w:lineRule="auto"/>
              <w:ind w:left="0"/>
              <w:jc w:val="left"/>
              <w:rPr>
                <w:rFonts w:hint="eastAsia" w:ascii="宋体" w:hAnsi="宋体" w:eastAsia="宋体" w:cs="宋体"/>
                <w:color w:val="auto"/>
                <w:kern w:val="2"/>
                <w:sz w:val="21"/>
                <w:szCs w:val="21"/>
                <w:lang w:eastAsia="zh-CN"/>
              </w:rPr>
            </w:pPr>
            <w:r>
              <w:rPr>
                <w:rFonts w:hint="default" w:ascii="宋体" w:hAnsi="宋体" w:eastAsia="宋体" w:cs="宋体"/>
                <w:color w:val="auto"/>
                <w:kern w:val="2"/>
                <w:sz w:val="21"/>
                <w:szCs w:val="21"/>
                <w:lang w:eastAsia="zh-CN"/>
              </w:rPr>
              <w:t>③结算利得和损失；</w:t>
            </w:r>
          </w:p>
          <w:p w14:paraId="75E270C1">
            <w:pPr>
              <w:pStyle w:val="5"/>
              <w:keepNext w:val="0"/>
              <w:keepLines w:val="0"/>
              <w:widowControl/>
              <w:suppressLineNumbers w:val="0"/>
              <w:kinsoku/>
              <w:wordWrap/>
              <w:overflowPunct/>
              <w:bidi w:val="0"/>
              <w:spacing w:before="0" w:beforeAutospacing="0" w:after="0" w:afterAutospacing="0" w:line="312" w:lineRule="auto"/>
              <w:ind w:left="0"/>
              <w:jc w:val="left"/>
              <w:rPr>
                <w:rFonts w:hint="eastAsia" w:ascii="宋体" w:hAnsi="宋体" w:eastAsia="宋体" w:cs="宋体"/>
                <w:color w:val="auto"/>
                <w:kern w:val="2"/>
                <w:sz w:val="21"/>
                <w:szCs w:val="21"/>
                <w:lang w:eastAsia="zh-CN"/>
              </w:rPr>
            </w:pPr>
            <w:r>
              <w:rPr>
                <w:rFonts w:hint="default" w:ascii="宋体" w:hAnsi="宋体" w:eastAsia="宋体" w:cs="宋体"/>
                <w:color w:val="auto"/>
                <w:kern w:val="2"/>
                <w:sz w:val="21"/>
                <w:szCs w:val="21"/>
                <w:lang w:eastAsia="zh-CN"/>
              </w:rPr>
              <w:t>④设定受益计划净负债</w:t>
            </w:r>
          </w:p>
          <w:p w14:paraId="3FB28663">
            <w:pPr>
              <w:pStyle w:val="5"/>
              <w:keepNext w:val="0"/>
              <w:keepLines w:val="0"/>
              <w:widowControl/>
              <w:suppressLineNumbers w:val="0"/>
              <w:kinsoku/>
              <w:wordWrap/>
              <w:overflowPunct/>
              <w:bidi w:val="0"/>
              <w:spacing w:before="0" w:beforeAutospacing="0" w:after="0" w:afterAutospacing="0" w:line="312" w:lineRule="auto"/>
              <w:ind w:left="0"/>
              <w:jc w:val="left"/>
              <w:rPr>
                <w:rFonts w:hint="eastAsia" w:ascii="宋体" w:hAnsi="宋体" w:eastAsia="宋体" w:cs="宋体"/>
                <w:color w:val="auto"/>
                <w:kern w:val="2"/>
                <w:sz w:val="21"/>
                <w:szCs w:val="21"/>
                <w:lang w:eastAsia="zh-CN"/>
              </w:rPr>
            </w:pPr>
            <w:r>
              <w:rPr>
                <w:rFonts w:hint="default" w:ascii="宋体" w:hAnsi="宋体" w:eastAsia="宋体" w:cs="宋体"/>
                <w:color w:val="auto"/>
                <w:kern w:val="2"/>
                <w:sz w:val="21"/>
                <w:szCs w:val="21"/>
                <w:lang w:eastAsia="zh-CN"/>
              </w:rPr>
              <w:t>或净资产的利息净额</w:t>
            </w:r>
          </w:p>
        </w:tc>
        <w:tc>
          <w:tcPr>
            <w:tcW w:w="2875" w:type="pct"/>
            <w:shd w:val="clear" w:color="auto" w:fill="auto"/>
            <w:tcMar>
              <w:top w:w="109" w:type="dxa"/>
              <w:left w:w="109" w:type="dxa"/>
              <w:bottom w:w="109" w:type="dxa"/>
              <w:right w:w="109" w:type="dxa"/>
            </w:tcMar>
            <w:vAlign w:val="center"/>
          </w:tcPr>
          <w:p w14:paraId="3FBBB4B9">
            <w:pPr>
              <w:pStyle w:val="5"/>
              <w:keepNext w:val="0"/>
              <w:keepLines w:val="0"/>
              <w:widowControl/>
              <w:suppressLineNumbers w:val="0"/>
              <w:kinsoku/>
              <w:wordWrap/>
              <w:overflowPunct/>
              <w:bidi w:val="0"/>
              <w:spacing w:before="0" w:beforeAutospacing="0" w:after="0" w:afterAutospacing="0" w:line="312" w:lineRule="auto"/>
              <w:ind w:left="0"/>
              <w:jc w:val="left"/>
              <w:rPr>
                <w:rFonts w:hint="eastAsia" w:ascii="宋体" w:hAnsi="宋体" w:eastAsia="宋体" w:cs="宋体"/>
                <w:color w:val="auto"/>
                <w:kern w:val="2"/>
                <w:sz w:val="21"/>
                <w:szCs w:val="21"/>
                <w:lang w:eastAsia="zh-CN"/>
              </w:rPr>
            </w:pPr>
            <w:r>
              <w:rPr>
                <w:rFonts w:hint="default" w:ascii="宋体" w:hAnsi="宋体" w:eastAsia="宋体" w:cs="宋体"/>
                <w:color w:val="auto"/>
                <w:kern w:val="2"/>
                <w:sz w:val="21"/>
                <w:szCs w:val="21"/>
                <w:lang w:eastAsia="zh-CN"/>
              </w:rPr>
              <w:t>①精算利得和损失；</w:t>
            </w:r>
          </w:p>
          <w:p w14:paraId="251042A6">
            <w:pPr>
              <w:pStyle w:val="5"/>
              <w:keepNext w:val="0"/>
              <w:keepLines w:val="0"/>
              <w:widowControl/>
              <w:suppressLineNumbers w:val="0"/>
              <w:kinsoku/>
              <w:wordWrap/>
              <w:overflowPunct/>
              <w:bidi w:val="0"/>
              <w:spacing w:before="0" w:beforeAutospacing="0" w:after="0" w:afterAutospacing="0" w:line="312" w:lineRule="auto"/>
              <w:ind w:left="0"/>
              <w:jc w:val="left"/>
              <w:rPr>
                <w:rFonts w:hint="eastAsia" w:ascii="宋体" w:hAnsi="宋体" w:eastAsia="宋体" w:cs="宋体"/>
                <w:color w:val="auto"/>
                <w:kern w:val="2"/>
                <w:sz w:val="21"/>
                <w:szCs w:val="21"/>
                <w:lang w:eastAsia="zh-CN"/>
              </w:rPr>
            </w:pPr>
            <w:r>
              <w:rPr>
                <w:rFonts w:hint="default" w:ascii="宋体" w:hAnsi="宋体" w:eastAsia="宋体" w:cs="宋体"/>
                <w:color w:val="auto"/>
                <w:kern w:val="2"/>
                <w:sz w:val="21"/>
                <w:szCs w:val="21"/>
                <w:lang w:eastAsia="zh-CN"/>
              </w:rPr>
              <w:t>②计划资产回报，扣除包括在设定受益净负债或净资产的利息净额中的金额；</w:t>
            </w:r>
          </w:p>
          <w:p w14:paraId="14B40FEA">
            <w:pPr>
              <w:pStyle w:val="5"/>
              <w:keepNext w:val="0"/>
              <w:keepLines w:val="0"/>
              <w:widowControl/>
              <w:suppressLineNumbers w:val="0"/>
              <w:kinsoku/>
              <w:wordWrap/>
              <w:overflowPunct/>
              <w:bidi w:val="0"/>
              <w:spacing w:before="0" w:beforeAutospacing="0" w:after="0" w:afterAutospacing="0" w:line="312" w:lineRule="auto"/>
              <w:ind w:left="0"/>
              <w:jc w:val="left"/>
              <w:rPr>
                <w:rFonts w:hint="eastAsia" w:ascii="宋体" w:hAnsi="宋体" w:eastAsia="宋体" w:cs="宋体"/>
                <w:color w:val="auto"/>
                <w:kern w:val="2"/>
                <w:sz w:val="21"/>
                <w:szCs w:val="21"/>
                <w:lang w:eastAsia="zh-CN"/>
              </w:rPr>
            </w:pPr>
            <w:r>
              <w:rPr>
                <w:rFonts w:hint="default" w:ascii="宋体" w:hAnsi="宋体" w:eastAsia="宋体" w:cs="宋体"/>
                <w:color w:val="auto"/>
                <w:kern w:val="2"/>
                <w:sz w:val="21"/>
                <w:szCs w:val="21"/>
                <w:lang w:eastAsia="zh-CN"/>
              </w:rPr>
              <w:t>③资产上限影响的变动，扣除包括在设定受益净负债或净资产的利息净额中的金额</w:t>
            </w:r>
          </w:p>
        </w:tc>
      </w:tr>
    </w:tbl>
    <w:p w14:paraId="5F14233E">
      <w:pPr>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left="0" w:firstLine="0"/>
        <w:textAlignment w:val="auto"/>
        <w:outlineLvl w:val="9"/>
        <w:rPr>
          <w:rFonts w:hint="eastAsia" w:ascii="宋体" w:hAnsi="宋体" w:eastAsia="宋体" w:cs="宋体"/>
          <w:color w:val="auto"/>
          <w:sz w:val="21"/>
          <w:szCs w:val="21"/>
          <w:lang w:eastAsia="zh-CN"/>
        </w:rPr>
      </w:pPr>
    </w:p>
    <w:p w14:paraId="4475B102">
      <w:pPr>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left="0" w:firstLine="0"/>
        <w:textAlignment w:val="auto"/>
        <w:outlineLvl w:val="9"/>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eastAsia="zh-CN"/>
        </w:rPr>
        <w:t>【知识点】辞退福利</w:t>
      </w:r>
    </w:p>
    <w:p w14:paraId="4092B065">
      <w:pPr>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left="0" w:firstLine="0"/>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借</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管理费用　</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无论什么部门</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 xml:space="preserve"> </w:t>
      </w:r>
    </w:p>
    <w:p w14:paraId="06A88557">
      <w:pPr>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left="0" w:firstLine="0"/>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rPr>
        <w:t>　　</w:t>
      </w:r>
      <w:r>
        <w:rPr>
          <w:rFonts w:hint="eastAsia" w:ascii="宋体" w:hAnsi="宋体" w:eastAsia="宋体" w:cs="宋体"/>
          <w:color w:val="auto"/>
          <w:sz w:val="21"/>
          <w:szCs w:val="21"/>
          <w:lang w:eastAsia="zh-CN"/>
        </w:rPr>
        <w:t>贷</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应付职工薪酬——辞退福利</w:t>
      </w:r>
    </w:p>
    <w:p w14:paraId="594CAA19">
      <w:pPr>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left="0" w:firstLine="0"/>
        <w:textAlignment w:val="auto"/>
        <w:outlineLvl w:val="9"/>
        <w:rPr>
          <w:rFonts w:hint="default" w:ascii="宋体" w:hAnsi="宋体" w:eastAsia="宋体" w:cs="宋体"/>
          <w:b/>
          <w:color w:val="auto"/>
          <w:sz w:val="21"/>
          <w:szCs w:val="21"/>
          <w:lang w:val="en-US" w:eastAsia="zh-CN"/>
        </w:rPr>
      </w:pPr>
      <w:r>
        <w:rPr>
          <w:rFonts w:hint="eastAsia" w:ascii="宋体" w:hAnsi="宋体" w:eastAsia="宋体" w:cs="宋体"/>
          <w:b/>
          <w:color w:val="auto"/>
          <w:sz w:val="21"/>
          <w:szCs w:val="21"/>
        </w:rPr>
        <w:t>第十章  股份支付</w:t>
      </w:r>
      <w:r>
        <w:rPr>
          <w:rFonts w:hint="eastAsia" w:ascii="宋体" w:hAnsi="宋体" w:cs="宋体"/>
          <w:b/>
          <w:color w:val="auto"/>
          <w:sz w:val="21"/>
          <w:szCs w:val="21"/>
          <w:lang w:val="en-US" w:eastAsia="zh-CN"/>
        </w:rPr>
        <w:t xml:space="preserve">  </w:t>
      </w:r>
    </w:p>
    <w:p w14:paraId="15B94F44">
      <w:pPr>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left="0" w:firstLine="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预计今年考核客观题和主观题，分值为</w:t>
      </w:r>
      <w:r>
        <w:rPr>
          <w:rFonts w:hint="eastAsia" w:ascii="宋体" w:hAnsi="宋体" w:eastAsia="宋体" w:cs="宋体"/>
          <w:color w:val="auto"/>
          <w:sz w:val="21"/>
          <w:szCs w:val="21"/>
          <w:lang w:val="en-US" w:eastAsia="zh-CN"/>
        </w:rPr>
        <w:t>5-10</w:t>
      </w:r>
      <w:r>
        <w:rPr>
          <w:rFonts w:hint="eastAsia" w:ascii="宋体" w:hAnsi="宋体" w:eastAsia="宋体" w:cs="宋体"/>
          <w:color w:val="auto"/>
          <w:sz w:val="21"/>
          <w:szCs w:val="21"/>
        </w:rPr>
        <w:t>分。</w:t>
      </w:r>
    </w:p>
    <w:p w14:paraId="211898F7">
      <w:pPr>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left="0" w:firstLine="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考点</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股份支付的含义和特征</w:t>
      </w:r>
    </w:p>
    <w:tbl>
      <w:tblPr>
        <w:tblStyle w:val="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1158"/>
        <w:gridCol w:w="8966"/>
      </w:tblGrid>
      <w:tr w14:paraId="40062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66" w:hRule="atLeast"/>
        </w:trPr>
        <w:tc>
          <w:tcPr>
            <w:tcW w:w="572" w:type="pct"/>
            <w:shd w:val="clear" w:color="auto" w:fill="auto"/>
            <w:tcMar>
              <w:top w:w="69" w:type="dxa"/>
              <w:left w:w="104" w:type="dxa"/>
              <w:bottom w:w="69" w:type="dxa"/>
              <w:right w:w="104" w:type="dxa"/>
            </w:tcMar>
            <w:vAlign w:val="center"/>
          </w:tcPr>
          <w:p w14:paraId="48E37F6B">
            <w:pPr>
              <w:pStyle w:val="5"/>
              <w:keepNext w:val="0"/>
              <w:keepLines w:val="0"/>
              <w:widowControl/>
              <w:suppressLineNumbers w:val="0"/>
              <w:kinsoku/>
              <w:wordWrap/>
              <w:overflowPunct/>
              <w:bidi w:val="0"/>
              <w:spacing w:before="0" w:beforeAutospacing="0" w:after="0" w:afterAutospacing="0" w:line="360" w:lineRule="auto"/>
              <w:ind w:left="0" w:right="0"/>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含义</w:t>
            </w:r>
          </w:p>
        </w:tc>
        <w:tc>
          <w:tcPr>
            <w:tcW w:w="4427" w:type="pct"/>
            <w:shd w:val="clear" w:color="auto" w:fill="auto"/>
            <w:tcMar>
              <w:top w:w="69" w:type="dxa"/>
              <w:left w:w="104" w:type="dxa"/>
              <w:bottom w:w="69" w:type="dxa"/>
              <w:right w:w="104" w:type="dxa"/>
            </w:tcMar>
            <w:vAlign w:val="center"/>
          </w:tcPr>
          <w:p w14:paraId="72063785">
            <w:pPr>
              <w:pStyle w:val="5"/>
              <w:keepNext w:val="0"/>
              <w:keepLines w:val="0"/>
              <w:widowControl/>
              <w:suppressLineNumbers w:val="0"/>
              <w:kinsoku/>
              <w:wordWrap/>
              <w:overflowPunct/>
              <w:bidi w:val="0"/>
              <w:spacing w:before="0" w:beforeAutospacing="0" w:after="0" w:afterAutospacing="0" w:line="360" w:lineRule="auto"/>
              <w:ind w:left="0" w:right="0"/>
              <w:jc w:val="left"/>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股份支付：是“以股份为基础的支付”的简称，是指企业为获取职工和其他方提供服务而授予权益工具或者承担以权益工具为基础确定的负债的交易。</w:t>
            </w:r>
          </w:p>
        </w:tc>
      </w:tr>
      <w:tr w14:paraId="1C71C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95" w:hRule="atLeast"/>
        </w:trPr>
        <w:tc>
          <w:tcPr>
            <w:tcW w:w="572" w:type="pct"/>
            <w:shd w:val="clear" w:color="auto" w:fill="auto"/>
            <w:tcMar>
              <w:top w:w="69" w:type="dxa"/>
              <w:left w:w="104" w:type="dxa"/>
              <w:bottom w:w="69" w:type="dxa"/>
              <w:right w:w="104" w:type="dxa"/>
            </w:tcMar>
            <w:vAlign w:val="center"/>
          </w:tcPr>
          <w:p w14:paraId="7BD45BCA">
            <w:pPr>
              <w:pStyle w:val="5"/>
              <w:keepNext w:val="0"/>
              <w:keepLines w:val="0"/>
              <w:widowControl/>
              <w:suppressLineNumbers w:val="0"/>
              <w:kinsoku/>
              <w:wordWrap/>
              <w:overflowPunct/>
              <w:bidi w:val="0"/>
              <w:spacing w:before="0" w:beforeAutospacing="0" w:after="0" w:afterAutospacing="0" w:line="360" w:lineRule="auto"/>
              <w:ind w:left="0" w:right="0"/>
              <w:jc w:val="center"/>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特征</w:t>
            </w:r>
          </w:p>
        </w:tc>
        <w:tc>
          <w:tcPr>
            <w:tcW w:w="4427" w:type="pct"/>
            <w:shd w:val="clear" w:color="auto" w:fill="auto"/>
            <w:tcMar>
              <w:top w:w="69" w:type="dxa"/>
              <w:left w:w="104" w:type="dxa"/>
              <w:bottom w:w="69" w:type="dxa"/>
              <w:right w:w="104" w:type="dxa"/>
            </w:tcMar>
            <w:vAlign w:val="center"/>
          </w:tcPr>
          <w:p w14:paraId="779B31E6">
            <w:pPr>
              <w:pStyle w:val="5"/>
              <w:keepNext w:val="0"/>
              <w:keepLines w:val="0"/>
              <w:widowControl/>
              <w:suppressLineNumbers w:val="0"/>
              <w:kinsoku/>
              <w:wordWrap/>
              <w:overflowPunct/>
              <w:bidi w:val="0"/>
              <w:spacing w:before="0" w:beforeAutospacing="0" w:after="0" w:afterAutospacing="0" w:line="360" w:lineRule="auto"/>
              <w:ind w:left="0" w:right="0"/>
              <w:jc w:val="left"/>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（1）股份支付是企业与职工或其他方之间发生的交易；</w:t>
            </w:r>
          </w:p>
          <w:p w14:paraId="24A7BEBB">
            <w:pPr>
              <w:pStyle w:val="5"/>
              <w:keepNext w:val="0"/>
              <w:keepLines w:val="0"/>
              <w:widowControl/>
              <w:suppressLineNumbers w:val="0"/>
              <w:kinsoku/>
              <w:wordWrap/>
              <w:overflowPunct/>
              <w:bidi w:val="0"/>
              <w:spacing w:before="0" w:beforeAutospacing="0" w:after="0" w:afterAutospacing="0" w:line="360" w:lineRule="auto"/>
              <w:ind w:left="0" w:right="0"/>
              <w:jc w:val="left"/>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（2）股份支付是以获取职工或其他方服务为目的的交易；</w:t>
            </w:r>
          </w:p>
          <w:p w14:paraId="501BDA55">
            <w:pPr>
              <w:pStyle w:val="5"/>
              <w:keepNext w:val="0"/>
              <w:keepLines w:val="0"/>
              <w:widowControl/>
              <w:suppressLineNumbers w:val="0"/>
              <w:kinsoku/>
              <w:wordWrap/>
              <w:overflowPunct/>
              <w:bidi w:val="0"/>
              <w:spacing w:before="0" w:beforeAutospacing="0" w:after="0" w:afterAutospacing="0" w:line="360" w:lineRule="auto"/>
              <w:ind w:left="0" w:right="0"/>
              <w:jc w:val="left"/>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（3）股份支付交易的对价或其定价与企业自身权益工具未来的价值密切相关。</w:t>
            </w:r>
          </w:p>
        </w:tc>
      </w:tr>
    </w:tbl>
    <w:p w14:paraId="6444C120">
      <w:pPr>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left="0" w:firstLine="0"/>
        <w:textAlignment w:val="auto"/>
        <w:outlineLvl w:val="9"/>
        <w:rPr>
          <w:rFonts w:hint="eastAsia" w:ascii="宋体" w:hAnsi="宋体" w:eastAsia="宋体" w:cs="宋体"/>
          <w:color w:val="auto"/>
          <w:sz w:val="21"/>
          <w:szCs w:val="21"/>
        </w:rPr>
      </w:pPr>
    </w:p>
    <w:p w14:paraId="1E5361E5">
      <w:pPr>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left="0" w:firstLine="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考点</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股份支付工具的主要类型</w:t>
      </w:r>
    </w:p>
    <w:tbl>
      <w:tblPr>
        <w:tblStyle w:val="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1310"/>
        <w:gridCol w:w="1442"/>
        <w:gridCol w:w="7372"/>
      </w:tblGrid>
      <w:tr w14:paraId="6831F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1" w:hRule="atLeast"/>
        </w:trPr>
        <w:tc>
          <w:tcPr>
            <w:tcW w:w="647" w:type="pct"/>
            <w:shd w:val="clear" w:color="auto" w:fill="auto"/>
            <w:tcMar>
              <w:top w:w="69" w:type="dxa"/>
              <w:left w:w="104" w:type="dxa"/>
              <w:bottom w:w="69" w:type="dxa"/>
              <w:right w:w="104" w:type="dxa"/>
            </w:tcMar>
            <w:vAlign w:val="top"/>
          </w:tcPr>
          <w:p w14:paraId="4E38B92B">
            <w:pPr>
              <w:pStyle w:val="5"/>
              <w:keepNext w:val="0"/>
              <w:keepLines w:val="0"/>
              <w:widowControl/>
              <w:suppressLineNumbers w:val="0"/>
              <w:kinsoku/>
              <w:wordWrap/>
              <w:overflowPunct/>
              <w:bidi w:val="0"/>
              <w:spacing w:before="0" w:beforeAutospacing="0" w:after="0" w:afterAutospacing="0" w:line="273" w:lineRule="auto"/>
              <w:ind w:left="0" w:right="0" w:firstLine="0"/>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类型</w:t>
            </w:r>
          </w:p>
        </w:tc>
        <w:tc>
          <w:tcPr>
            <w:tcW w:w="4352" w:type="pct"/>
            <w:gridSpan w:val="2"/>
            <w:shd w:val="clear" w:color="auto" w:fill="auto"/>
            <w:tcMar>
              <w:top w:w="69" w:type="dxa"/>
              <w:left w:w="104" w:type="dxa"/>
              <w:bottom w:w="69" w:type="dxa"/>
              <w:right w:w="104" w:type="dxa"/>
            </w:tcMar>
            <w:vAlign w:val="top"/>
          </w:tcPr>
          <w:p w14:paraId="351D0F9C">
            <w:pPr>
              <w:pStyle w:val="5"/>
              <w:keepNext w:val="0"/>
              <w:keepLines w:val="0"/>
              <w:widowControl/>
              <w:suppressLineNumbers w:val="0"/>
              <w:kinsoku/>
              <w:wordWrap/>
              <w:overflowPunct/>
              <w:bidi w:val="0"/>
              <w:spacing w:before="0" w:beforeAutospacing="0" w:after="0" w:afterAutospacing="0" w:line="273" w:lineRule="auto"/>
              <w:ind w:left="0" w:right="0" w:firstLine="0"/>
              <w:jc w:val="center"/>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相关内容</w:t>
            </w:r>
          </w:p>
        </w:tc>
      </w:tr>
      <w:tr w14:paraId="5CF07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9" w:hRule="atLeast"/>
        </w:trPr>
        <w:tc>
          <w:tcPr>
            <w:tcW w:w="647" w:type="pct"/>
            <w:vMerge w:val="restart"/>
            <w:shd w:val="clear" w:color="auto" w:fill="auto"/>
            <w:tcMar>
              <w:top w:w="69" w:type="dxa"/>
              <w:left w:w="104" w:type="dxa"/>
              <w:bottom w:w="69" w:type="dxa"/>
              <w:right w:w="104" w:type="dxa"/>
            </w:tcMar>
            <w:vAlign w:val="center"/>
          </w:tcPr>
          <w:p w14:paraId="3BFC4628">
            <w:pPr>
              <w:pStyle w:val="5"/>
              <w:keepNext w:val="0"/>
              <w:keepLines w:val="0"/>
              <w:widowControl/>
              <w:suppressLineNumbers w:val="0"/>
              <w:kinsoku/>
              <w:wordWrap/>
              <w:overflowPunct/>
              <w:bidi w:val="0"/>
              <w:spacing w:before="0" w:beforeAutospacing="0" w:after="0" w:afterAutospacing="0" w:line="273" w:lineRule="auto"/>
              <w:ind w:left="0" w:right="0" w:firstLine="0"/>
              <w:jc w:val="both"/>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1.以权益结算的股份支付</w:t>
            </w:r>
          </w:p>
        </w:tc>
        <w:tc>
          <w:tcPr>
            <w:tcW w:w="712" w:type="pct"/>
            <w:shd w:val="clear" w:color="auto" w:fill="auto"/>
            <w:tcMar>
              <w:top w:w="69" w:type="dxa"/>
              <w:left w:w="104" w:type="dxa"/>
              <w:bottom w:w="69" w:type="dxa"/>
              <w:right w:w="104" w:type="dxa"/>
            </w:tcMar>
            <w:vAlign w:val="center"/>
          </w:tcPr>
          <w:p w14:paraId="54670421">
            <w:pPr>
              <w:pStyle w:val="5"/>
              <w:keepNext w:val="0"/>
              <w:keepLines w:val="0"/>
              <w:widowControl/>
              <w:suppressLineNumbers w:val="0"/>
              <w:kinsoku/>
              <w:wordWrap/>
              <w:overflowPunct/>
              <w:bidi w:val="0"/>
              <w:spacing w:before="0" w:beforeAutospacing="0" w:after="0" w:afterAutospacing="0" w:line="273" w:lineRule="auto"/>
              <w:ind w:left="0" w:right="0" w:firstLine="0"/>
              <w:jc w:val="center"/>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含义</w:t>
            </w:r>
          </w:p>
        </w:tc>
        <w:tc>
          <w:tcPr>
            <w:tcW w:w="3639" w:type="pct"/>
            <w:shd w:val="clear" w:color="auto" w:fill="auto"/>
            <w:tcMar>
              <w:top w:w="69" w:type="dxa"/>
              <w:left w:w="104" w:type="dxa"/>
              <w:bottom w:w="69" w:type="dxa"/>
              <w:right w:w="104" w:type="dxa"/>
            </w:tcMar>
            <w:vAlign w:val="top"/>
          </w:tcPr>
          <w:p w14:paraId="5D0FE095">
            <w:pPr>
              <w:pStyle w:val="5"/>
              <w:keepNext w:val="0"/>
              <w:keepLines w:val="0"/>
              <w:widowControl/>
              <w:suppressLineNumbers w:val="0"/>
              <w:kinsoku/>
              <w:wordWrap/>
              <w:overflowPunct/>
              <w:bidi w:val="0"/>
              <w:spacing w:before="0" w:beforeAutospacing="0" w:after="0" w:afterAutospacing="0" w:line="273" w:lineRule="auto"/>
              <w:ind w:left="0" w:right="0" w:firstLine="0"/>
              <w:jc w:val="left"/>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是指企业为获取服务而以股份或其他权益工具作为对价进行结算的交易。</w:t>
            </w:r>
          </w:p>
        </w:tc>
      </w:tr>
      <w:tr w14:paraId="393B9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46" w:hRule="atLeast"/>
        </w:trPr>
        <w:tc>
          <w:tcPr>
            <w:tcW w:w="647" w:type="pct"/>
            <w:vMerge w:val="continue"/>
            <w:shd w:val="clear" w:color="auto" w:fill="auto"/>
            <w:tcMar>
              <w:top w:w="69" w:type="dxa"/>
              <w:left w:w="104" w:type="dxa"/>
              <w:bottom w:w="69" w:type="dxa"/>
              <w:right w:w="104" w:type="dxa"/>
            </w:tcMar>
            <w:vAlign w:val="center"/>
          </w:tcPr>
          <w:p w14:paraId="78524E23">
            <w:pPr>
              <w:jc w:val="both"/>
              <w:rPr>
                <w:rFonts w:hint="eastAsia" w:ascii="宋体" w:hAnsi="宋体" w:eastAsia="宋体" w:cs="宋体"/>
                <w:color w:val="auto"/>
                <w:kern w:val="2"/>
                <w:sz w:val="21"/>
                <w:szCs w:val="21"/>
              </w:rPr>
            </w:pPr>
          </w:p>
        </w:tc>
        <w:tc>
          <w:tcPr>
            <w:tcW w:w="712" w:type="pct"/>
            <w:shd w:val="clear" w:color="auto" w:fill="auto"/>
            <w:tcMar>
              <w:top w:w="69" w:type="dxa"/>
              <w:left w:w="104" w:type="dxa"/>
              <w:bottom w:w="69" w:type="dxa"/>
              <w:right w:w="104" w:type="dxa"/>
            </w:tcMar>
            <w:vAlign w:val="center"/>
          </w:tcPr>
          <w:p w14:paraId="5780C01D">
            <w:pPr>
              <w:pStyle w:val="5"/>
              <w:keepNext w:val="0"/>
              <w:keepLines w:val="0"/>
              <w:widowControl/>
              <w:suppressLineNumbers w:val="0"/>
              <w:kinsoku/>
              <w:wordWrap/>
              <w:overflowPunct/>
              <w:bidi w:val="0"/>
              <w:spacing w:before="0" w:beforeAutospacing="0" w:after="0" w:afterAutospacing="0" w:line="273" w:lineRule="auto"/>
              <w:ind w:left="0" w:right="0" w:firstLine="0"/>
              <w:jc w:val="center"/>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常用工具</w:t>
            </w:r>
          </w:p>
        </w:tc>
        <w:tc>
          <w:tcPr>
            <w:tcW w:w="3639" w:type="pct"/>
            <w:shd w:val="clear" w:color="auto" w:fill="auto"/>
            <w:tcMar>
              <w:top w:w="69" w:type="dxa"/>
              <w:left w:w="104" w:type="dxa"/>
              <w:bottom w:w="69" w:type="dxa"/>
              <w:right w:w="104" w:type="dxa"/>
            </w:tcMar>
            <w:vAlign w:val="top"/>
          </w:tcPr>
          <w:p w14:paraId="7E8D1312">
            <w:pPr>
              <w:pStyle w:val="5"/>
              <w:keepNext w:val="0"/>
              <w:keepLines w:val="0"/>
              <w:widowControl/>
              <w:suppressLineNumbers w:val="0"/>
              <w:kinsoku/>
              <w:wordWrap/>
              <w:overflowPunct/>
              <w:bidi w:val="0"/>
              <w:spacing w:before="0" w:beforeAutospacing="0" w:after="0" w:afterAutospacing="0" w:line="273" w:lineRule="auto"/>
              <w:ind w:left="0" w:right="0" w:firstLine="0"/>
              <w:jc w:val="left"/>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限制性股票和股票期权</w:t>
            </w:r>
          </w:p>
        </w:tc>
      </w:tr>
      <w:tr w14:paraId="4C22D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89" w:hRule="atLeast"/>
        </w:trPr>
        <w:tc>
          <w:tcPr>
            <w:tcW w:w="647" w:type="pct"/>
            <w:vMerge w:val="continue"/>
            <w:shd w:val="clear" w:color="auto" w:fill="auto"/>
            <w:tcMar>
              <w:top w:w="69" w:type="dxa"/>
              <w:left w:w="104" w:type="dxa"/>
              <w:bottom w:w="69" w:type="dxa"/>
              <w:right w:w="104" w:type="dxa"/>
            </w:tcMar>
            <w:vAlign w:val="center"/>
          </w:tcPr>
          <w:p w14:paraId="51C3D7C7">
            <w:pPr>
              <w:jc w:val="both"/>
              <w:rPr>
                <w:rFonts w:hint="default" w:ascii="宋体" w:hAnsi="宋体" w:eastAsia="宋体" w:cs="宋体"/>
                <w:color w:val="auto"/>
                <w:kern w:val="2"/>
                <w:sz w:val="21"/>
                <w:szCs w:val="21"/>
              </w:rPr>
            </w:pPr>
          </w:p>
        </w:tc>
        <w:tc>
          <w:tcPr>
            <w:tcW w:w="712" w:type="pct"/>
            <w:shd w:val="clear" w:color="auto" w:fill="auto"/>
            <w:tcMar>
              <w:top w:w="69" w:type="dxa"/>
              <w:left w:w="104" w:type="dxa"/>
              <w:bottom w:w="69" w:type="dxa"/>
              <w:right w:w="104" w:type="dxa"/>
            </w:tcMar>
            <w:vAlign w:val="center"/>
          </w:tcPr>
          <w:p w14:paraId="4269D586">
            <w:pPr>
              <w:pStyle w:val="5"/>
              <w:keepNext w:val="0"/>
              <w:keepLines w:val="0"/>
              <w:widowControl/>
              <w:suppressLineNumbers w:val="0"/>
              <w:kinsoku/>
              <w:wordWrap/>
              <w:overflowPunct/>
              <w:bidi w:val="0"/>
              <w:spacing w:before="0" w:beforeAutospacing="0" w:after="0" w:afterAutospacing="0" w:line="273" w:lineRule="auto"/>
              <w:ind w:left="0" w:right="0" w:firstLine="0"/>
              <w:jc w:val="center"/>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账务处理</w:t>
            </w:r>
          </w:p>
        </w:tc>
        <w:tc>
          <w:tcPr>
            <w:tcW w:w="3639" w:type="pct"/>
            <w:shd w:val="clear" w:color="auto" w:fill="auto"/>
            <w:tcMar>
              <w:top w:w="69" w:type="dxa"/>
              <w:left w:w="104" w:type="dxa"/>
              <w:bottom w:w="69" w:type="dxa"/>
              <w:right w:w="104" w:type="dxa"/>
            </w:tcMar>
            <w:vAlign w:val="top"/>
          </w:tcPr>
          <w:p w14:paraId="259C069D">
            <w:pPr>
              <w:pStyle w:val="5"/>
              <w:keepNext w:val="0"/>
              <w:keepLines w:val="0"/>
              <w:widowControl/>
              <w:suppressLineNumbers w:val="0"/>
              <w:kinsoku/>
              <w:wordWrap/>
              <w:overflowPunct/>
              <w:bidi w:val="0"/>
              <w:spacing w:before="0" w:beforeAutospacing="0" w:after="0" w:afterAutospacing="0" w:line="273" w:lineRule="auto"/>
              <w:ind w:left="0" w:right="0" w:firstLine="0"/>
              <w:jc w:val="left"/>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借：管理费用（除立即可行权的情况外）</w:t>
            </w:r>
          </w:p>
          <w:p w14:paraId="75C9E36C">
            <w:pPr>
              <w:pStyle w:val="5"/>
              <w:keepNext w:val="0"/>
              <w:keepLines w:val="0"/>
              <w:widowControl/>
              <w:suppressLineNumbers w:val="0"/>
              <w:kinsoku/>
              <w:wordWrap/>
              <w:overflowPunct/>
              <w:bidi w:val="0"/>
              <w:spacing w:before="0" w:beforeAutospacing="0" w:after="0" w:afterAutospacing="0" w:line="273" w:lineRule="auto"/>
              <w:ind w:left="0" w:right="0" w:firstLine="0"/>
              <w:jc w:val="left"/>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　　贷：资本公积——其他资本公积</w:t>
            </w:r>
          </w:p>
        </w:tc>
      </w:tr>
      <w:tr w14:paraId="4C02B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89" w:hRule="atLeast"/>
        </w:trPr>
        <w:tc>
          <w:tcPr>
            <w:tcW w:w="647" w:type="pct"/>
            <w:vMerge w:val="restart"/>
            <w:shd w:val="clear" w:color="auto" w:fill="auto"/>
            <w:tcMar>
              <w:top w:w="69" w:type="dxa"/>
              <w:left w:w="104" w:type="dxa"/>
              <w:bottom w:w="69" w:type="dxa"/>
              <w:right w:w="104" w:type="dxa"/>
            </w:tcMar>
            <w:vAlign w:val="center"/>
          </w:tcPr>
          <w:p w14:paraId="1C889609">
            <w:pPr>
              <w:pStyle w:val="5"/>
              <w:keepNext w:val="0"/>
              <w:keepLines w:val="0"/>
              <w:widowControl/>
              <w:suppressLineNumbers w:val="0"/>
              <w:kinsoku/>
              <w:wordWrap/>
              <w:overflowPunct/>
              <w:bidi w:val="0"/>
              <w:spacing w:before="0" w:beforeAutospacing="0" w:after="0" w:afterAutospacing="0" w:line="273" w:lineRule="auto"/>
              <w:ind w:left="0" w:right="0" w:firstLine="0"/>
              <w:jc w:val="both"/>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2.以现金结算的股份支付</w:t>
            </w:r>
          </w:p>
        </w:tc>
        <w:tc>
          <w:tcPr>
            <w:tcW w:w="712" w:type="pct"/>
            <w:shd w:val="clear" w:color="auto" w:fill="auto"/>
            <w:tcMar>
              <w:top w:w="69" w:type="dxa"/>
              <w:left w:w="104" w:type="dxa"/>
              <w:bottom w:w="69" w:type="dxa"/>
              <w:right w:w="104" w:type="dxa"/>
            </w:tcMar>
            <w:vAlign w:val="center"/>
          </w:tcPr>
          <w:p w14:paraId="76749FF2">
            <w:pPr>
              <w:pStyle w:val="5"/>
              <w:keepNext w:val="0"/>
              <w:keepLines w:val="0"/>
              <w:widowControl/>
              <w:suppressLineNumbers w:val="0"/>
              <w:kinsoku/>
              <w:wordWrap/>
              <w:overflowPunct/>
              <w:bidi w:val="0"/>
              <w:spacing w:before="0" w:beforeAutospacing="0" w:after="0" w:afterAutospacing="0" w:line="273" w:lineRule="auto"/>
              <w:ind w:left="0" w:right="0" w:firstLine="0"/>
              <w:jc w:val="center"/>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含义</w:t>
            </w:r>
          </w:p>
        </w:tc>
        <w:tc>
          <w:tcPr>
            <w:tcW w:w="3639" w:type="pct"/>
            <w:shd w:val="clear" w:color="auto" w:fill="auto"/>
            <w:tcMar>
              <w:top w:w="69" w:type="dxa"/>
              <w:left w:w="104" w:type="dxa"/>
              <w:bottom w:w="69" w:type="dxa"/>
              <w:right w:w="104" w:type="dxa"/>
            </w:tcMar>
            <w:vAlign w:val="top"/>
          </w:tcPr>
          <w:p w14:paraId="015F5016">
            <w:pPr>
              <w:pStyle w:val="5"/>
              <w:keepNext w:val="0"/>
              <w:keepLines w:val="0"/>
              <w:widowControl/>
              <w:suppressLineNumbers w:val="0"/>
              <w:kinsoku/>
              <w:wordWrap/>
              <w:overflowPunct/>
              <w:bidi w:val="0"/>
              <w:spacing w:before="0" w:beforeAutospacing="0" w:after="0" w:afterAutospacing="0" w:line="273" w:lineRule="auto"/>
              <w:ind w:left="0" w:right="0" w:firstLine="0"/>
              <w:jc w:val="left"/>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是指企业为获取服务而承担的以股份或其他权益工具为基础计算的交付现金或其他资产的义务的交易。</w:t>
            </w:r>
          </w:p>
        </w:tc>
      </w:tr>
      <w:tr w14:paraId="3524C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32" w:hRule="atLeast"/>
        </w:trPr>
        <w:tc>
          <w:tcPr>
            <w:tcW w:w="647" w:type="pct"/>
            <w:vMerge w:val="continue"/>
            <w:shd w:val="clear" w:color="auto" w:fill="auto"/>
            <w:tcMar>
              <w:top w:w="69" w:type="dxa"/>
              <w:left w:w="104" w:type="dxa"/>
              <w:bottom w:w="69" w:type="dxa"/>
              <w:right w:w="104" w:type="dxa"/>
            </w:tcMar>
            <w:vAlign w:val="center"/>
          </w:tcPr>
          <w:p w14:paraId="397D6BD4">
            <w:pPr>
              <w:jc w:val="both"/>
              <w:rPr>
                <w:rFonts w:hint="default" w:ascii="宋体" w:hAnsi="宋体" w:eastAsia="宋体" w:cs="宋体"/>
                <w:color w:val="auto"/>
                <w:kern w:val="2"/>
                <w:sz w:val="21"/>
                <w:szCs w:val="21"/>
              </w:rPr>
            </w:pPr>
          </w:p>
        </w:tc>
        <w:tc>
          <w:tcPr>
            <w:tcW w:w="712" w:type="pct"/>
            <w:shd w:val="clear" w:color="auto" w:fill="auto"/>
            <w:tcMar>
              <w:top w:w="69" w:type="dxa"/>
              <w:left w:w="104" w:type="dxa"/>
              <w:bottom w:w="69" w:type="dxa"/>
              <w:right w:w="104" w:type="dxa"/>
            </w:tcMar>
            <w:vAlign w:val="center"/>
          </w:tcPr>
          <w:p w14:paraId="0F2764BF">
            <w:pPr>
              <w:pStyle w:val="5"/>
              <w:keepNext w:val="0"/>
              <w:keepLines w:val="0"/>
              <w:widowControl/>
              <w:suppressLineNumbers w:val="0"/>
              <w:kinsoku/>
              <w:wordWrap/>
              <w:overflowPunct/>
              <w:bidi w:val="0"/>
              <w:spacing w:before="0" w:beforeAutospacing="0" w:after="0" w:afterAutospacing="0" w:line="273" w:lineRule="auto"/>
              <w:ind w:left="0" w:right="0" w:firstLine="0"/>
              <w:jc w:val="center"/>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常用工具</w:t>
            </w:r>
          </w:p>
        </w:tc>
        <w:tc>
          <w:tcPr>
            <w:tcW w:w="3639" w:type="pct"/>
            <w:shd w:val="clear" w:color="auto" w:fill="auto"/>
            <w:tcMar>
              <w:top w:w="69" w:type="dxa"/>
              <w:left w:w="104" w:type="dxa"/>
              <w:bottom w:w="69" w:type="dxa"/>
              <w:right w:w="104" w:type="dxa"/>
            </w:tcMar>
            <w:vAlign w:val="top"/>
          </w:tcPr>
          <w:p w14:paraId="64DC8F61">
            <w:pPr>
              <w:pStyle w:val="5"/>
              <w:keepNext w:val="0"/>
              <w:keepLines w:val="0"/>
              <w:widowControl/>
              <w:suppressLineNumbers w:val="0"/>
              <w:kinsoku/>
              <w:wordWrap/>
              <w:overflowPunct/>
              <w:bidi w:val="0"/>
              <w:spacing w:before="0" w:beforeAutospacing="0" w:after="0" w:afterAutospacing="0" w:line="273" w:lineRule="auto"/>
              <w:ind w:left="0" w:right="0" w:firstLine="0"/>
              <w:jc w:val="left"/>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模拟股票和现金股票增值权。（与股票挂钩，以现金支付）</w:t>
            </w:r>
          </w:p>
          <w:p w14:paraId="612FA6B9">
            <w:pPr>
              <w:pStyle w:val="5"/>
              <w:keepNext w:val="0"/>
              <w:keepLines w:val="0"/>
              <w:widowControl/>
              <w:suppressLineNumbers w:val="0"/>
              <w:kinsoku/>
              <w:wordWrap/>
              <w:overflowPunct/>
              <w:bidi w:val="0"/>
              <w:spacing w:before="0" w:beforeAutospacing="0" w:after="0" w:afterAutospacing="0" w:line="273" w:lineRule="auto"/>
              <w:ind w:left="0" w:right="0" w:firstLine="0"/>
              <w:jc w:val="left"/>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其中：模拟股票与限制性股票类似，现金股票增值权与股票期权类似。</w:t>
            </w:r>
          </w:p>
        </w:tc>
      </w:tr>
      <w:tr w14:paraId="6C1A7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8" w:hRule="atLeast"/>
        </w:trPr>
        <w:tc>
          <w:tcPr>
            <w:tcW w:w="647" w:type="pct"/>
            <w:vMerge w:val="continue"/>
            <w:shd w:val="clear" w:color="auto" w:fill="auto"/>
            <w:tcMar>
              <w:top w:w="69" w:type="dxa"/>
              <w:left w:w="104" w:type="dxa"/>
              <w:bottom w:w="69" w:type="dxa"/>
              <w:right w:w="104" w:type="dxa"/>
            </w:tcMar>
            <w:vAlign w:val="center"/>
          </w:tcPr>
          <w:p w14:paraId="52159D38">
            <w:pPr>
              <w:jc w:val="both"/>
              <w:rPr>
                <w:rFonts w:hint="default" w:ascii="宋体" w:hAnsi="宋体" w:eastAsia="宋体" w:cs="宋体"/>
                <w:color w:val="auto"/>
                <w:kern w:val="2"/>
                <w:sz w:val="21"/>
                <w:szCs w:val="21"/>
              </w:rPr>
            </w:pPr>
          </w:p>
        </w:tc>
        <w:tc>
          <w:tcPr>
            <w:tcW w:w="712" w:type="pct"/>
            <w:shd w:val="clear" w:color="auto" w:fill="auto"/>
            <w:tcMar>
              <w:top w:w="69" w:type="dxa"/>
              <w:left w:w="104" w:type="dxa"/>
              <w:bottom w:w="69" w:type="dxa"/>
              <w:right w:w="104" w:type="dxa"/>
            </w:tcMar>
            <w:vAlign w:val="center"/>
          </w:tcPr>
          <w:p w14:paraId="534084A4">
            <w:pPr>
              <w:pStyle w:val="5"/>
              <w:keepNext w:val="0"/>
              <w:keepLines w:val="0"/>
              <w:widowControl/>
              <w:suppressLineNumbers w:val="0"/>
              <w:kinsoku/>
              <w:wordWrap/>
              <w:overflowPunct/>
              <w:bidi w:val="0"/>
              <w:spacing w:before="0" w:beforeAutospacing="0" w:after="0" w:afterAutospacing="0" w:line="273" w:lineRule="auto"/>
              <w:ind w:left="0" w:right="0" w:firstLine="0"/>
              <w:jc w:val="center"/>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账务处理</w:t>
            </w:r>
          </w:p>
        </w:tc>
        <w:tc>
          <w:tcPr>
            <w:tcW w:w="3639" w:type="pct"/>
            <w:shd w:val="clear" w:color="auto" w:fill="auto"/>
            <w:tcMar>
              <w:top w:w="69" w:type="dxa"/>
              <w:left w:w="104" w:type="dxa"/>
              <w:bottom w:w="69" w:type="dxa"/>
              <w:right w:w="104" w:type="dxa"/>
            </w:tcMar>
            <w:vAlign w:val="top"/>
          </w:tcPr>
          <w:p w14:paraId="05D2C889">
            <w:pPr>
              <w:pStyle w:val="5"/>
              <w:keepNext w:val="0"/>
              <w:keepLines w:val="0"/>
              <w:widowControl/>
              <w:suppressLineNumbers w:val="0"/>
              <w:kinsoku/>
              <w:wordWrap/>
              <w:overflowPunct/>
              <w:bidi w:val="0"/>
              <w:spacing w:before="0" w:beforeAutospacing="0" w:after="0" w:afterAutospacing="0" w:line="273" w:lineRule="auto"/>
              <w:ind w:left="0" w:right="0" w:firstLine="0"/>
              <w:jc w:val="left"/>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借：管理费用</w:t>
            </w:r>
          </w:p>
          <w:p w14:paraId="29AC5BC7">
            <w:pPr>
              <w:pStyle w:val="5"/>
              <w:keepNext w:val="0"/>
              <w:keepLines w:val="0"/>
              <w:widowControl/>
              <w:suppressLineNumbers w:val="0"/>
              <w:kinsoku/>
              <w:wordWrap/>
              <w:overflowPunct/>
              <w:bidi w:val="0"/>
              <w:spacing w:before="0" w:beforeAutospacing="0" w:after="0" w:afterAutospacing="0" w:line="273" w:lineRule="auto"/>
              <w:ind w:left="0" w:right="0" w:firstLine="0"/>
              <w:jc w:val="left"/>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　　贷：应付职工薪酬</w:t>
            </w:r>
          </w:p>
        </w:tc>
      </w:tr>
    </w:tbl>
    <w:p w14:paraId="2DDAFB2D">
      <w:pPr>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left="0" w:firstLine="0"/>
        <w:textAlignment w:val="auto"/>
        <w:outlineLvl w:val="9"/>
        <w:rPr>
          <w:rFonts w:hint="eastAsia" w:ascii="宋体" w:hAnsi="宋体" w:eastAsia="宋体" w:cs="宋体"/>
          <w:color w:val="auto"/>
          <w:sz w:val="21"/>
          <w:szCs w:val="21"/>
        </w:rPr>
      </w:pPr>
    </w:p>
    <w:p w14:paraId="0E2FE889">
      <w:pPr>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left="0" w:firstLine="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考点</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股份支付相关账务处理</w:t>
      </w:r>
    </w:p>
    <w:tbl>
      <w:tblPr>
        <w:tblStyle w:val="6"/>
        <w:tblW w:w="498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1358"/>
        <w:gridCol w:w="3249"/>
        <w:gridCol w:w="5499"/>
      </w:tblGrid>
      <w:tr w14:paraId="4853D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13" w:hRule="atLeast"/>
        </w:trPr>
        <w:tc>
          <w:tcPr>
            <w:tcW w:w="2279" w:type="pct"/>
            <w:gridSpan w:val="2"/>
            <w:shd w:val="clear" w:color="auto" w:fill="auto"/>
            <w:tcMar>
              <w:top w:w="69" w:type="dxa"/>
              <w:left w:w="104" w:type="dxa"/>
              <w:bottom w:w="69" w:type="dxa"/>
              <w:right w:w="104" w:type="dxa"/>
            </w:tcMar>
            <w:vAlign w:val="top"/>
          </w:tcPr>
          <w:p w14:paraId="34F1A074">
            <w:pPr>
              <w:pStyle w:val="5"/>
              <w:keepNext w:val="0"/>
              <w:keepLines w:val="0"/>
              <w:widowControl/>
              <w:suppressLineNumbers w:val="0"/>
              <w:kinsoku/>
              <w:wordWrap/>
              <w:overflowPunct/>
              <w:bidi w:val="0"/>
              <w:spacing w:before="0" w:beforeAutospacing="0" w:after="0" w:afterAutospacing="0" w:line="273" w:lineRule="auto"/>
              <w:ind w:left="0" w:right="0" w:firstLine="0"/>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权益结算（限制性股票和股票期权）</w:t>
            </w:r>
          </w:p>
        </w:tc>
        <w:tc>
          <w:tcPr>
            <w:tcW w:w="2720" w:type="pct"/>
            <w:shd w:val="clear" w:color="auto" w:fill="auto"/>
            <w:tcMar>
              <w:top w:w="69" w:type="dxa"/>
              <w:left w:w="104" w:type="dxa"/>
              <w:bottom w:w="69" w:type="dxa"/>
              <w:right w:w="104" w:type="dxa"/>
            </w:tcMar>
            <w:vAlign w:val="top"/>
          </w:tcPr>
          <w:p w14:paraId="4DBF91EA">
            <w:pPr>
              <w:pStyle w:val="5"/>
              <w:keepNext w:val="0"/>
              <w:keepLines w:val="0"/>
              <w:widowControl/>
              <w:suppressLineNumbers w:val="0"/>
              <w:kinsoku/>
              <w:wordWrap/>
              <w:overflowPunct/>
              <w:bidi w:val="0"/>
              <w:spacing w:before="0" w:beforeAutospacing="0" w:after="0" w:afterAutospacing="0" w:line="273" w:lineRule="auto"/>
              <w:ind w:left="0" w:right="0" w:firstLine="0"/>
              <w:jc w:val="center"/>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现金结算（模拟股票和现金股票增值）</w:t>
            </w:r>
          </w:p>
        </w:tc>
      </w:tr>
      <w:tr w14:paraId="176FA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67" w:hRule="atLeast"/>
        </w:trPr>
        <w:tc>
          <w:tcPr>
            <w:tcW w:w="672" w:type="pct"/>
            <w:vMerge w:val="restart"/>
            <w:shd w:val="clear" w:color="auto" w:fill="auto"/>
            <w:tcMar>
              <w:top w:w="69" w:type="dxa"/>
              <w:left w:w="104" w:type="dxa"/>
              <w:bottom w:w="69" w:type="dxa"/>
              <w:right w:w="104" w:type="dxa"/>
            </w:tcMar>
            <w:vAlign w:val="center"/>
          </w:tcPr>
          <w:p w14:paraId="06FB1F2E">
            <w:pPr>
              <w:pStyle w:val="5"/>
              <w:keepNext w:val="0"/>
              <w:keepLines w:val="0"/>
              <w:widowControl/>
              <w:suppressLineNumbers w:val="0"/>
              <w:kinsoku/>
              <w:wordWrap/>
              <w:overflowPunct/>
              <w:bidi w:val="0"/>
              <w:spacing w:before="0" w:beforeAutospacing="0" w:after="0" w:afterAutospacing="0" w:line="273" w:lineRule="auto"/>
              <w:ind w:left="0" w:right="0" w:firstLine="0"/>
              <w:jc w:val="both"/>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①授予日</w:t>
            </w:r>
          </w:p>
        </w:tc>
        <w:tc>
          <w:tcPr>
            <w:tcW w:w="1606" w:type="pct"/>
            <w:shd w:val="clear" w:color="auto" w:fill="auto"/>
            <w:tcMar>
              <w:top w:w="69" w:type="dxa"/>
              <w:left w:w="104" w:type="dxa"/>
              <w:bottom w:w="69" w:type="dxa"/>
              <w:right w:w="104" w:type="dxa"/>
            </w:tcMar>
            <w:vAlign w:val="top"/>
          </w:tcPr>
          <w:p w14:paraId="65A42FD4">
            <w:pPr>
              <w:pStyle w:val="5"/>
              <w:keepNext w:val="0"/>
              <w:keepLines w:val="0"/>
              <w:widowControl/>
              <w:suppressLineNumbers w:val="0"/>
              <w:kinsoku/>
              <w:wordWrap/>
              <w:overflowPunct/>
              <w:bidi w:val="0"/>
              <w:spacing w:before="0" w:beforeAutospacing="0" w:after="0" w:afterAutospacing="0" w:line="273" w:lineRule="auto"/>
              <w:ind w:left="0" w:right="0" w:firstLine="0"/>
              <w:jc w:val="both"/>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A．立即可行权（无等待期）</w:t>
            </w:r>
          </w:p>
          <w:p w14:paraId="40AC50C0">
            <w:pPr>
              <w:pStyle w:val="5"/>
              <w:keepNext w:val="0"/>
              <w:keepLines w:val="0"/>
              <w:widowControl/>
              <w:suppressLineNumbers w:val="0"/>
              <w:kinsoku/>
              <w:wordWrap/>
              <w:overflowPunct/>
              <w:bidi w:val="0"/>
              <w:spacing w:before="0" w:beforeAutospacing="0" w:after="0" w:afterAutospacing="0" w:line="273" w:lineRule="auto"/>
              <w:ind w:left="0" w:right="0" w:firstLine="0"/>
              <w:jc w:val="both"/>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借：管理费用</w:t>
            </w:r>
          </w:p>
          <w:p w14:paraId="10F2D6FF">
            <w:pPr>
              <w:pStyle w:val="5"/>
              <w:keepNext w:val="0"/>
              <w:keepLines w:val="0"/>
              <w:widowControl/>
              <w:suppressLineNumbers w:val="0"/>
              <w:kinsoku/>
              <w:wordWrap/>
              <w:overflowPunct/>
              <w:bidi w:val="0"/>
              <w:spacing w:before="0" w:beforeAutospacing="0" w:after="0" w:afterAutospacing="0" w:line="273" w:lineRule="auto"/>
              <w:ind w:left="0" w:right="0" w:firstLine="0"/>
              <w:jc w:val="both"/>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　　贷：资本公积——股本溢价</w:t>
            </w:r>
          </w:p>
        </w:tc>
        <w:tc>
          <w:tcPr>
            <w:tcW w:w="2720" w:type="pct"/>
            <w:shd w:val="clear" w:color="auto" w:fill="auto"/>
            <w:tcMar>
              <w:top w:w="69" w:type="dxa"/>
              <w:left w:w="104" w:type="dxa"/>
              <w:bottom w:w="69" w:type="dxa"/>
              <w:right w:w="104" w:type="dxa"/>
            </w:tcMar>
            <w:vAlign w:val="top"/>
          </w:tcPr>
          <w:p w14:paraId="59AEB7A5">
            <w:pPr>
              <w:pStyle w:val="5"/>
              <w:keepNext w:val="0"/>
              <w:keepLines w:val="0"/>
              <w:widowControl/>
              <w:suppressLineNumbers w:val="0"/>
              <w:kinsoku/>
              <w:wordWrap/>
              <w:overflowPunct/>
              <w:bidi w:val="0"/>
              <w:spacing w:before="0" w:beforeAutospacing="0" w:after="0" w:afterAutospacing="0" w:line="273" w:lineRule="auto"/>
              <w:ind w:left="0" w:right="0" w:firstLine="0"/>
              <w:jc w:val="both"/>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A．立即可行权（无等待期）</w:t>
            </w:r>
          </w:p>
          <w:p w14:paraId="60804322">
            <w:pPr>
              <w:pStyle w:val="5"/>
              <w:keepNext w:val="0"/>
              <w:keepLines w:val="0"/>
              <w:widowControl/>
              <w:suppressLineNumbers w:val="0"/>
              <w:kinsoku/>
              <w:wordWrap/>
              <w:overflowPunct/>
              <w:bidi w:val="0"/>
              <w:spacing w:before="0" w:beforeAutospacing="0" w:after="0" w:afterAutospacing="0" w:line="273" w:lineRule="auto"/>
              <w:ind w:left="0" w:right="0" w:firstLine="0"/>
              <w:jc w:val="both"/>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借：管理费用</w:t>
            </w:r>
          </w:p>
          <w:p w14:paraId="26F8A8A8">
            <w:pPr>
              <w:pStyle w:val="5"/>
              <w:keepNext w:val="0"/>
              <w:keepLines w:val="0"/>
              <w:widowControl/>
              <w:suppressLineNumbers w:val="0"/>
              <w:kinsoku/>
              <w:wordWrap/>
              <w:overflowPunct/>
              <w:bidi w:val="0"/>
              <w:spacing w:before="0" w:beforeAutospacing="0" w:after="0" w:afterAutospacing="0" w:line="273" w:lineRule="auto"/>
              <w:ind w:left="0" w:right="0" w:firstLine="0"/>
              <w:jc w:val="both"/>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　　贷：应付职工薪酬</w:t>
            </w:r>
          </w:p>
        </w:tc>
      </w:tr>
      <w:tr w14:paraId="08BD1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13" w:hRule="atLeast"/>
        </w:trPr>
        <w:tc>
          <w:tcPr>
            <w:tcW w:w="672" w:type="pct"/>
            <w:vMerge w:val="continue"/>
            <w:shd w:val="clear" w:color="auto" w:fill="auto"/>
            <w:tcMar>
              <w:top w:w="69" w:type="dxa"/>
              <w:left w:w="104" w:type="dxa"/>
              <w:bottom w:w="69" w:type="dxa"/>
              <w:right w:w="104" w:type="dxa"/>
            </w:tcMar>
            <w:vAlign w:val="center"/>
          </w:tcPr>
          <w:p w14:paraId="57A6FA2E">
            <w:pPr>
              <w:jc w:val="both"/>
              <w:rPr>
                <w:rFonts w:hint="eastAsia" w:ascii="宋体" w:hAnsi="宋体" w:eastAsia="宋体" w:cs="宋体"/>
                <w:color w:val="auto"/>
                <w:kern w:val="2"/>
                <w:sz w:val="21"/>
                <w:szCs w:val="21"/>
              </w:rPr>
            </w:pPr>
          </w:p>
        </w:tc>
        <w:tc>
          <w:tcPr>
            <w:tcW w:w="1606" w:type="pct"/>
            <w:shd w:val="clear" w:color="auto" w:fill="auto"/>
            <w:tcMar>
              <w:top w:w="69" w:type="dxa"/>
              <w:left w:w="104" w:type="dxa"/>
              <w:bottom w:w="69" w:type="dxa"/>
              <w:right w:w="104" w:type="dxa"/>
            </w:tcMar>
            <w:vAlign w:val="top"/>
          </w:tcPr>
          <w:p w14:paraId="38876614">
            <w:pPr>
              <w:pStyle w:val="5"/>
              <w:keepNext w:val="0"/>
              <w:keepLines w:val="0"/>
              <w:widowControl/>
              <w:suppressLineNumbers w:val="0"/>
              <w:kinsoku/>
              <w:wordWrap/>
              <w:overflowPunct/>
              <w:bidi w:val="0"/>
              <w:spacing w:before="0" w:beforeAutospacing="0" w:after="0" w:afterAutospacing="0" w:line="273" w:lineRule="auto"/>
              <w:ind w:left="0" w:right="0" w:firstLine="0"/>
              <w:jc w:val="both"/>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B．有等待期：不作账务处理</w:t>
            </w:r>
          </w:p>
        </w:tc>
        <w:tc>
          <w:tcPr>
            <w:tcW w:w="2720" w:type="pct"/>
            <w:shd w:val="clear" w:color="auto" w:fill="auto"/>
            <w:tcMar>
              <w:top w:w="69" w:type="dxa"/>
              <w:left w:w="104" w:type="dxa"/>
              <w:bottom w:w="69" w:type="dxa"/>
              <w:right w:w="104" w:type="dxa"/>
            </w:tcMar>
            <w:vAlign w:val="top"/>
          </w:tcPr>
          <w:p w14:paraId="75D4BF48">
            <w:pPr>
              <w:pStyle w:val="5"/>
              <w:keepNext w:val="0"/>
              <w:keepLines w:val="0"/>
              <w:widowControl/>
              <w:suppressLineNumbers w:val="0"/>
              <w:kinsoku/>
              <w:wordWrap/>
              <w:overflowPunct/>
              <w:bidi w:val="0"/>
              <w:spacing w:before="0" w:beforeAutospacing="0" w:after="0" w:afterAutospacing="0" w:line="273" w:lineRule="auto"/>
              <w:ind w:left="0" w:right="0" w:firstLine="0"/>
              <w:jc w:val="both"/>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B．有等待期：不作账务处理</w:t>
            </w:r>
          </w:p>
        </w:tc>
      </w:tr>
      <w:tr w14:paraId="3A4B9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2279" w:type="pct"/>
            <w:gridSpan w:val="2"/>
            <w:shd w:val="clear" w:color="auto" w:fill="auto"/>
            <w:tcMar>
              <w:top w:w="69" w:type="dxa"/>
              <w:left w:w="104" w:type="dxa"/>
              <w:bottom w:w="69" w:type="dxa"/>
              <w:right w:w="104" w:type="dxa"/>
            </w:tcMar>
            <w:vAlign w:val="center"/>
          </w:tcPr>
          <w:p w14:paraId="17797FF2">
            <w:pPr>
              <w:pStyle w:val="5"/>
              <w:keepNext w:val="0"/>
              <w:keepLines w:val="0"/>
              <w:widowControl/>
              <w:suppressLineNumbers w:val="0"/>
              <w:kinsoku/>
              <w:wordWrap/>
              <w:overflowPunct/>
              <w:bidi w:val="0"/>
              <w:spacing w:before="0" w:beforeAutospacing="0" w:after="0" w:afterAutospacing="0" w:line="273" w:lineRule="auto"/>
              <w:ind w:left="0" w:right="0" w:firstLine="0"/>
              <w:jc w:val="both"/>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②等待期每个资产负债表日</w:t>
            </w:r>
          </w:p>
          <w:p w14:paraId="61A0D7DA">
            <w:pPr>
              <w:pStyle w:val="5"/>
              <w:keepNext w:val="0"/>
              <w:keepLines w:val="0"/>
              <w:widowControl/>
              <w:suppressLineNumbers w:val="0"/>
              <w:kinsoku/>
              <w:wordWrap/>
              <w:overflowPunct/>
              <w:bidi w:val="0"/>
              <w:spacing w:before="0" w:beforeAutospacing="0" w:after="0" w:afterAutospacing="0" w:line="273" w:lineRule="auto"/>
              <w:ind w:left="0" w:right="0" w:firstLine="0"/>
              <w:jc w:val="both"/>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借：管理费用（授予日的公允价值不变）</w:t>
            </w:r>
          </w:p>
          <w:p w14:paraId="4AF0CBD1">
            <w:pPr>
              <w:pStyle w:val="5"/>
              <w:keepNext w:val="0"/>
              <w:keepLines w:val="0"/>
              <w:widowControl/>
              <w:suppressLineNumbers w:val="0"/>
              <w:kinsoku/>
              <w:wordWrap/>
              <w:overflowPunct/>
              <w:bidi w:val="0"/>
              <w:spacing w:before="0" w:beforeAutospacing="0" w:after="0" w:afterAutospacing="0" w:line="273" w:lineRule="auto"/>
              <w:ind w:left="0" w:right="0" w:firstLine="0"/>
              <w:jc w:val="both"/>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　　贷：资本公积——其他资本公积</w:t>
            </w:r>
          </w:p>
        </w:tc>
        <w:tc>
          <w:tcPr>
            <w:tcW w:w="2720" w:type="pct"/>
            <w:shd w:val="clear" w:color="auto" w:fill="auto"/>
            <w:tcMar>
              <w:top w:w="69" w:type="dxa"/>
              <w:left w:w="104" w:type="dxa"/>
              <w:bottom w:w="69" w:type="dxa"/>
              <w:right w:w="104" w:type="dxa"/>
            </w:tcMar>
            <w:vAlign w:val="top"/>
          </w:tcPr>
          <w:p w14:paraId="1DF1DEBD">
            <w:pPr>
              <w:pStyle w:val="5"/>
              <w:keepNext w:val="0"/>
              <w:keepLines w:val="0"/>
              <w:widowControl/>
              <w:suppressLineNumbers w:val="0"/>
              <w:kinsoku/>
              <w:wordWrap/>
              <w:overflowPunct/>
              <w:bidi w:val="0"/>
              <w:spacing w:before="0" w:beforeAutospacing="0" w:after="0" w:afterAutospacing="0" w:line="273" w:lineRule="auto"/>
              <w:ind w:left="0" w:right="0" w:firstLine="0"/>
              <w:jc w:val="both"/>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②等待期每个资产负债表日</w:t>
            </w:r>
          </w:p>
          <w:p w14:paraId="2B8700EC">
            <w:pPr>
              <w:pStyle w:val="5"/>
              <w:keepNext w:val="0"/>
              <w:keepLines w:val="0"/>
              <w:widowControl/>
              <w:suppressLineNumbers w:val="0"/>
              <w:kinsoku/>
              <w:wordWrap/>
              <w:overflowPunct/>
              <w:bidi w:val="0"/>
              <w:spacing w:before="0" w:beforeAutospacing="0" w:after="0" w:afterAutospacing="0" w:line="273" w:lineRule="auto"/>
              <w:ind w:left="0" w:right="0" w:firstLine="0"/>
              <w:jc w:val="both"/>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借：管理费用（每个资产负债表日的公允价值重新计算）</w:t>
            </w:r>
          </w:p>
          <w:p w14:paraId="64DCC300">
            <w:pPr>
              <w:pStyle w:val="5"/>
              <w:keepNext w:val="0"/>
              <w:keepLines w:val="0"/>
              <w:widowControl/>
              <w:suppressLineNumbers w:val="0"/>
              <w:kinsoku/>
              <w:wordWrap/>
              <w:overflowPunct/>
              <w:bidi w:val="0"/>
              <w:spacing w:before="0" w:beforeAutospacing="0" w:after="0" w:afterAutospacing="0" w:line="273" w:lineRule="auto"/>
              <w:ind w:left="0" w:right="0" w:firstLine="0"/>
              <w:jc w:val="both"/>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　　贷：应付职工薪酬</w:t>
            </w:r>
          </w:p>
        </w:tc>
      </w:tr>
      <w:tr w14:paraId="5CB06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2279" w:type="pct"/>
            <w:gridSpan w:val="2"/>
            <w:shd w:val="clear" w:color="auto" w:fill="auto"/>
            <w:tcMar>
              <w:top w:w="69" w:type="dxa"/>
              <w:left w:w="104" w:type="dxa"/>
              <w:bottom w:w="69" w:type="dxa"/>
              <w:right w:w="104" w:type="dxa"/>
            </w:tcMar>
            <w:vAlign w:val="top"/>
          </w:tcPr>
          <w:p w14:paraId="2369F108">
            <w:pPr>
              <w:pStyle w:val="5"/>
              <w:keepNext w:val="0"/>
              <w:keepLines w:val="0"/>
              <w:widowControl/>
              <w:suppressLineNumbers w:val="0"/>
              <w:kinsoku/>
              <w:wordWrap/>
              <w:overflowPunct/>
              <w:bidi w:val="0"/>
              <w:spacing w:before="0" w:beforeAutospacing="0" w:after="0" w:afterAutospacing="0" w:line="273" w:lineRule="auto"/>
              <w:ind w:left="0" w:right="0" w:firstLine="0"/>
              <w:jc w:val="both"/>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③等待期结束（可行权日）至行权日：</w:t>
            </w:r>
          </w:p>
          <w:p w14:paraId="2091849C">
            <w:pPr>
              <w:pStyle w:val="5"/>
              <w:keepNext w:val="0"/>
              <w:keepLines w:val="0"/>
              <w:widowControl/>
              <w:suppressLineNumbers w:val="0"/>
              <w:kinsoku/>
              <w:wordWrap/>
              <w:overflowPunct/>
              <w:bidi w:val="0"/>
              <w:spacing w:before="0" w:beforeAutospacing="0" w:after="0" w:afterAutospacing="0" w:line="273" w:lineRule="auto"/>
              <w:ind w:left="0" w:right="0" w:firstLine="0"/>
              <w:jc w:val="both"/>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不作任何账务处理</w:t>
            </w:r>
          </w:p>
        </w:tc>
        <w:tc>
          <w:tcPr>
            <w:tcW w:w="2720" w:type="pct"/>
            <w:vMerge w:val="restart"/>
            <w:shd w:val="clear" w:color="auto" w:fill="auto"/>
            <w:tcMar>
              <w:top w:w="69" w:type="dxa"/>
              <w:left w:w="104" w:type="dxa"/>
              <w:bottom w:w="69" w:type="dxa"/>
              <w:right w:w="104" w:type="dxa"/>
            </w:tcMar>
            <w:vAlign w:val="center"/>
          </w:tcPr>
          <w:p w14:paraId="1931D128">
            <w:pPr>
              <w:pStyle w:val="5"/>
              <w:keepNext w:val="0"/>
              <w:keepLines w:val="0"/>
              <w:widowControl/>
              <w:suppressLineNumbers w:val="0"/>
              <w:kinsoku/>
              <w:wordWrap/>
              <w:overflowPunct/>
              <w:bidi w:val="0"/>
              <w:spacing w:before="0" w:beforeAutospacing="0" w:after="0" w:afterAutospacing="0" w:line="273" w:lineRule="auto"/>
              <w:ind w:left="0" w:right="0" w:firstLine="0"/>
              <w:jc w:val="left"/>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③等待期结束后：</w:t>
            </w:r>
          </w:p>
          <w:p w14:paraId="69D731D0">
            <w:pPr>
              <w:pStyle w:val="5"/>
              <w:keepNext w:val="0"/>
              <w:keepLines w:val="0"/>
              <w:widowControl/>
              <w:suppressLineNumbers w:val="0"/>
              <w:kinsoku/>
              <w:wordWrap/>
              <w:overflowPunct/>
              <w:bidi w:val="0"/>
              <w:spacing w:before="0" w:beforeAutospacing="0" w:after="0" w:afterAutospacing="0" w:line="273" w:lineRule="auto"/>
              <w:ind w:left="0" w:right="0" w:firstLine="0"/>
              <w:jc w:val="left"/>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借：应付职工薪酬</w:t>
            </w:r>
          </w:p>
          <w:p w14:paraId="44245B5D">
            <w:pPr>
              <w:pStyle w:val="5"/>
              <w:keepNext w:val="0"/>
              <w:keepLines w:val="0"/>
              <w:widowControl/>
              <w:suppressLineNumbers w:val="0"/>
              <w:kinsoku/>
              <w:wordWrap/>
              <w:overflowPunct/>
              <w:bidi w:val="0"/>
              <w:spacing w:before="0" w:beforeAutospacing="0" w:after="0" w:afterAutospacing="0" w:line="273" w:lineRule="auto"/>
              <w:ind w:left="0" w:right="0" w:firstLine="0"/>
              <w:jc w:val="left"/>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　　贷：银行存款</w:t>
            </w:r>
          </w:p>
          <w:p w14:paraId="04F3E46A">
            <w:pPr>
              <w:pStyle w:val="5"/>
              <w:keepNext w:val="0"/>
              <w:keepLines w:val="0"/>
              <w:widowControl/>
              <w:suppressLineNumbers w:val="0"/>
              <w:kinsoku/>
              <w:wordWrap/>
              <w:overflowPunct/>
              <w:bidi w:val="0"/>
              <w:spacing w:before="0" w:beforeAutospacing="0" w:after="0" w:afterAutospacing="0" w:line="273" w:lineRule="auto"/>
              <w:ind w:left="0" w:right="0" w:firstLine="0"/>
              <w:jc w:val="left"/>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借：公允价值变动损益</w:t>
            </w:r>
          </w:p>
          <w:p w14:paraId="496DBE43">
            <w:pPr>
              <w:pStyle w:val="5"/>
              <w:keepNext w:val="0"/>
              <w:keepLines w:val="0"/>
              <w:widowControl/>
              <w:suppressLineNumbers w:val="0"/>
              <w:kinsoku/>
              <w:wordWrap/>
              <w:overflowPunct/>
              <w:bidi w:val="0"/>
              <w:spacing w:before="0" w:beforeAutospacing="0" w:after="0" w:afterAutospacing="0" w:line="273" w:lineRule="auto"/>
              <w:ind w:left="0" w:right="0" w:firstLine="0"/>
              <w:jc w:val="left"/>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　　贷：应付职工薪酬</w:t>
            </w:r>
          </w:p>
        </w:tc>
      </w:tr>
      <w:tr w14:paraId="08241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5" w:hRule="atLeast"/>
        </w:trPr>
        <w:tc>
          <w:tcPr>
            <w:tcW w:w="2279" w:type="pct"/>
            <w:gridSpan w:val="2"/>
            <w:shd w:val="clear" w:color="auto" w:fill="auto"/>
            <w:tcMar>
              <w:top w:w="69" w:type="dxa"/>
              <w:left w:w="104" w:type="dxa"/>
              <w:bottom w:w="69" w:type="dxa"/>
              <w:right w:w="104" w:type="dxa"/>
            </w:tcMar>
            <w:vAlign w:val="top"/>
          </w:tcPr>
          <w:p w14:paraId="290EE62B">
            <w:pPr>
              <w:pStyle w:val="5"/>
              <w:keepNext w:val="0"/>
              <w:keepLines w:val="0"/>
              <w:widowControl/>
              <w:suppressLineNumbers w:val="0"/>
              <w:kinsoku/>
              <w:wordWrap/>
              <w:overflowPunct/>
              <w:bidi w:val="0"/>
              <w:spacing w:before="0" w:beforeAutospacing="0" w:after="0" w:afterAutospacing="0" w:line="273" w:lineRule="auto"/>
              <w:ind w:left="0" w:right="0" w:firstLine="0"/>
              <w:jc w:val="both"/>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④行权时：</w:t>
            </w:r>
          </w:p>
          <w:p w14:paraId="65FEF11D">
            <w:pPr>
              <w:pStyle w:val="5"/>
              <w:keepNext w:val="0"/>
              <w:keepLines w:val="0"/>
              <w:widowControl/>
              <w:suppressLineNumbers w:val="0"/>
              <w:kinsoku/>
              <w:wordWrap/>
              <w:overflowPunct/>
              <w:bidi w:val="0"/>
              <w:spacing w:before="0" w:beforeAutospacing="0" w:after="0" w:afterAutospacing="0" w:line="273" w:lineRule="auto"/>
              <w:ind w:left="0" w:right="0" w:firstLine="0"/>
              <w:jc w:val="left"/>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借：银行存款</w:t>
            </w:r>
          </w:p>
          <w:p w14:paraId="414D5401">
            <w:pPr>
              <w:pStyle w:val="5"/>
              <w:keepNext w:val="0"/>
              <w:keepLines w:val="0"/>
              <w:widowControl/>
              <w:suppressLineNumbers w:val="0"/>
              <w:kinsoku/>
              <w:wordWrap/>
              <w:overflowPunct/>
              <w:bidi w:val="0"/>
              <w:spacing w:before="0" w:beforeAutospacing="0" w:after="0" w:afterAutospacing="0" w:line="273" w:lineRule="auto"/>
              <w:ind w:left="0" w:right="0" w:firstLine="0"/>
              <w:jc w:val="left"/>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　　资本公积——其他资本公积（反向结转）</w:t>
            </w:r>
          </w:p>
          <w:p w14:paraId="15EC7FFE">
            <w:pPr>
              <w:pStyle w:val="5"/>
              <w:keepNext w:val="0"/>
              <w:keepLines w:val="0"/>
              <w:widowControl/>
              <w:suppressLineNumbers w:val="0"/>
              <w:kinsoku/>
              <w:wordWrap/>
              <w:overflowPunct/>
              <w:bidi w:val="0"/>
              <w:spacing w:before="0" w:beforeAutospacing="0" w:after="0" w:afterAutospacing="0" w:line="273" w:lineRule="auto"/>
              <w:ind w:left="0" w:right="0" w:firstLine="0"/>
              <w:jc w:val="left"/>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　　贷：股本</w:t>
            </w:r>
          </w:p>
          <w:p w14:paraId="0726DEDA">
            <w:pPr>
              <w:pStyle w:val="5"/>
              <w:keepNext w:val="0"/>
              <w:keepLines w:val="0"/>
              <w:widowControl/>
              <w:suppressLineNumbers w:val="0"/>
              <w:kinsoku/>
              <w:wordWrap/>
              <w:overflowPunct/>
              <w:bidi w:val="0"/>
              <w:spacing w:before="0" w:beforeAutospacing="0" w:after="0" w:afterAutospacing="0" w:line="273" w:lineRule="auto"/>
              <w:ind w:left="0" w:right="0" w:firstLine="0"/>
              <w:jc w:val="left"/>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　   　　资本公积——股本溢价（倒挤）</w:t>
            </w:r>
          </w:p>
        </w:tc>
        <w:tc>
          <w:tcPr>
            <w:tcW w:w="2720" w:type="pct"/>
            <w:vMerge w:val="continue"/>
            <w:shd w:val="clear" w:color="auto" w:fill="auto"/>
            <w:tcMar>
              <w:top w:w="69" w:type="dxa"/>
              <w:left w:w="104" w:type="dxa"/>
              <w:bottom w:w="69" w:type="dxa"/>
              <w:right w:w="104" w:type="dxa"/>
            </w:tcMar>
            <w:vAlign w:val="center"/>
          </w:tcPr>
          <w:p w14:paraId="27F4554B">
            <w:pPr>
              <w:rPr>
                <w:rFonts w:hint="default" w:ascii="宋体" w:hAnsi="宋体" w:eastAsia="宋体" w:cs="宋体"/>
                <w:color w:val="auto"/>
                <w:kern w:val="2"/>
                <w:sz w:val="21"/>
                <w:szCs w:val="21"/>
              </w:rPr>
            </w:pPr>
          </w:p>
        </w:tc>
      </w:tr>
    </w:tbl>
    <w:p w14:paraId="2F927FC4">
      <w:pPr>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left="0" w:firstLine="0"/>
        <w:textAlignment w:val="auto"/>
        <w:outlineLvl w:val="9"/>
        <w:rPr>
          <w:rFonts w:hint="eastAsia" w:ascii="宋体" w:hAnsi="宋体" w:eastAsia="宋体" w:cs="宋体"/>
          <w:color w:val="auto"/>
          <w:sz w:val="21"/>
          <w:szCs w:val="21"/>
        </w:rPr>
      </w:pPr>
    </w:p>
    <w:p w14:paraId="27A727BA">
      <w:pPr>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left="0" w:firstLine="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考点</w:t>
      </w:r>
      <w:r>
        <w:rPr>
          <w:rFonts w:hint="eastAsia" w:ascii="宋体" w:hAnsi="宋体" w:eastAsia="宋体" w:cs="宋体"/>
          <w:color w:val="auto"/>
          <w:sz w:val="21"/>
          <w:szCs w:val="21"/>
          <w:lang w:val="en-US" w:eastAsia="zh-CN"/>
        </w:rPr>
        <w:t>】</w:t>
      </w:r>
      <w:r>
        <w:rPr>
          <w:rFonts w:hint="eastAsia" w:ascii="宋体" w:hAnsi="宋体" w:eastAsia="宋体" w:cs="宋体"/>
          <w:color w:val="FF0000"/>
          <w:sz w:val="21"/>
          <w:szCs w:val="21"/>
        </w:rPr>
        <w:t>回购股份进行职工期权激励的账务处理</w:t>
      </w:r>
      <w:r>
        <w:rPr>
          <w:rFonts w:hint="eastAsia" w:ascii="宋体" w:hAnsi="宋体" w:eastAsia="宋体" w:cs="宋体"/>
          <w:color w:val="auto"/>
          <w:sz w:val="21"/>
          <w:szCs w:val="21"/>
        </w:rPr>
        <w:t>（作为</w:t>
      </w:r>
      <w:r>
        <w:rPr>
          <w:rFonts w:hint="eastAsia" w:ascii="宋体" w:hAnsi="宋体" w:eastAsia="宋体" w:cs="宋体"/>
          <w:color w:val="FF0000"/>
          <w:sz w:val="21"/>
          <w:szCs w:val="21"/>
        </w:rPr>
        <w:t>权益结算</w:t>
      </w:r>
      <w:r>
        <w:rPr>
          <w:rFonts w:hint="eastAsia" w:ascii="宋体" w:hAnsi="宋体" w:eastAsia="宋体" w:cs="宋体"/>
          <w:color w:val="auto"/>
          <w:sz w:val="21"/>
          <w:szCs w:val="21"/>
        </w:rPr>
        <w:t>处理）</w:t>
      </w:r>
    </w:p>
    <w:p w14:paraId="4946CF4E">
      <w:pPr>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left="0" w:firstLine="0"/>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回购股份</w:t>
      </w:r>
    </w:p>
    <w:p w14:paraId="5D304F54">
      <w:pPr>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left="0" w:firstLine="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借：库存股</w:t>
      </w:r>
    </w:p>
    <w:p w14:paraId="041663D7">
      <w:pPr>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left="0" w:firstLine="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 xml:space="preserve">    贷：银行存款</w:t>
      </w:r>
    </w:p>
    <w:p w14:paraId="36F6D710">
      <w:pPr>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left="0" w:firstLine="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同时在</w:t>
      </w:r>
      <w:r>
        <w:rPr>
          <w:rFonts w:hint="eastAsia" w:ascii="宋体" w:hAnsi="宋体" w:eastAsia="宋体" w:cs="宋体"/>
          <w:color w:val="FF0000"/>
          <w:sz w:val="21"/>
          <w:szCs w:val="21"/>
        </w:rPr>
        <w:t>备查簿</w:t>
      </w:r>
      <w:r>
        <w:rPr>
          <w:rFonts w:hint="eastAsia" w:ascii="宋体" w:hAnsi="宋体" w:eastAsia="宋体" w:cs="宋体"/>
          <w:color w:val="auto"/>
          <w:sz w:val="21"/>
          <w:szCs w:val="21"/>
        </w:rPr>
        <w:t>中登记</w:t>
      </w:r>
    </w:p>
    <w:p w14:paraId="31747991">
      <w:pPr>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left="0" w:firstLine="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确认成本费用（</w:t>
      </w:r>
      <w:r>
        <w:rPr>
          <w:rFonts w:hint="eastAsia" w:ascii="宋体" w:hAnsi="宋体" w:eastAsia="宋体" w:cs="宋体"/>
          <w:color w:val="FF0000"/>
          <w:sz w:val="21"/>
          <w:szCs w:val="21"/>
        </w:rPr>
        <w:t>等待期内每个资产负债表日</w:t>
      </w:r>
      <w:r>
        <w:rPr>
          <w:rFonts w:hint="eastAsia" w:ascii="宋体" w:hAnsi="宋体" w:eastAsia="宋体" w:cs="宋体"/>
          <w:color w:val="auto"/>
          <w:sz w:val="21"/>
          <w:szCs w:val="21"/>
        </w:rPr>
        <w:t>）</w:t>
      </w:r>
    </w:p>
    <w:p w14:paraId="7377CE3A">
      <w:pPr>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left="0" w:firstLine="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借：管理费用等</w:t>
      </w:r>
    </w:p>
    <w:p w14:paraId="0218B7F2">
      <w:pPr>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left="0" w:firstLine="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　　贷：资本公积</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其他资本公积</w:t>
      </w:r>
    </w:p>
    <w:p w14:paraId="084AA651">
      <w:pPr>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left="0" w:firstLine="0"/>
        <w:textAlignment w:val="auto"/>
        <w:outlineLvl w:val="9"/>
        <w:rPr>
          <w:rFonts w:hint="eastAsia" w:ascii="宋体" w:hAnsi="宋体" w:eastAsia="宋体" w:cs="宋体"/>
          <w:color w:val="FF0000"/>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FF0000"/>
          <w:sz w:val="21"/>
          <w:szCs w:val="21"/>
        </w:rPr>
        <w:t>职工行权</w:t>
      </w:r>
    </w:p>
    <w:p w14:paraId="1C771920">
      <w:pPr>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left="0" w:firstLine="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借：银行存款</w:t>
      </w:r>
    </w:p>
    <w:p w14:paraId="75D9DC4E">
      <w:pPr>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left="0" w:firstLine="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　　资本公积</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其他资本公积</w:t>
      </w:r>
    </w:p>
    <w:p w14:paraId="61A33DB4">
      <w:pPr>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left="0" w:firstLine="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　　贷：库存股</w:t>
      </w:r>
    </w:p>
    <w:p w14:paraId="0F326427">
      <w:pPr>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left="0" w:firstLine="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　      资本公积</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股本溢价（</w:t>
      </w:r>
      <w:r>
        <w:rPr>
          <w:rFonts w:hint="eastAsia" w:ascii="宋体" w:hAnsi="宋体" w:eastAsia="宋体" w:cs="宋体"/>
          <w:color w:val="FF0000"/>
          <w:sz w:val="21"/>
          <w:szCs w:val="21"/>
        </w:rPr>
        <w:t>倒挤</w:t>
      </w:r>
      <w:r>
        <w:rPr>
          <w:rFonts w:hint="eastAsia" w:ascii="宋体" w:hAnsi="宋体" w:eastAsia="宋体" w:cs="宋体"/>
          <w:color w:val="auto"/>
          <w:sz w:val="21"/>
          <w:szCs w:val="21"/>
        </w:rPr>
        <w:t>）</w:t>
      </w:r>
    </w:p>
    <w:p w14:paraId="3613F3FA">
      <w:pPr>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left="0" w:firstLine="0"/>
        <w:textAlignment w:val="auto"/>
        <w:outlineLvl w:val="9"/>
        <w:rPr>
          <w:rFonts w:hint="eastAsia" w:ascii="宋体" w:hAnsi="宋体" w:eastAsia="宋体" w:cs="宋体"/>
          <w:color w:val="auto"/>
          <w:sz w:val="21"/>
          <w:szCs w:val="21"/>
          <w:lang w:eastAsia="zh-CN"/>
        </w:rPr>
      </w:pPr>
    </w:p>
    <w:tbl>
      <w:tblPr>
        <w:tblStyle w:val="6"/>
        <w:tblW w:w="498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2410"/>
        <w:gridCol w:w="2117"/>
        <w:gridCol w:w="2013"/>
        <w:gridCol w:w="3625"/>
      </w:tblGrid>
      <w:tr w14:paraId="5626A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91" w:hRule="atLeast"/>
        </w:trPr>
        <w:tc>
          <w:tcPr>
            <w:tcW w:w="1185" w:type="pct"/>
            <w:shd w:val="clear" w:color="auto" w:fill="auto"/>
            <w:tcMar>
              <w:top w:w="69" w:type="dxa"/>
              <w:left w:w="139" w:type="dxa"/>
              <w:bottom w:w="69" w:type="dxa"/>
              <w:right w:w="139" w:type="dxa"/>
            </w:tcMar>
            <w:vAlign w:val="center"/>
          </w:tcPr>
          <w:p w14:paraId="72B7F8D8">
            <w:pPr>
              <w:pStyle w:val="5"/>
              <w:keepNext w:val="0"/>
              <w:keepLines w:val="0"/>
              <w:widowControl/>
              <w:suppressLineNumbers w:val="0"/>
              <w:kinsoku/>
              <w:wordWrap/>
              <w:overflowPunct/>
              <w:bidi w:val="0"/>
              <w:spacing w:before="0" w:beforeAutospacing="0" w:after="0" w:afterAutospacing="0"/>
              <w:ind w:left="0"/>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企业集团内</w:t>
            </w:r>
          </w:p>
          <w:p w14:paraId="4EAC734E">
            <w:pPr>
              <w:pStyle w:val="5"/>
              <w:keepNext w:val="0"/>
              <w:keepLines w:val="0"/>
              <w:widowControl/>
              <w:suppressLineNumbers w:val="0"/>
              <w:kinsoku/>
              <w:wordWrap/>
              <w:overflowPunct/>
              <w:bidi w:val="0"/>
              <w:spacing w:before="0" w:beforeAutospacing="0" w:after="0" w:afterAutospacing="0"/>
              <w:ind w:left="0"/>
              <w:jc w:val="center"/>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股份支付</w:t>
            </w:r>
          </w:p>
        </w:tc>
        <w:tc>
          <w:tcPr>
            <w:tcW w:w="1041" w:type="pct"/>
            <w:shd w:val="clear" w:color="auto" w:fill="auto"/>
            <w:tcMar>
              <w:top w:w="69" w:type="dxa"/>
              <w:left w:w="139" w:type="dxa"/>
              <w:bottom w:w="69" w:type="dxa"/>
              <w:right w:w="139" w:type="dxa"/>
            </w:tcMar>
            <w:vAlign w:val="center"/>
          </w:tcPr>
          <w:p w14:paraId="39A45FF1">
            <w:pPr>
              <w:pStyle w:val="5"/>
              <w:keepNext w:val="0"/>
              <w:keepLines w:val="0"/>
              <w:widowControl/>
              <w:suppressLineNumbers w:val="0"/>
              <w:kinsoku/>
              <w:wordWrap/>
              <w:overflowPunct/>
              <w:bidi w:val="0"/>
              <w:spacing w:before="0" w:beforeAutospacing="0" w:after="0" w:afterAutospacing="0" w:line="240" w:lineRule="auto"/>
              <w:ind w:left="0" w:right="0" w:firstLine="0"/>
              <w:jc w:val="center"/>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结算企业</w:t>
            </w:r>
          </w:p>
          <w:p w14:paraId="2B230CEA">
            <w:pPr>
              <w:pStyle w:val="5"/>
              <w:keepNext w:val="0"/>
              <w:keepLines w:val="0"/>
              <w:widowControl/>
              <w:suppressLineNumbers w:val="0"/>
              <w:kinsoku/>
              <w:wordWrap/>
              <w:overflowPunct/>
              <w:bidi w:val="0"/>
              <w:spacing w:before="0" w:beforeAutospacing="0" w:after="0" w:afterAutospacing="0" w:line="240" w:lineRule="auto"/>
              <w:ind w:left="0" w:right="0" w:firstLine="0"/>
              <w:jc w:val="center"/>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（母公司）</w:t>
            </w:r>
          </w:p>
        </w:tc>
        <w:tc>
          <w:tcPr>
            <w:tcW w:w="990" w:type="pct"/>
            <w:shd w:val="clear" w:color="auto" w:fill="auto"/>
            <w:tcMar>
              <w:top w:w="69" w:type="dxa"/>
              <w:left w:w="139" w:type="dxa"/>
              <w:bottom w:w="69" w:type="dxa"/>
              <w:right w:w="139" w:type="dxa"/>
            </w:tcMar>
            <w:vAlign w:val="center"/>
          </w:tcPr>
          <w:p w14:paraId="2BB0A261">
            <w:pPr>
              <w:pStyle w:val="5"/>
              <w:keepNext w:val="0"/>
              <w:keepLines w:val="0"/>
              <w:widowControl/>
              <w:suppressLineNumbers w:val="0"/>
              <w:kinsoku/>
              <w:wordWrap/>
              <w:overflowPunct/>
              <w:bidi w:val="0"/>
              <w:spacing w:before="0" w:beforeAutospacing="0" w:after="0" w:afterAutospacing="0"/>
              <w:ind w:left="0"/>
              <w:jc w:val="center"/>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接受服务企业</w:t>
            </w:r>
          </w:p>
          <w:p w14:paraId="7595074E">
            <w:pPr>
              <w:pStyle w:val="5"/>
              <w:keepNext w:val="0"/>
              <w:keepLines w:val="0"/>
              <w:widowControl/>
              <w:suppressLineNumbers w:val="0"/>
              <w:kinsoku/>
              <w:wordWrap/>
              <w:overflowPunct/>
              <w:bidi w:val="0"/>
              <w:spacing w:before="0" w:beforeAutospacing="0" w:after="0" w:afterAutospacing="0"/>
              <w:ind w:left="0"/>
              <w:jc w:val="center"/>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（子公司）</w:t>
            </w:r>
          </w:p>
        </w:tc>
        <w:tc>
          <w:tcPr>
            <w:tcW w:w="1782" w:type="pct"/>
            <w:shd w:val="clear" w:color="auto" w:fill="auto"/>
            <w:tcMar>
              <w:top w:w="69" w:type="dxa"/>
              <w:left w:w="139" w:type="dxa"/>
              <w:bottom w:w="69" w:type="dxa"/>
              <w:right w:w="139" w:type="dxa"/>
            </w:tcMar>
            <w:vAlign w:val="center"/>
          </w:tcPr>
          <w:p w14:paraId="4B1CF157">
            <w:pPr>
              <w:pStyle w:val="5"/>
              <w:keepNext w:val="0"/>
              <w:keepLines w:val="0"/>
              <w:widowControl/>
              <w:suppressLineNumbers w:val="0"/>
              <w:kinsoku/>
              <w:wordWrap/>
              <w:overflowPunct/>
              <w:bidi w:val="0"/>
              <w:spacing w:before="0" w:beforeAutospacing="0" w:after="0" w:afterAutospacing="0" w:line="240" w:lineRule="auto"/>
              <w:ind w:left="0" w:right="0" w:firstLine="0"/>
              <w:jc w:val="center"/>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合并报表（了解）</w:t>
            </w:r>
          </w:p>
        </w:tc>
      </w:tr>
      <w:tr w14:paraId="34E0E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919" w:hRule="atLeast"/>
        </w:trPr>
        <w:tc>
          <w:tcPr>
            <w:tcW w:w="1185" w:type="pct"/>
            <w:shd w:val="clear" w:color="auto" w:fill="auto"/>
            <w:tcMar>
              <w:top w:w="69" w:type="dxa"/>
              <w:left w:w="139" w:type="dxa"/>
              <w:bottom w:w="69" w:type="dxa"/>
              <w:right w:w="139" w:type="dxa"/>
            </w:tcMar>
            <w:vAlign w:val="top"/>
          </w:tcPr>
          <w:p w14:paraId="01B2D689">
            <w:pPr>
              <w:pStyle w:val="5"/>
              <w:keepNext w:val="0"/>
              <w:keepLines w:val="0"/>
              <w:widowControl/>
              <w:suppressLineNumbers w:val="0"/>
              <w:kinsoku/>
              <w:wordWrap/>
              <w:overflowPunct/>
              <w:bidi w:val="0"/>
              <w:spacing w:before="0" w:beforeAutospacing="0" w:after="0" w:afterAutospacing="0" w:line="264" w:lineRule="auto"/>
              <w:ind w:left="0"/>
              <w:jc w:val="left"/>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情形1：</w:t>
            </w:r>
          </w:p>
          <w:p w14:paraId="5A7C9D71">
            <w:pPr>
              <w:pStyle w:val="5"/>
              <w:keepNext w:val="0"/>
              <w:keepLines w:val="0"/>
              <w:widowControl/>
              <w:suppressLineNumbers w:val="0"/>
              <w:kinsoku/>
              <w:wordWrap/>
              <w:overflowPunct/>
              <w:bidi w:val="0"/>
              <w:spacing w:before="0" w:beforeAutospacing="0" w:after="0" w:afterAutospacing="0" w:line="264" w:lineRule="auto"/>
              <w:ind w:left="0"/>
              <w:jc w:val="left"/>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结算企业是接受服务企业的母公司，以其自身权益工具结算授予接受服务企业（子公司）的管理人员；</w:t>
            </w:r>
          </w:p>
          <w:p w14:paraId="4246FBEC">
            <w:pPr>
              <w:pStyle w:val="5"/>
              <w:keepNext w:val="0"/>
              <w:keepLines w:val="0"/>
              <w:widowControl/>
              <w:suppressLineNumbers w:val="0"/>
              <w:kinsoku/>
              <w:wordWrap/>
              <w:overflowPunct/>
              <w:bidi w:val="0"/>
              <w:spacing w:before="0" w:beforeAutospacing="0" w:after="0" w:afterAutospacing="0" w:line="264" w:lineRule="auto"/>
              <w:ind w:left="0"/>
              <w:jc w:val="left"/>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接受服务企业（子公司）没有结算义务。</w:t>
            </w:r>
          </w:p>
        </w:tc>
        <w:tc>
          <w:tcPr>
            <w:tcW w:w="1041" w:type="pct"/>
            <w:shd w:val="clear" w:color="auto" w:fill="auto"/>
            <w:tcMar>
              <w:top w:w="69" w:type="dxa"/>
              <w:left w:w="139" w:type="dxa"/>
              <w:bottom w:w="69" w:type="dxa"/>
              <w:right w:w="139" w:type="dxa"/>
            </w:tcMar>
            <w:vAlign w:val="top"/>
          </w:tcPr>
          <w:p w14:paraId="693016AE">
            <w:pPr>
              <w:pStyle w:val="5"/>
              <w:keepNext w:val="0"/>
              <w:keepLines w:val="0"/>
              <w:widowControl/>
              <w:suppressLineNumbers w:val="0"/>
              <w:kinsoku/>
              <w:wordWrap/>
              <w:overflowPunct/>
              <w:bidi w:val="0"/>
              <w:spacing w:before="0" w:beforeAutospacing="0" w:after="0" w:afterAutospacing="0" w:line="264" w:lineRule="auto"/>
              <w:ind w:left="0"/>
              <w:jc w:val="left"/>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借：长期股权投资</w:t>
            </w:r>
          </w:p>
          <w:p w14:paraId="3508D21E">
            <w:pPr>
              <w:pStyle w:val="5"/>
              <w:keepNext w:val="0"/>
              <w:keepLines w:val="0"/>
              <w:widowControl/>
              <w:suppressLineNumbers w:val="0"/>
              <w:kinsoku/>
              <w:wordWrap/>
              <w:overflowPunct/>
              <w:bidi w:val="0"/>
              <w:spacing w:before="0" w:beforeAutospacing="0" w:after="0" w:afterAutospacing="0" w:line="264" w:lineRule="auto"/>
              <w:ind w:left="0"/>
              <w:jc w:val="left"/>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　　贷：资本公积——其他资本公积</w:t>
            </w:r>
          </w:p>
          <w:p w14:paraId="403028E3">
            <w:pPr>
              <w:pStyle w:val="5"/>
              <w:keepNext w:val="0"/>
              <w:keepLines w:val="0"/>
              <w:widowControl/>
              <w:suppressLineNumbers w:val="0"/>
              <w:kinsoku/>
              <w:wordWrap/>
              <w:overflowPunct/>
              <w:bidi w:val="0"/>
              <w:spacing w:before="0" w:beforeAutospacing="0" w:after="0" w:afterAutospacing="0" w:line="264" w:lineRule="auto"/>
              <w:ind w:left="0"/>
              <w:jc w:val="left"/>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 xml:space="preserve"> </w:t>
            </w:r>
          </w:p>
        </w:tc>
        <w:tc>
          <w:tcPr>
            <w:tcW w:w="990" w:type="pct"/>
            <w:shd w:val="clear" w:color="auto" w:fill="auto"/>
            <w:tcMar>
              <w:top w:w="69" w:type="dxa"/>
              <w:left w:w="139" w:type="dxa"/>
              <w:bottom w:w="69" w:type="dxa"/>
              <w:right w:w="139" w:type="dxa"/>
            </w:tcMar>
            <w:vAlign w:val="top"/>
          </w:tcPr>
          <w:p w14:paraId="46FEBA6B">
            <w:pPr>
              <w:pStyle w:val="5"/>
              <w:keepNext w:val="0"/>
              <w:keepLines w:val="0"/>
              <w:widowControl/>
              <w:suppressLineNumbers w:val="0"/>
              <w:kinsoku/>
              <w:wordWrap/>
              <w:overflowPunct/>
              <w:bidi w:val="0"/>
              <w:spacing w:before="0" w:beforeAutospacing="0" w:after="0" w:afterAutospacing="0" w:line="264" w:lineRule="auto"/>
              <w:ind w:left="0"/>
              <w:jc w:val="left"/>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借：管理费用等</w:t>
            </w:r>
          </w:p>
          <w:p w14:paraId="0AD931EC">
            <w:pPr>
              <w:pStyle w:val="5"/>
              <w:keepNext w:val="0"/>
              <w:keepLines w:val="0"/>
              <w:widowControl/>
              <w:suppressLineNumbers w:val="0"/>
              <w:kinsoku/>
              <w:wordWrap/>
              <w:overflowPunct/>
              <w:bidi w:val="0"/>
              <w:spacing w:before="0" w:beforeAutospacing="0" w:after="0" w:afterAutospacing="0" w:line="264" w:lineRule="auto"/>
              <w:ind w:left="0"/>
              <w:jc w:val="left"/>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　　贷：资本公积——其他资本公积</w:t>
            </w:r>
          </w:p>
        </w:tc>
        <w:tc>
          <w:tcPr>
            <w:tcW w:w="1782" w:type="pct"/>
            <w:shd w:val="clear" w:color="auto" w:fill="auto"/>
            <w:tcMar>
              <w:top w:w="69" w:type="dxa"/>
              <w:left w:w="139" w:type="dxa"/>
              <w:bottom w:w="69" w:type="dxa"/>
              <w:right w:w="139" w:type="dxa"/>
            </w:tcMar>
            <w:vAlign w:val="top"/>
          </w:tcPr>
          <w:p w14:paraId="6417154C">
            <w:pPr>
              <w:pStyle w:val="5"/>
              <w:keepNext w:val="0"/>
              <w:keepLines w:val="0"/>
              <w:widowControl/>
              <w:suppressLineNumbers w:val="0"/>
              <w:kinsoku/>
              <w:wordWrap/>
              <w:overflowPunct/>
              <w:bidi w:val="0"/>
              <w:spacing w:before="0" w:beforeAutospacing="0" w:after="0" w:afterAutospacing="0" w:line="264" w:lineRule="auto"/>
              <w:ind w:left="0"/>
              <w:jc w:val="left"/>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1）权益结算的股份支付</w:t>
            </w:r>
          </w:p>
          <w:p w14:paraId="398AD9E0">
            <w:pPr>
              <w:pStyle w:val="5"/>
              <w:keepNext w:val="0"/>
              <w:keepLines w:val="0"/>
              <w:widowControl/>
              <w:suppressLineNumbers w:val="0"/>
              <w:kinsoku/>
              <w:wordWrap/>
              <w:overflowPunct/>
              <w:bidi w:val="0"/>
              <w:spacing w:before="0" w:beforeAutospacing="0" w:after="0" w:afterAutospacing="0" w:line="264" w:lineRule="auto"/>
              <w:ind w:left="0"/>
              <w:jc w:val="left"/>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借：管理费用等</w:t>
            </w:r>
          </w:p>
          <w:p w14:paraId="0E61B98E">
            <w:pPr>
              <w:pStyle w:val="5"/>
              <w:keepNext w:val="0"/>
              <w:keepLines w:val="0"/>
              <w:widowControl/>
              <w:suppressLineNumbers w:val="0"/>
              <w:kinsoku/>
              <w:wordWrap/>
              <w:overflowPunct/>
              <w:bidi w:val="0"/>
              <w:spacing w:before="0" w:beforeAutospacing="0" w:after="0" w:afterAutospacing="0" w:line="264" w:lineRule="auto"/>
              <w:ind w:left="0"/>
              <w:jc w:val="left"/>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　　贷：资本公积</w:t>
            </w:r>
          </w:p>
          <w:p w14:paraId="4E55FDDA">
            <w:pPr>
              <w:pStyle w:val="5"/>
              <w:keepNext w:val="0"/>
              <w:keepLines w:val="0"/>
              <w:widowControl/>
              <w:suppressLineNumbers w:val="0"/>
              <w:kinsoku/>
              <w:wordWrap/>
              <w:overflowPunct/>
              <w:bidi w:val="0"/>
              <w:spacing w:before="0" w:beforeAutospacing="0" w:after="0" w:afterAutospacing="0" w:line="264" w:lineRule="auto"/>
              <w:ind w:left="0"/>
              <w:jc w:val="left"/>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（2）抵销分录：抵销母公司长期股权投资和子公司资本公积</w:t>
            </w:r>
          </w:p>
          <w:p w14:paraId="40DB41F6">
            <w:pPr>
              <w:pStyle w:val="5"/>
              <w:keepNext w:val="0"/>
              <w:keepLines w:val="0"/>
              <w:widowControl/>
              <w:suppressLineNumbers w:val="0"/>
              <w:kinsoku/>
              <w:wordWrap/>
              <w:overflowPunct/>
              <w:bidi w:val="0"/>
              <w:spacing w:before="0" w:beforeAutospacing="0" w:after="0" w:afterAutospacing="0" w:line="264" w:lineRule="auto"/>
              <w:ind w:left="0"/>
              <w:jc w:val="left"/>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借：资本公积</w:t>
            </w:r>
            <w:r>
              <w:rPr>
                <w:rFonts w:hint="default" w:ascii="宋体" w:hAnsi="宋体" w:eastAsia="宋体" w:cs="宋体"/>
                <w:color w:val="FF0000"/>
                <w:kern w:val="2"/>
                <w:sz w:val="21"/>
                <w:szCs w:val="21"/>
              </w:rPr>
              <w:t>（子公司）</w:t>
            </w:r>
          </w:p>
          <w:p w14:paraId="6CC18DE4">
            <w:pPr>
              <w:pStyle w:val="5"/>
              <w:keepNext w:val="0"/>
              <w:keepLines w:val="0"/>
              <w:widowControl/>
              <w:suppressLineNumbers w:val="0"/>
              <w:kinsoku/>
              <w:wordWrap/>
              <w:overflowPunct/>
              <w:bidi w:val="0"/>
              <w:spacing w:before="0" w:beforeAutospacing="0" w:after="0" w:afterAutospacing="0" w:line="264" w:lineRule="auto"/>
              <w:ind w:left="0"/>
              <w:jc w:val="left"/>
              <w:rPr>
                <w:rFonts w:hint="eastAsia" w:ascii="宋体" w:hAnsi="宋体" w:eastAsia="宋体" w:cs="宋体"/>
                <w:color w:val="FF0000"/>
                <w:kern w:val="2"/>
                <w:sz w:val="21"/>
                <w:szCs w:val="21"/>
              </w:rPr>
            </w:pPr>
            <w:r>
              <w:rPr>
                <w:rFonts w:hint="default" w:ascii="宋体" w:hAnsi="宋体" w:eastAsia="宋体" w:cs="宋体"/>
                <w:color w:val="auto"/>
                <w:kern w:val="2"/>
                <w:sz w:val="21"/>
                <w:szCs w:val="21"/>
              </w:rPr>
              <w:t>　　贷：长期股权投资</w:t>
            </w:r>
            <w:r>
              <w:rPr>
                <w:rFonts w:hint="default" w:ascii="宋体" w:hAnsi="宋体" w:eastAsia="宋体" w:cs="宋体"/>
                <w:color w:val="FF0000"/>
                <w:kern w:val="2"/>
                <w:sz w:val="21"/>
                <w:szCs w:val="21"/>
              </w:rPr>
              <w:t>（母公司）</w:t>
            </w:r>
          </w:p>
          <w:p w14:paraId="2DD050C7">
            <w:pPr>
              <w:pStyle w:val="5"/>
              <w:keepNext w:val="0"/>
              <w:keepLines w:val="0"/>
              <w:widowControl/>
              <w:suppressLineNumbers w:val="0"/>
              <w:kinsoku/>
              <w:wordWrap/>
              <w:overflowPunct/>
              <w:bidi w:val="0"/>
              <w:spacing w:before="0" w:beforeAutospacing="0" w:after="0" w:afterAutospacing="0" w:line="264" w:lineRule="auto"/>
              <w:ind w:left="0"/>
              <w:jc w:val="left"/>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注：合并报表抵销的是</w:t>
            </w:r>
            <w:r>
              <w:rPr>
                <w:rFonts w:hint="default" w:ascii="宋体" w:hAnsi="宋体" w:eastAsia="宋体" w:cs="宋体"/>
                <w:color w:val="FF0000"/>
                <w:kern w:val="2"/>
                <w:sz w:val="21"/>
                <w:szCs w:val="21"/>
              </w:rPr>
              <w:t>各年累计数</w:t>
            </w:r>
          </w:p>
        </w:tc>
      </w:tr>
    </w:tbl>
    <w:p w14:paraId="3EE51EE1">
      <w:pPr>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left="0" w:firstLine="0"/>
        <w:textAlignment w:val="auto"/>
        <w:outlineLvl w:val="9"/>
        <w:rPr>
          <w:rFonts w:hint="eastAsia" w:ascii="宋体" w:hAnsi="宋体" w:eastAsia="宋体" w:cs="宋体"/>
          <w:b/>
          <w:color w:val="auto"/>
          <w:sz w:val="21"/>
          <w:szCs w:val="21"/>
          <w:lang w:eastAsia="zh-CN"/>
        </w:rPr>
      </w:pPr>
    </w:p>
    <w:tbl>
      <w:tblPr>
        <w:tblStyle w:val="6"/>
        <w:tblW w:w="500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2421"/>
        <w:gridCol w:w="1923"/>
        <w:gridCol w:w="1855"/>
        <w:gridCol w:w="4003"/>
      </w:tblGrid>
      <w:tr w14:paraId="3EBFC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60" w:hRule="atLeast"/>
        </w:trPr>
        <w:tc>
          <w:tcPr>
            <w:tcW w:w="1186" w:type="pct"/>
            <w:shd w:val="clear" w:color="auto" w:fill="auto"/>
            <w:tcMar>
              <w:top w:w="69" w:type="dxa"/>
              <w:left w:w="139" w:type="dxa"/>
              <w:bottom w:w="69" w:type="dxa"/>
              <w:right w:w="139" w:type="dxa"/>
            </w:tcMar>
            <w:vAlign w:val="center"/>
          </w:tcPr>
          <w:p w14:paraId="0C2D372E">
            <w:pPr>
              <w:pStyle w:val="5"/>
              <w:keepNext w:val="0"/>
              <w:keepLines w:val="0"/>
              <w:widowControl/>
              <w:suppressLineNumbers w:val="0"/>
              <w:kinsoku/>
              <w:wordWrap/>
              <w:overflowPunct/>
              <w:bidi w:val="0"/>
              <w:spacing w:before="0" w:beforeAutospacing="0" w:after="0" w:afterAutospacing="0"/>
              <w:ind w:left="0"/>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企业集团内股份支付</w:t>
            </w:r>
          </w:p>
        </w:tc>
        <w:tc>
          <w:tcPr>
            <w:tcW w:w="942" w:type="pct"/>
            <w:shd w:val="clear" w:color="auto" w:fill="auto"/>
            <w:tcMar>
              <w:top w:w="69" w:type="dxa"/>
              <w:left w:w="139" w:type="dxa"/>
              <w:bottom w:w="69" w:type="dxa"/>
              <w:right w:w="139" w:type="dxa"/>
            </w:tcMar>
            <w:vAlign w:val="center"/>
          </w:tcPr>
          <w:p w14:paraId="6150691D">
            <w:pPr>
              <w:pStyle w:val="5"/>
              <w:keepNext w:val="0"/>
              <w:keepLines w:val="0"/>
              <w:widowControl/>
              <w:suppressLineNumbers w:val="0"/>
              <w:kinsoku/>
              <w:wordWrap/>
              <w:overflowPunct/>
              <w:bidi w:val="0"/>
              <w:spacing w:before="0" w:beforeAutospacing="0" w:after="0" w:afterAutospacing="0" w:line="240" w:lineRule="auto"/>
              <w:ind w:left="0" w:right="0" w:firstLine="0"/>
              <w:jc w:val="center"/>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结算企业（母公司）</w:t>
            </w:r>
          </w:p>
        </w:tc>
        <w:tc>
          <w:tcPr>
            <w:tcW w:w="909" w:type="pct"/>
            <w:shd w:val="clear" w:color="auto" w:fill="auto"/>
            <w:tcMar>
              <w:top w:w="69" w:type="dxa"/>
              <w:left w:w="139" w:type="dxa"/>
              <w:bottom w:w="69" w:type="dxa"/>
              <w:right w:w="139" w:type="dxa"/>
            </w:tcMar>
            <w:vAlign w:val="center"/>
          </w:tcPr>
          <w:p w14:paraId="6D24D7A9">
            <w:pPr>
              <w:pStyle w:val="5"/>
              <w:keepNext w:val="0"/>
              <w:keepLines w:val="0"/>
              <w:widowControl/>
              <w:suppressLineNumbers w:val="0"/>
              <w:kinsoku/>
              <w:wordWrap/>
              <w:overflowPunct/>
              <w:bidi w:val="0"/>
              <w:spacing w:before="0" w:beforeAutospacing="0" w:after="0" w:afterAutospacing="0"/>
              <w:ind w:left="0"/>
              <w:jc w:val="center"/>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接受服务企业</w:t>
            </w:r>
          </w:p>
          <w:p w14:paraId="230F1C19">
            <w:pPr>
              <w:pStyle w:val="5"/>
              <w:keepNext w:val="0"/>
              <w:keepLines w:val="0"/>
              <w:widowControl/>
              <w:suppressLineNumbers w:val="0"/>
              <w:kinsoku/>
              <w:wordWrap/>
              <w:overflowPunct/>
              <w:bidi w:val="0"/>
              <w:spacing w:before="0" w:beforeAutospacing="0" w:after="0" w:afterAutospacing="0"/>
              <w:ind w:left="0"/>
              <w:jc w:val="center"/>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（子公司）</w:t>
            </w:r>
          </w:p>
        </w:tc>
        <w:tc>
          <w:tcPr>
            <w:tcW w:w="1961" w:type="pct"/>
            <w:shd w:val="clear" w:color="auto" w:fill="auto"/>
            <w:tcMar>
              <w:top w:w="69" w:type="dxa"/>
              <w:left w:w="139" w:type="dxa"/>
              <w:bottom w:w="69" w:type="dxa"/>
              <w:right w:w="139" w:type="dxa"/>
            </w:tcMar>
            <w:vAlign w:val="center"/>
          </w:tcPr>
          <w:p w14:paraId="38869ED6">
            <w:pPr>
              <w:pStyle w:val="5"/>
              <w:keepNext w:val="0"/>
              <w:keepLines w:val="0"/>
              <w:widowControl/>
              <w:suppressLineNumbers w:val="0"/>
              <w:kinsoku/>
              <w:wordWrap/>
              <w:overflowPunct/>
              <w:bidi w:val="0"/>
              <w:spacing w:before="0" w:beforeAutospacing="0" w:after="0" w:afterAutospacing="0" w:line="240" w:lineRule="auto"/>
              <w:ind w:left="0" w:right="0" w:firstLine="0"/>
              <w:jc w:val="center"/>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合并报表（了解）</w:t>
            </w:r>
          </w:p>
        </w:tc>
      </w:tr>
      <w:tr w14:paraId="23284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35" w:hRule="atLeast"/>
        </w:trPr>
        <w:tc>
          <w:tcPr>
            <w:tcW w:w="1186" w:type="pct"/>
            <w:shd w:val="clear" w:color="auto" w:fill="auto"/>
            <w:tcMar>
              <w:top w:w="69" w:type="dxa"/>
              <w:left w:w="139" w:type="dxa"/>
              <w:bottom w:w="69" w:type="dxa"/>
              <w:right w:w="139" w:type="dxa"/>
            </w:tcMar>
            <w:vAlign w:val="top"/>
          </w:tcPr>
          <w:p w14:paraId="0A867E4E">
            <w:pPr>
              <w:pStyle w:val="5"/>
              <w:keepNext w:val="0"/>
              <w:keepLines w:val="0"/>
              <w:widowControl/>
              <w:suppressLineNumbers w:val="0"/>
              <w:kinsoku/>
              <w:wordWrap/>
              <w:overflowPunct/>
              <w:bidi w:val="0"/>
              <w:spacing w:before="0" w:beforeAutospacing="0" w:after="0" w:afterAutospacing="0" w:line="288" w:lineRule="auto"/>
              <w:ind w:left="0"/>
              <w:jc w:val="left"/>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情形2：</w:t>
            </w:r>
          </w:p>
          <w:p w14:paraId="0D69216C">
            <w:pPr>
              <w:pStyle w:val="5"/>
              <w:keepNext w:val="0"/>
              <w:keepLines w:val="0"/>
              <w:widowControl/>
              <w:suppressLineNumbers w:val="0"/>
              <w:kinsoku/>
              <w:wordWrap/>
              <w:overflowPunct/>
              <w:bidi w:val="0"/>
              <w:spacing w:before="0" w:beforeAutospacing="0" w:after="0" w:afterAutospacing="0" w:line="288" w:lineRule="auto"/>
              <w:ind w:left="0"/>
              <w:jc w:val="left"/>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结算企业是接受服务企业的母公司，以现金股票增值权授予接受服务企业（子公司）管理人员；</w:t>
            </w:r>
          </w:p>
          <w:p w14:paraId="72EE9DE3">
            <w:pPr>
              <w:pStyle w:val="5"/>
              <w:keepNext w:val="0"/>
              <w:keepLines w:val="0"/>
              <w:widowControl/>
              <w:suppressLineNumbers w:val="0"/>
              <w:kinsoku/>
              <w:wordWrap/>
              <w:overflowPunct/>
              <w:bidi w:val="0"/>
              <w:spacing w:before="0" w:beforeAutospacing="0" w:after="0" w:afterAutospacing="0" w:line="288" w:lineRule="auto"/>
              <w:ind w:left="0"/>
              <w:jc w:val="left"/>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接受服务企业（子公司）没有结算义务。</w:t>
            </w:r>
          </w:p>
        </w:tc>
        <w:tc>
          <w:tcPr>
            <w:tcW w:w="942" w:type="pct"/>
            <w:shd w:val="clear" w:color="auto" w:fill="auto"/>
            <w:tcMar>
              <w:top w:w="69" w:type="dxa"/>
              <w:left w:w="139" w:type="dxa"/>
              <w:bottom w:w="69" w:type="dxa"/>
              <w:right w:w="139" w:type="dxa"/>
            </w:tcMar>
            <w:vAlign w:val="top"/>
          </w:tcPr>
          <w:p w14:paraId="59F25861">
            <w:pPr>
              <w:pStyle w:val="5"/>
              <w:keepNext w:val="0"/>
              <w:keepLines w:val="0"/>
              <w:widowControl/>
              <w:suppressLineNumbers w:val="0"/>
              <w:kinsoku/>
              <w:wordWrap/>
              <w:overflowPunct/>
              <w:bidi w:val="0"/>
              <w:spacing w:before="0" w:beforeAutospacing="0" w:after="0" w:afterAutospacing="0" w:line="288" w:lineRule="auto"/>
              <w:ind w:left="0"/>
              <w:jc w:val="left"/>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借：长期股权投资</w:t>
            </w:r>
          </w:p>
          <w:p w14:paraId="7C6DEAB1">
            <w:pPr>
              <w:pStyle w:val="5"/>
              <w:keepNext w:val="0"/>
              <w:keepLines w:val="0"/>
              <w:widowControl/>
              <w:suppressLineNumbers w:val="0"/>
              <w:kinsoku/>
              <w:wordWrap/>
              <w:overflowPunct/>
              <w:bidi w:val="0"/>
              <w:spacing w:before="0" w:beforeAutospacing="0" w:after="0" w:afterAutospacing="0" w:line="288" w:lineRule="auto"/>
              <w:ind w:left="0"/>
              <w:jc w:val="left"/>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　　贷：应付职工薪酬</w:t>
            </w:r>
          </w:p>
        </w:tc>
        <w:tc>
          <w:tcPr>
            <w:tcW w:w="909" w:type="pct"/>
            <w:shd w:val="clear" w:color="auto" w:fill="auto"/>
            <w:tcMar>
              <w:top w:w="69" w:type="dxa"/>
              <w:left w:w="139" w:type="dxa"/>
              <w:bottom w:w="69" w:type="dxa"/>
              <w:right w:w="139" w:type="dxa"/>
            </w:tcMar>
            <w:vAlign w:val="top"/>
          </w:tcPr>
          <w:p w14:paraId="58C2A163">
            <w:pPr>
              <w:pStyle w:val="5"/>
              <w:keepNext w:val="0"/>
              <w:keepLines w:val="0"/>
              <w:widowControl/>
              <w:suppressLineNumbers w:val="0"/>
              <w:kinsoku/>
              <w:wordWrap/>
              <w:overflowPunct/>
              <w:bidi w:val="0"/>
              <w:spacing w:before="0" w:beforeAutospacing="0" w:after="0" w:afterAutospacing="0" w:line="288" w:lineRule="auto"/>
              <w:ind w:left="0"/>
              <w:jc w:val="left"/>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借：管理费用等</w:t>
            </w:r>
          </w:p>
          <w:p w14:paraId="152751FA">
            <w:pPr>
              <w:pStyle w:val="5"/>
              <w:keepNext w:val="0"/>
              <w:keepLines w:val="0"/>
              <w:widowControl/>
              <w:suppressLineNumbers w:val="0"/>
              <w:kinsoku/>
              <w:wordWrap/>
              <w:overflowPunct/>
              <w:bidi w:val="0"/>
              <w:spacing w:before="0" w:beforeAutospacing="0" w:after="0" w:afterAutospacing="0" w:line="288" w:lineRule="auto"/>
              <w:ind w:left="0"/>
              <w:jc w:val="left"/>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　　贷：资本公积——其他资本公积</w:t>
            </w:r>
          </w:p>
        </w:tc>
        <w:tc>
          <w:tcPr>
            <w:tcW w:w="1961" w:type="pct"/>
            <w:shd w:val="clear" w:color="auto" w:fill="auto"/>
            <w:tcMar>
              <w:top w:w="69" w:type="dxa"/>
              <w:left w:w="139" w:type="dxa"/>
              <w:bottom w:w="69" w:type="dxa"/>
              <w:right w:w="139" w:type="dxa"/>
            </w:tcMar>
            <w:vAlign w:val="top"/>
          </w:tcPr>
          <w:p w14:paraId="2E12CF0F">
            <w:pPr>
              <w:pStyle w:val="5"/>
              <w:keepNext w:val="0"/>
              <w:keepLines w:val="0"/>
              <w:widowControl/>
              <w:suppressLineNumbers w:val="0"/>
              <w:kinsoku/>
              <w:wordWrap/>
              <w:overflowPunct/>
              <w:bidi w:val="0"/>
              <w:spacing w:before="0" w:beforeAutospacing="0" w:after="0" w:afterAutospacing="0" w:line="288" w:lineRule="auto"/>
              <w:ind w:left="0"/>
              <w:jc w:val="left"/>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抵销母公司长期股权投资和子公司资本公积</w:t>
            </w:r>
          </w:p>
          <w:p w14:paraId="088A269D">
            <w:pPr>
              <w:pStyle w:val="5"/>
              <w:keepNext w:val="0"/>
              <w:keepLines w:val="0"/>
              <w:widowControl/>
              <w:suppressLineNumbers w:val="0"/>
              <w:kinsoku/>
              <w:wordWrap/>
              <w:overflowPunct/>
              <w:bidi w:val="0"/>
              <w:spacing w:before="0" w:beforeAutospacing="0" w:after="0" w:afterAutospacing="0" w:line="288" w:lineRule="auto"/>
              <w:ind w:left="0"/>
              <w:jc w:val="left"/>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借：资本公积（子公司）</w:t>
            </w:r>
          </w:p>
          <w:p w14:paraId="36695668">
            <w:pPr>
              <w:pStyle w:val="5"/>
              <w:keepNext w:val="0"/>
              <w:keepLines w:val="0"/>
              <w:widowControl/>
              <w:suppressLineNumbers w:val="0"/>
              <w:kinsoku/>
              <w:wordWrap/>
              <w:overflowPunct/>
              <w:bidi w:val="0"/>
              <w:spacing w:before="0" w:beforeAutospacing="0" w:after="0" w:afterAutospacing="0" w:line="288" w:lineRule="auto"/>
              <w:ind w:left="0"/>
              <w:jc w:val="left"/>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　　管理费用等（倒挤差额，可借可贷）</w:t>
            </w:r>
          </w:p>
          <w:p w14:paraId="436DB7D0">
            <w:pPr>
              <w:pStyle w:val="5"/>
              <w:keepNext w:val="0"/>
              <w:keepLines w:val="0"/>
              <w:widowControl/>
              <w:suppressLineNumbers w:val="0"/>
              <w:kinsoku/>
              <w:wordWrap/>
              <w:overflowPunct/>
              <w:bidi w:val="0"/>
              <w:spacing w:before="0" w:beforeAutospacing="0" w:after="0" w:afterAutospacing="0" w:line="288" w:lineRule="auto"/>
              <w:ind w:left="0"/>
              <w:jc w:val="left"/>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　　贷：长期股权投资（母公司）</w:t>
            </w:r>
          </w:p>
          <w:p w14:paraId="00CA25E3">
            <w:pPr>
              <w:pStyle w:val="5"/>
              <w:keepNext w:val="0"/>
              <w:keepLines w:val="0"/>
              <w:widowControl/>
              <w:suppressLineNumbers w:val="0"/>
              <w:kinsoku/>
              <w:wordWrap/>
              <w:overflowPunct/>
              <w:bidi w:val="0"/>
              <w:spacing w:before="0" w:beforeAutospacing="0" w:after="0" w:afterAutospacing="0" w:line="288" w:lineRule="auto"/>
              <w:ind w:left="0"/>
              <w:jc w:val="left"/>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注：第二年以后抵销时，将“管理费用”换为“期初未分配利润”</w:t>
            </w:r>
          </w:p>
        </w:tc>
      </w:tr>
    </w:tbl>
    <w:p w14:paraId="09F0118B">
      <w:pPr>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left="0" w:firstLine="0"/>
        <w:textAlignment w:val="auto"/>
        <w:outlineLvl w:val="9"/>
        <w:rPr>
          <w:rFonts w:hint="eastAsia" w:ascii="宋体" w:hAnsi="宋体" w:eastAsia="宋体" w:cs="宋体"/>
          <w:b/>
          <w:color w:val="auto"/>
          <w:sz w:val="21"/>
          <w:szCs w:val="21"/>
          <w:lang w:eastAsia="zh-CN"/>
        </w:rPr>
      </w:pPr>
    </w:p>
    <w:tbl>
      <w:tblPr>
        <w:tblStyle w:val="6"/>
        <w:tblW w:w="498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3237"/>
        <w:gridCol w:w="1836"/>
        <w:gridCol w:w="3371"/>
        <w:gridCol w:w="1719"/>
      </w:tblGrid>
      <w:tr w14:paraId="29FD2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1" w:hRule="atLeast"/>
        </w:trPr>
        <w:tc>
          <w:tcPr>
            <w:tcW w:w="1592" w:type="pct"/>
            <w:shd w:val="clear" w:color="auto" w:fill="auto"/>
            <w:tcMar>
              <w:top w:w="69" w:type="dxa"/>
              <w:left w:w="139" w:type="dxa"/>
              <w:bottom w:w="69" w:type="dxa"/>
              <w:right w:w="139" w:type="dxa"/>
            </w:tcMar>
            <w:vAlign w:val="center"/>
          </w:tcPr>
          <w:p w14:paraId="62784A72">
            <w:pPr>
              <w:pStyle w:val="5"/>
              <w:keepNext w:val="0"/>
              <w:keepLines w:val="0"/>
              <w:widowControl/>
              <w:suppressLineNumbers w:val="0"/>
              <w:kinsoku/>
              <w:wordWrap/>
              <w:overflowPunct/>
              <w:bidi w:val="0"/>
              <w:spacing w:before="0" w:beforeAutospacing="0" w:after="0" w:afterAutospacing="0"/>
              <w:ind w:left="0"/>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企业集团内</w:t>
            </w:r>
          </w:p>
          <w:p w14:paraId="154641FC">
            <w:pPr>
              <w:pStyle w:val="5"/>
              <w:keepNext w:val="0"/>
              <w:keepLines w:val="0"/>
              <w:widowControl/>
              <w:suppressLineNumbers w:val="0"/>
              <w:kinsoku/>
              <w:wordWrap/>
              <w:overflowPunct/>
              <w:bidi w:val="0"/>
              <w:spacing w:before="0" w:beforeAutospacing="0" w:after="0" w:afterAutospacing="0"/>
              <w:ind w:left="0"/>
              <w:jc w:val="center"/>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股份支付</w:t>
            </w:r>
          </w:p>
        </w:tc>
        <w:tc>
          <w:tcPr>
            <w:tcW w:w="903" w:type="pct"/>
            <w:shd w:val="clear" w:color="auto" w:fill="auto"/>
            <w:tcMar>
              <w:top w:w="69" w:type="dxa"/>
              <w:left w:w="139" w:type="dxa"/>
              <w:bottom w:w="69" w:type="dxa"/>
              <w:right w:w="139" w:type="dxa"/>
            </w:tcMar>
            <w:vAlign w:val="center"/>
          </w:tcPr>
          <w:p w14:paraId="5E78A9A7">
            <w:pPr>
              <w:pStyle w:val="5"/>
              <w:keepNext w:val="0"/>
              <w:keepLines w:val="0"/>
              <w:widowControl/>
              <w:suppressLineNumbers w:val="0"/>
              <w:kinsoku/>
              <w:wordWrap/>
              <w:overflowPunct/>
              <w:bidi w:val="0"/>
              <w:spacing w:before="0" w:beforeAutospacing="0" w:after="0" w:afterAutospacing="0" w:line="240" w:lineRule="auto"/>
              <w:ind w:left="0" w:right="0" w:firstLine="0"/>
              <w:jc w:val="center"/>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结算企业</w:t>
            </w:r>
          </w:p>
          <w:p w14:paraId="2B507DC4">
            <w:pPr>
              <w:pStyle w:val="5"/>
              <w:keepNext w:val="0"/>
              <w:keepLines w:val="0"/>
              <w:widowControl/>
              <w:suppressLineNumbers w:val="0"/>
              <w:kinsoku/>
              <w:wordWrap/>
              <w:overflowPunct/>
              <w:bidi w:val="0"/>
              <w:spacing w:before="0" w:beforeAutospacing="0" w:after="0" w:afterAutospacing="0" w:line="240" w:lineRule="auto"/>
              <w:ind w:left="0" w:right="0" w:firstLine="0"/>
              <w:jc w:val="center"/>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（母公司）</w:t>
            </w:r>
          </w:p>
        </w:tc>
        <w:tc>
          <w:tcPr>
            <w:tcW w:w="1658" w:type="pct"/>
            <w:shd w:val="clear" w:color="auto" w:fill="auto"/>
            <w:tcMar>
              <w:top w:w="69" w:type="dxa"/>
              <w:left w:w="139" w:type="dxa"/>
              <w:bottom w:w="69" w:type="dxa"/>
              <w:right w:w="139" w:type="dxa"/>
            </w:tcMar>
            <w:vAlign w:val="center"/>
          </w:tcPr>
          <w:p w14:paraId="56DD709D">
            <w:pPr>
              <w:pStyle w:val="5"/>
              <w:keepNext w:val="0"/>
              <w:keepLines w:val="0"/>
              <w:widowControl/>
              <w:suppressLineNumbers w:val="0"/>
              <w:kinsoku/>
              <w:wordWrap/>
              <w:overflowPunct/>
              <w:bidi w:val="0"/>
              <w:spacing w:before="0" w:beforeAutospacing="0" w:after="0" w:afterAutospacing="0"/>
              <w:ind w:left="0"/>
              <w:jc w:val="center"/>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接受服务企业</w:t>
            </w:r>
          </w:p>
          <w:p w14:paraId="2F9A9C28">
            <w:pPr>
              <w:pStyle w:val="5"/>
              <w:keepNext w:val="0"/>
              <w:keepLines w:val="0"/>
              <w:widowControl/>
              <w:suppressLineNumbers w:val="0"/>
              <w:kinsoku/>
              <w:wordWrap/>
              <w:overflowPunct/>
              <w:bidi w:val="0"/>
              <w:spacing w:before="0" w:beforeAutospacing="0" w:after="0" w:afterAutospacing="0"/>
              <w:ind w:left="0"/>
              <w:jc w:val="center"/>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（子公司）</w:t>
            </w:r>
          </w:p>
        </w:tc>
        <w:tc>
          <w:tcPr>
            <w:tcW w:w="845" w:type="pct"/>
            <w:shd w:val="clear" w:color="auto" w:fill="auto"/>
            <w:tcMar>
              <w:top w:w="69" w:type="dxa"/>
              <w:left w:w="139" w:type="dxa"/>
              <w:bottom w:w="69" w:type="dxa"/>
              <w:right w:w="139" w:type="dxa"/>
            </w:tcMar>
            <w:vAlign w:val="center"/>
          </w:tcPr>
          <w:p w14:paraId="40EBB52F">
            <w:pPr>
              <w:pStyle w:val="5"/>
              <w:keepNext w:val="0"/>
              <w:keepLines w:val="0"/>
              <w:widowControl/>
              <w:suppressLineNumbers w:val="0"/>
              <w:kinsoku/>
              <w:wordWrap/>
              <w:overflowPunct/>
              <w:bidi w:val="0"/>
              <w:spacing w:before="0" w:beforeAutospacing="0" w:after="0" w:afterAutospacing="0" w:line="240" w:lineRule="auto"/>
              <w:ind w:left="0" w:right="0" w:firstLine="0"/>
              <w:jc w:val="center"/>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合并报表</w:t>
            </w:r>
          </w:p>
          <w:p w14:paraId="29589F91">
            <w:pPr>
              <w:pStyle w:val="5"/>
              <w:keepNext w:val="0"/>
              <w:keepLines w:val="0"/>
              <w:widowControl/>
              <w:suppressLineNumbers w:val="0"/>
              <w:kinsoku/>
              <w:wordWrap/>
              <w:overflowPunct/>
              <w:bidi w:val="0"/>
              <w:spacing w:before="0" w:beforeAutospacing="0" w:after="0" w:afterAutospacing="0" w:line="240" w:lineRule="auto"/>
              <w:ind w:left="0" w:right="0" w:firstLine="0"/>
              <w:jc w:val="center"/>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（了解）</w:t>
            </w:r>
          </w:p>
        </w:tc>
      </w:tr>
      <w:tr w14:paraId="782EA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5" w:hRule="atLeast"/>
        </w:trPr>
        <w:tc>
          <w:tcPr>
            <w:tcW w:w="1592" w:type="pct"/>
            <w:shd w:val="clear" w:color="auto" w:fill="auto"/>
            <w:tcMar>
              <w:top w:w="69" w:type="dxa"/>
              <w:left w:w="139" w:type="dxa"/>
              <w:bottom w:w="69" w:type="dxa"/>
              <w:right w:w="139" w:type="dxa"/>
            </w:tcMar>
            <w:vAlign w:val="top"/>
          </w:tcPr>
          <w:p w14:paraId="0F5D2E3E">
            <w:pPr>
              <w:pStyle w:val="5"/>
              <w:keepNext w:val="0"/>
              <w:keepLines w:val="0"/>
              <w:widowControl/>
              <w:suppressLineNumbers w:val="0"/>
              <w:kinsoku/>
              <w:wordWrap/>
              <w:overflowPunct/>
              <w:bidi w:val="0"/>
              <w:spacing w:before="0" w:beforeAutospacing="0" w:after="0" w:afterAutospacing="0" w:line="288" w:lineRule="auto"/>
              <w:ind w:left="0"/>
              <w:jc w:val="left"/>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情形3：</w:t>
            </w:r>
          </w:p>
          <w:p w14:paraId="1AA64227">
            <w:pPr>
              <w:pStyle w:val="5"/>
              <w:keepNext w:val="0"/>
              <w:keepLines w:val="0"/>
              <w:widowControl/>
              <w:suppressLineNumbers w:val="0"/>
              <w:kinsoku/>
              <w:wordWrap/>
              <w:overflowPunct/>
              <w:bidi w:val="0"/>
              <w:spacing w:before="0" w:beforeAutospacing="0" w:after="0" w:afterAutospacing="0" w:line="288" w:lineRule="auto"/>
              <w:ind w:left="0"/>
              <w:jc w:val="left"/>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接受服务企业子公司具有结算义务，授予的是母公司（或集团企业内其他企业）权益工具，作为现金结算的股份支付进行会计处理</w:t>
            </w:r>
          </w:p>
        </w:tc>
        <w:tc>
          <w:tcPr>
            <w:tcW w:w="903" w:type="pct"/>
            <w:shd w:val="clear" w:color="auto" w:fill="auto"/>
            <w:tcMar>
              <w:top w:w="69" w:type="dxa"/>
              <w:left w:w="139" w:type="dxa"/>
              <w:bottom w:w="69" w:type="dxa"/>
              <w:right w:w="139" w:type="dxa"/>
            </w:tcMar>
            <w:vAlign w:val="top"/>
          </w:tcPr>
          <w:p w14:paraId="02798F2C">
            <w:pPr>
              <w:rPr>
                <w:rFonts w:hint="eastAsia" w:ascii="宋体" w:hAnsi="宋体" w:eastAsia="宋体" w:cs="宋体"/>
                <w:color w:val="auto"/>
                <w:kern w:val="2"/>
                <w:sz w:val="21"/>
                <w:szCs w:val="21"/>
              </w:rPr>
            </w:pPr>
          </w:p>
        </w:tc>
        <w:tc>
          <w:tcPr>
            <w:tcW w:w="1658" w:type="pct"/>
            <w:shd w:val="clear" w:color="auto" w:fill="auto"/>
            <w:tcMar>
              <w:top w:w="69" w:type="dxa"/>
              <w:left w:w="139" w:type="dxa"/>
              <w:bottom w:w="69" w:type="dxa"/>
              <w:right w:w="139" w:type="dxa"/>
            </w:tcMar>
            <w:vAlign w:val="top"/>
          </w:tcPr>
          <w:p w14:paraId="5123E079">
            <w:pPr>
              <w:pStyle w:val="5"/>
              <w:keepNext w:val="0"/>
              <w:keepLines w:val="0"/>
              <w:widowControl/>
              <w:suppressLineNumbers w:val="0"/>
              <w:kinsoku/>
              <w:wordWrap/>
              <w:overflowPunct/>
              <w:bidi w:val="0"/>
              <w:spacing w:before="0" w:beforeAutospacing="0" w:after="0" w:afterAutospacing="0" w:line="288" w:lineRule="auto"/>
              <w:ind w:left="0"/>
              <w:jc w:val="left"/>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借：管理费用等</w:t>
            </w:r>
          </w:p>
          <w:p w14:paraId="78F32BE3">
            <w:pPr>
              <w:pStyle w:val="5"/>
              <w:keepNext w:val="0"/>
              <w:keepLines w:val="0"/>
              <w:widowControl/>
              <w:suppressLineNumbers w:val="0"/>
              <w:kinsoku/>
              <w:wordWrap/>
              <w:overflowPunct/>
              <w:bidi w:val="0"/>
              <w:spacing w:before="0" w:beforeAutospacing="0" w:after="0" w:afterAutospacing="0" w:line="288" w:lineRule="auto"/>
              <w:ind w:left="0"/>
              <w:jc w:val="left"/>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　　贷：应付职工薪酬</w:t>
            </w:r>
          </w:p>
          <w:p w14:paraId="12A5E37C">
            <w:pPr>
              <w:pStyle w:val="5"/>
              <w:keepNext w:val="0"/>
              <w:keepLines w:val="0"/>
              <w:widowControl/>
              <w:suppressLineNumbers w:val="0"/>
              <w:kinsoku/>
              <w:wordWrap/>
              <w:overflowPunct/>
              <w:bidi w:val="0"/>
              <w:spacing w:before="0" w:beforeAutospacing="0" w:after="0" w:afterAutospacing="0" w:line="288" w:lineRule="auto"/>
              <w:ind w:left="0"/>
              <w:jc w:val="left"/>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子公司需要购入母公司的权益工具再授予本企业职工，所以按照现金结算的股份支付处理</w:t>
            </w:r>
          </w:p>
        </w:tc>
        <w:tc>
          <w:tcPr>
            <w:tcW w:w="845" w:type="pct"/>
            <w:shd w:val="clear" w:color="auto" w:fill="auto"/>
            <w:tcMar>
              <w:top w:w="69" w:type="dxa"/>
              <w:left w:w="139" w:type="dxa"/>
              <w:bottom w:w="69" w:type="dxa"/>
              <w:right w:w="139" w:type="dxa"/>
            </w:tcMar>
            <w:vAlign w:val="top"/>
          </w:tcPr>
          <w:p w14:paraId="43CFE6F2">
            <w:pPr>
              <w:rPr>
                <w:rFonts w:hint="default" w:ascii="宋体" w:hAnsi="宋体" w:eastAsia="宋体" w:cs="宋体"/>
                <w:color w:val="auto"/>
                <w:kern w:val="2"/>
                <w:sz w:val="21"/>
                <w:szCs w:val="21"/>
              </w:rPr>
            </w:pPr>
          </w:p>
        </w:tc>
      </w:tr>
    </w:tbl>
    <w:p w14:paraId="0CEE455A">
      <w:pPr>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left="0" w:firstLine="0"/>
        <w:textAlignment w:val="auto"/>
        <w:outlineLvl w:val="9"/>
        <w:rPr>
          <w:rFonts w:hint="eastAsia" w:ascii="宋体" w:hAnsi="宋体" w:eastAsia="宋体" w:cs="宋体"/>
          <w:b/>
          <w:color w:val="auto"/>
          <w:sz w:val="21"/>
          <w:szCs w:val="21"/>
          <w:lang w:eastAsia="zh-CN"/>
        </w:rPr>
      </w:pPr>
    </w:p>
    <w:p w14:paraId="79E4FB4B">
      <w:pPr>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left="0" w:firstLine="0"/>
        <w:textAlignment w:val="auto"/>
        <w:outlineLvl w:val="9"/>
        <w:rPr>
          <w:rFonts w:hint="default" w:ascii="宋体" w:hAnsi="宋体" w:eastAsia="宋体" w:cs="宋体"/>
          <w:b/>
          <w:color w:val="auto"/>
          <w:sz w:val="21"/>
          <w:szCs w:val="21"/>
          <w:lang w:val="en-US" w:eastAsia="zh-CN"/>
        </w:rPr>
      </w:pPr>
      <w:r>
        <w:rPr>
          <w:rFonts w:hint="eastAsia" w:ascii="宋体" w:hAnsi="宋体" w:eastAsia="宋体" w:cs="宋体"/>
          <w:b/>
          <w:color w:val="auto"/>
          <w:sz w:val="21"/>
          <w:szCs w:val="21"/>
        </w:rPr>
        <w:t>第十一章  借款费用</w:t>
      </w:r>
      <w:r>
        <w:rPr>
          <w:rFonts w:hint="eastAsia" w:ascii="宋体" w:hAnsi="宋体" w:cs="宋体"/>
          <w:b/>
          <w:color w:val="auto"/>
          <w:sz w:val="21"/>
          <w:szCs w:val="21"/>
          <w:lang w:val="en-US" w:eastAsia="zh-CN"/>
        </w:rPr>
        <w:t xml:space="preserve">  </w:t>
      </w:r>
    </w:p>
    <w:p w14:paraId="685B0064">
      <w:pPr>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left="0" w:firstLine="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预计今年考核客观题，分值为</w:t>
      </w:r>
      <w:r>
        <w:rPr>
          <w:rFonts w:hint="eastAsia" w:ascii="宋体" w:hAnsi="宋体" w:eastAsia="宋体" w:cs="宋体"/>
          <w:color w:val="auto"/>
          <w:sz w:val="21"/>
          <w:szCs w:val="21"/>
          <w:lang w:val="en-US" w:eastAsia="zh-CN"/>
        </w:rPr>
        <w:t>2-6</w:t>
      </w:r>
      <w:r>
        <w:rPr>
          <w:rFonts w:hint="eastAsia" w:ascii="宋体" w:hAnsi="宋体" w:eastAsia="宋体" w:cs="宋体"/>
          <w:color w:val="auto"/>
          <w:sz w:val="21"/>
          <w:szCs w:val="21"/>
        </w:rPr>
        <w:t>分 。</w:t>
      </w:r>
    </w:p>
    <w:p w14:paraId="2320211E">
      <w:pPr>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left="0" w:firstLine="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考点</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 xml:space="preserve">借款费用 </w:t>
      </w:r>
    </w:p>
    <w:tbl>
      <w:tblPr>
        <w:tblStyle w:val="6"/>
        <w:tblW w:w="500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2052"/>
        <w:gridCol w:w="8092"/>
      </w:tblGrid>
      <w:tr w14:paraId="0DFF9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26" w:hRule="atLeast"/>
        </w:trPr>
        <w:tc>
          <w:tcPr>
            <w:tcW w:w="1011" w:type="pct"/>
            <w:vMerge w:val="restart"/>
            <w:shd w:val="clear" w:color="auto" w:fill="auto"/>
            <w:tcMar>
              <w:top w:w="71" w:type="dxa"/>
              <w:left w:w="110" w:type="dxa"/>
              <w:bottom w:w="71" w:type="dxa"/>
              <w:right w:w="110" w:type="dxa"/>
            </w:tcMar>
            <w:vAlign w:val="center"/>
          </w:tcPr>
          <w:p w14:paraId="12D67A53">
            <w:pPr>
              <w:pStyle w:val="5"/>
              <w:keepNext w:val="0"/>
              <w:keepLines w:val="0"/>
              <w:widowControl/>
              <w:suppressLineNumbers w:val="0"/>
              <w:kinsoku/>
              <w:wordWrap/>
              <w:overflowPunct/>
              <w:bidi w:val="0"/>
              <w:spacing w:before="0" w:beforeAutospacing="0" w:after="0" w:afterAutospacing="0" w:line="324" w:lineRule="auto"/>
              <w:ind w:left="0"/>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一、借款费用的范围</w:t>
            </w:r>
          </w:p>
        </w:tc>
        <w:tc>
          <w:tcPr>
            <w:tcW w:w="3988" w:type="pct"/>
            <w:shd w:val="clear" w:color="auto" w:fill="auto"/>
            <w:tcMar>
              <w:top w:w="71" w:type="dxa"/>
              <w:left w:w="110" w:type="dxa"/>
              <w:bottom w:w="71" w:type="dxa"/>
              <w:right w:w="110" w:type="dxa"/>
            </w:tcMar>
            <w:vAlign w:val="center"/>
          </w:tcPr>
          <w:p w14:paraId="374E77E4">
            <w:pPr>
              <w:pStyle w:val="5"/>
              <w:keepNext w:val="0"/>
              <w:keepLines w:val="0"/>
              <w:widowControl/>
              <w:suppressLineNumbers w:val="0"/>
              <w:kinsoku/>
              <w:wordWrap/>
              <w:overflowPunct/>
              <w:bidi w:val="0"/>
              <w:spacing w:before="0" w:beforeAutospacing="0" w:after="0" w:afterAutospacing="0" w:line="324" w:lineRule="auto"/>
              <w:ind w:left="0"/>
              <w:jc w:val="left"/>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（1）借款利息、（2）折价或者溢价的摊销额、（3）辅助费用以及（4）因外币借款而发生的汇兑差额等。</w:t>
            </w:r>
          </w:p>
        </w:tc>
      </w:tr>
      <w:tr w14:paraId="1D2A0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2" w:hRule="atLeast"/>
        </w:trPr>
        <w:tc>
          <w:tcPr>
            <w:tcW w:w="1011" w:type="pct"/>
            <w:vMerge w:val="continue"/>
            <w:shd w:val="clear" w:color="auto" w:fill="auto"/>
            <w:tcMar>
              <w:top w:w="71" w:type="dxa"/>
              <w:left w:w="110" w:type="dxa"/>
              <w:bottom w:w="71" w:type="dxa"/>
              <w:right w:w="110" w:type="dxa"/>
            </w:tcMar>
            <w:vAlign w:val="center"/>
          </w:tcPr>
          <w:p w14:paraId="158082CD">
            <w:pPr>
              <w:jc w:val="center"/>
              <w:rPr>
                <w:rFonts w:hint="eastAsia" w:ascii="宋体" w:hAnsi="宋体" w:eastAsia="宋体" w:cs="宋体"/>
                <w:color w:val="auto"/>
                <w:kern w:val="2"/>
                <w:sz w:val="21"/>
                <w:szCs w:val="21"/>
              </w:rPr>
            </w:pPr>
          </w:p>
        </w:tc>
        <w:tc>
          <w:tcPr>
            <w:tcW w:w="3988" w:type="pct"/>
            <w:shd w:val="clear" w:color="auto" w:fill="auto"/>
            <w:tcMar>
              <w:top w:w="71" w:type="dxa"/>
              <w:left w:w="110" w:type="dxa"/>
              <w:bottom w:w="71" w:type="dxa"/>
              <w:right w:w="110" w:type="dxa"/>
            </w:tcMar>
            <w:vAlign w:val="center"/>
          </w:tcPr>
          <w:p w14:paraId="7DD5D424">
            <w:pPr>
              <w:pStyle w:val="5"/>
              <w:keepNext w:val="0"/>
              <w:keepLines w:val="0"/>
              <w:widowControl/>
              <w:suppressLineNumbers w:val="0"/>
              <w:kinsoku/>
              <w:wordWrap/>
              <w:overflowPunct/>
              <w:bidi w:val="0"/>
              <w:spacing w:before="0" w:beforeAutospacing="0" w:after="0" w:afterAutospacing="0" w:line="324" w:lineRule="auto"/>
              <w:ind w:left="0"/>
              <w:jc w:val="left"/>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对于企业发生的</w:t>
            </w:r>
            <w:r>
              <w:rPr>
                <w:rFonts w:hint="default" w:ascii="宋体" w:hAnsi="宋体" w:eastAsia="宋体" w:cs="宋体"/>
                <w:color w:val="FF0000"/>
                <w:kern w:val="2"/>
                <w:sz w:val="21"/>
                <w:szCs w:val="21"/>
              </w:rPr>
              <w:t>权益性融资费用，不应包括在借款费用中</w:t>
            </w:r>
          </w:p>
        </w:tc>
      </w:tr>
      <w:tr w14:paraId="0D435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29" w:hRule="atLeast"/>
        </w:trPr>
        <w:tc>
          <w:tcPr>
            <w:tcW w:w="1011" w:type="pct"/>
            <w:shd w:val="clear" w:color="auto" w:fill="auto"/>
            <w:tcMar>
              <w:top w:w="71" w:type="dxa"/>
              <w:left w:w="110" w:type="dxa"/>
              <w:bottom w:w="71" w:type="dxa"/>
              <w:right w:w="110" w:type="dxa"/>
            </w:tcMar>
            <w:vAlign w:val="center"/>
          </w:tcPr>
          <w:p w14:paraId="198A4209">
            <w:pPr>
              <w:pStyle w:val="5"/>
              <w:keepNext w:val="0"/>
              <w:keepLines w:val="0"/>
              <w:widowControl/>
              <w:suppressLineNumbers w:val="0"/>
              <w:kinsoku/>
              <w:wordWrap/>
              <w:overflowPunct/>
              <w:bidi w:val="0"/>
              <w:spacing w:before="0" w:beforeAutospacing="0" w:after="0" w:afterAutospacing="0" w:line="324" w:lineRule="auto"/>
              <w:ind w:left="0"/>
              <w:jc w:val="center"/>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二、借款费用的确认</w:t>
            </w:r>
          </w:p>
        </w:tc>
        <w:tc>
          <w:tcPr>
            <w:tcW w:w="3988" w:type="pct"/>
            <w:shd w:val="clear" w:color="auto" w:fill="auto"/>
            <w:tcMar>
              <w:top w:w="71" w:type="dxa"/>
              <w:left w:w="110" w:type="dxa"/>
              <w:bottom w:w="71" w:type="dxa"/>
              <w:right w:w="110" w:type="dxa"/>
            </w:tcMar>
            <w:vAlign w:val="center"/>
          </w:tcPr>
          <w:p w14:paraId="5F2C5B8A">
            <w:pPr>
              <w:pStyle w:val="5"/>
              <w:keepNext w:val="0"/>
              <w:keepLines w:val="0"/>
              <w:widowControl/>
              <w:suppressLineNumbers w:val="0"/>
              <w:kinsoku/>
              <w:wordWrap/>
              <w:overflowPunct/>
              <w:bidi w:val="0"/>
              <w:spacing w:before="0" w:beforeAutospacing="0" w:after="0" w:afterAutospacing="0" w:line="324" w:lineRule="auto"/>
              <w:ind w:left="0"/>
              <w:jc w:val="left"/>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借款费用资本化期间：开始资本化时点到停止资本化时点的期间；除暂停资本化的期间外</w:t>
            </w:r>
          </w:p>
        </w:tc>
      </w:tr>
      <w:tr w14:paraId="45754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41" w:hRule="atLeast"/>
        </w:trPr>
        <w:tc>
          <w:tcPr>
            <w:tcW w:w="1011" w:type="pct"/>
            <w:shd w:val="clear" w:color="auto" w:fill="auto"/>
            <w:tcMar>
              <w:top w:w="71" w:type="dxa"/>
              <w:left w:w="110" w:type="dxa"/>
              <w:bottom w:w="71" w:type="dxa"/>
              <w:right w:w="110" w:type="dxa"/>
            </w:tcMar>
            <w:vAlign w:val="center"/>
          </w:tcPr>
          <w:p w14:paraId="1F6CDFEE">
            <w:pPr>
              <w:pStyle w:val="5"/>
              <w:keepNext w:val="0"/>
              <w:keepLines w:val="0"/>
              <w:widowControl/>
              <w:suppressLineNumbers w:val="0"/>
              <w:kinsoku/>
              <w:wordWrap/>
              <w:overflowPunct/>
              <w:bidi w:val="0"/>
              <w:spacing w:before="0" w:beforeAutospacing="0" w:after="0" w:afterAutospacing="0" w:line="324" w:lineRule="auto"/>
              <w:ind w:left="0"/>
              <w:jc w:val="center"/>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开始</w:t>
            </w:r>
          </w:p>
        </w:tc>
        <w:tc>
          <w:tcPr>
            <w:tcW w:w="3988" w:type="pct"/>
            <w:shd w:val="clear" w:color="auto" w:fill="auto"/>
            <w:tcMar>
              <w:top w:w="71" w:type="dxa"/>
              <w:left w:w="110" w:type="dxa"/>
              <w:bottom w:w="71" w:type="dxa"/>
              <w:right w:w="110" w:type="dxa"/>
            </w:tcMar>
            <w:vAlign w:val="center"/>
          </w:tcPr>
          <w:p w14:paraId="3CFFA569">
            <w:pPr>
              <w:pStyle w:val="5"/>
              <w:keepNext w:val="0"/>
              <w:keepLines w:val="0"/>
              <w:widowControl/>
              <w:suppressLineNumbers w:val="0"/>
              <w:kinsoku/>
              <w:wordWrap/>
              <w:overflowPunct/>
              <w:bidi w:val="0"/>
              <w:spacing w:before="0" w:beforeAutospacing="0" w:after="0" w:afterAutospacing="0" w:line="324" w:lineRule="auto"/>
              <w:ind w:left="0"/>
              <w:jc w:val="left"/>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付款、利息、开工</w:t>
            </w:r>
          </w:p>
        </w:tc>
      </w:tr>
      <w:tr w14:paraId="75DEF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42" w:hRule="atLeast"/>
        </w:trPr>
        <w:tc>
          <w:tcPr>
            <w:tcW w:w="1011" w:type="pct"/>
            <w:vMerge w:val="restart"/>
            <w:shd w:val="clear" w:color="auto" w:fill="auto"/>
            <w:tcMar>
              <w:top w:w="71" w:type="dxa"/>
              <w:left w:w="110" w:type="dxa"/>
              <w:bottom w:w="71" w:type="dxa"/>
              <w:right w:w="110" w:type="dxa"/>
            </w:tcMar>
            <w:vAlign w:val="center"/>
          </w:tcPr>
          <w:p w14:paraId="0A4DF67D">
            <w:pPr>
              <w:pStyle w:val="5"/>
              <w:keepNext w:val="0"/>
              <w:keepLines w:val="0"/>
              <w:widowControl/>
              <w:suppressLineNumbers w:val="0"/>
              <w:kinsoku/>
              <w:wordWrap/>
              <w:overflowPunct/>
              <w:bidi w:val="0"/>
              <w:spacing w:before="0" w:beforeAutospacing="0" w:after="0" w:afterAutospacing="0" w:line="324" w:lineRule="auto"/>
              <w:ind w:left="0"/>
              <w:jc w:val="center"/>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暂停</w:t>
            </w:r>
          </w:p>
        </w:tc>
        <w:tc>
          <w:tcPr>
            <w:tcW w:w="3988" w:type="pct"/>
            <w:shd w:val="clear" w:color="auto" w:fill="auto"/>
            <w:tcMar>
              <w:top w:w="71" w:type="dxa"/>
              <w:left w:w="110" w:type="dxa"/>
              <w:bottom w:w="71" w:type="dxa"/>
              <w:right w:w="110" w:type="dxa"/>
            </w:tcMar>
            <w:vAlign w:val="center"/>
          </w:tcPr>
          <w:p w14:paraId="14D26556">
            <w:pPr>
              <w:pStyle w:val="5"/>
              <w:keepNext w:val="0"/>
              <w:keepLines w:val="0"/>
              <w:widowControl/>
              <w:suppressLineNumbers w:val="0"/>
              <w:kinsoku/>
              <w:wordWrap/>
              <w:overflowPunct/>
              <w:bidi w:val="0"/>
              <w:spacing w:before="0" w:beforeAutospacing="0" w:after="0" w:afterAutospacing="0" w:line="324" w:lineRule="auto"/>
              <w:ind w:left="0"/>
              <w:jc w:val="left"/>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非3连：（1）</w:t>
            </w:r>
            <w:r>
              <w:rPr>
                <w:rFonts w:hint="default" w:ascii="宋体" w:hAnsi="宋体" w:eastAsia="宋体" w:cs="宋体"/>
                <w:color w:val="FF0000"/>
                <w:kern w:val="2"/>
                <w:sz w:val="21"/>
                <w:szCs w:val="21"/>
              </w:rPr>
              <w:t>非正常中断</w:t>
            </w:r>
            <w:r>
              <w:rPr>
                <w:rFonts w:hint="default" w:ascii="宋体" w:hAnsi="宋体" w:eastAsia="宋体" w:cs="宋体"/>
                <w:color w:val="auto"/>
                <w:kern w:val="2"/>
                <w:sz w:val="21"/>
                <w:szCs w:val="21"/>
              </w:rPr>
              <w:t>（2）</w:t>
            </w:r>
            <w:r>
              <w:rPr>
                <w:rFonts w:hint="default" w:ascii="宋体" w:hAnsi="宋体" w:eastAsia="宋体" w:cs="宋体"/>
                <w:color w:val="FF0000"/>
                <w:kern w:val="2"/>
                <w:sz w:val="21"/>
                <w:szCs w:val="21"/>
              </w:rPr>
              <w:t>连续</w:t>
            </w:r>
            <w:r>
              <w:rPr>
                <w:rFonts w:hint="default" w:ascii="宋体" w:hAnsi="宋体" w:eastAsia="宋体" w:cs="宋体"/>
                <w:color w:val="auto"/>
                <w:kern w:val="2"/>
                <w:sz w:val="21"/>
                <w:szCs w:val="21"/>
              </w:rPr>
              <w:t>（3）</w:t>
            </w:r>
            <w:r>
              <w:rPr>
                <w:rFonts w:hint="default" w:ascii="宋体" w:hAnsi="宋体" w:eastAsia="宋体" w:cs="宋体"/>
                <w:color w:val="FF0000"/>
                <w:kern w:val="2"/>
                <w:sz w:val="21"/>
                <w:szCs w:val="21"/>
              </w:rPr>
              <w:t>超过3个月</w:t>
            </w:r>
          </w:p>
        </w:tc>
      </w:tr>
      <w:tr w14:paraId="4D895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29" w:hRule="atLeast"/>
        </w:trPr>
        <w:tc>
          <w:tcPr>
            <w:tcW w:w="1011" w:type="pct"/>
            <w:vMerge w:val="continue"/>
            <w:shd w:val="clear" w:color="auto" w:fill="auto"/>
            <w:tcMar>
              <w:top w:w="71" w:type="dxa"/>
              <w:left w:w="110" w:type="dxa"/>
              <w:bottom w:w="71" w:type="dxa"/>
              <w:right w:w="110" w:type="dxa"/>
            </w:tcMar>
            <w:vAlign w:val="center"/>
          </w:tcPr>
          <w:p w14:paraId="366565B7">
            <w:pPr>
              <w:jc w:val="center"/>
              <w:rPr>
                <w:rFonts w:hint="default" w:ascii="宋体" w:hAnsi="宋体" w:eastAsia="宋体" w:cs="宋体"/>
                <w:color w:val="auto"/>
                <w:kern w:val="2"/>
                <w:sz w:val="21"/>
                <w:szCs w:val="21"/>
              </w:rPr>
            </w:pPr>
          </w:p>
        </w:tc>
        <w:tc>
          <w:tcPr>
            <w:tcW w:w="3988" w:type="pct"/>
            <w:shd w:val="clear" w:color="auto" w:fill="auto"/>
            <w:tcMar>
              <w:top w:w="71" w:type="dxa"/>
              <w:left w:w="110" w:type="dxa"/>
              <w:bottom w:w="71" w:type="dxa"/>
              <w:right w:w="110" w:type="dxa"/>
            </w:tcMar>
            <w:vAlign w:val="center"/>
          </w:tcPr>
          <w:p w14:paraId="0A119BED">
            <w:pPr>
              <w:pStyle w:val="5"/>
              <w:keepNext w:val="0"/>
              <w:keepLines w:val="0"/>
              <w:widowControl/>
              <w:suppressLineNumbers w:val="0"/>
              <w:kinsoku/>
              <w:wordWrap/>
              <w:overflowPunct/>
              <w:bidi w:val="0"/>
              <w:spacing w:before="0" w:beforeAutospacing="0" w:after="0" w:afterAutospacing="0" w:line="324" w:lineRule="auto"/>
              <w:ind w:left="0"/>
              <w:jc w:val="left"/>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非正常中断举例：质量纠纷、生产用料没有及时供应、资金周转困难、安全事故、与购建生产有关的劳动纠纷等。</w:t>
            </w:r>
          </w:p>
        </w:tc>
      </w:tr>
      <w:tr w14:paraId="7CB0F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6" w:hRule="atLeast"/>
        </w:trPr>
        <w:tc>
          <w:tcPr>
            <w:tcW w:w="1011" w:type="pct"/>
            <w:shd w:val="clear" w:color="auto" w:fill="auto"/>
            <w:tcMar>
              <w:top w:w="71" w:type="dxa"/>
              <w:left w:w="110" w:type="dxa"/>
              <w:bottom w:w="71" w:type="dxa"/>
              <w:right w:w="110" w:type="dxa"/>
            </w:tcMar>
            <w:vAlign w:val="center"/>
          </w:tcPr>
          <w:p w14:paraId="33ADF004">
            <w:pPr>
              <w:pStyle w:val="5"/>
              <w:keepNext w:val="0"/>
              <w:keepLines w:val="0"/>
              <w:widowControl/>
              <w:suppressLineNumbers w:val="0"/>
              <w:kinsoku/>
              <w:wordWrap/>
              <w:overflowPunct/>
              <w:bidi w:val="0"/>
              <w:spacing w:before="0" w:beforeAutospacing="0" w:after="0" w:afterAutospacing="0" w:line="324" w:lineRule="auto"/>
              <w:ind w:left="0"/>
              <w:jc w:val="center"/>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停止</w:t>
            </w:r>
          </w:p>
        </w:tc>
        <w:tc>
          <w:tcPr>
            <w:tcW w:w="3988" w:type="pct"/>
            <w:shd w:val="clear" w:color="auto" w:fill="auto"/>
            <w:tcMar>
              <w:top w:w="71" w:type="dxa"/>
              <w:left w:w="110" w:type="dxa"/>
              <w:bottom w:w="71" w:type="dxa"/>
              <w:right w:w="110" w:type="dxa"/>
            </w:tcMar>
            <w:vAlign w:val="center"/>
          </w:tcPr>
          <w:p w14:paraId="3B736C1A">
            <w:pPr>
              <w:pStyle w:val="5"/>
              <w:keepNext w:val="0"/>
              <w:keepLines w:val="0"/>
              <w:widowControl/>
              <w:suppressLineNumbers w:val="0"/>
              <w:kinsoku/>
              <w:wordWrap/>
              <w:overflowPunct/>
              <w:bidi w:val="0"/>
              <w:spacing w:before="0" w:beforeAutospacing="0" w:after="0" w:afterAutospacing="0" w:line="324" w:lineRule="auto"/>
              <w:ind w:left="0"/>
              <w:jc w:val="left"/>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达到预定可使用或者可销售状态时；之后发生的借款费用，计入当期损益。</w:t>
            </w:r>
          </w:p>
        </w:tc>
      </w:tr>
    </w:tbl>
    <w:p w14:paraId="4ABEF32F">
      <w:pPr>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left="0" w:firstLine="0"/>
        <w:textAlignment w:val="auto"/>
        <w:outlineLvl w:val="9"/>
        <w:rPr>
          <w:rFonts w:hint="eastAsia" w:ascii="宋体" w:hAnsi="宋体" w:eastAsia="宋体" w:cs="宋体"/>
          <w:b/>
          <w:color w:val="auto"/>
          <w:sz w:val="21"/>
          <w:szCs w:val="21"/>
        </w:rPr>
      </w:pPr>
    </w:p>
    <w:tbl>
      <w:tblPr>
        <w:tblStyle w:val="6"/>
        <w:tblW w:w="499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1527"/>
        <w:gridCol w:w="8595"/>
      </w:tblGrid>
      <w:tr w14:paraId="52D1D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57" w:hRule="atLeast"/>
        </w:trPr>
        <w:tc>
          <w:tcPr>
            <w:tcW w:w="754" w:type="pct"/>
            <w:vMerge w:val="restart"/>
            <w:shd w:val="clear" w:color="auto" w:fill="auto"/>
            <w:tcMar>
              <w:top w:w="71" w:type="dxa"/>
              <w:left w:w="110" w:type="dxa"/>
              <w:bottom w:w="71" w:type="dxa"/>
              <w:right w:w="110" w:type="dxa"/>
            </w:tcMar>
            <w:vAlign w:val="center"/>
          </w:tcPr>
          <w:p w14:paraId="685F6875">
            <w:pPr>
              <w:pStyle w:val="5"/>
              <w:keepNext w:val="0"/>
              <w:keepLines w:val="0"/>
              <w:widowControl/>
              <w:suppressLineNumbers w:val="0"/>
              <w:kinsoku/>
              <w:wordWrap/>
              <w:overflowPunct/>
              <w:bidi w:val="0"/>
              <w:spacing w:before="0" w:beforeAutospacing="0" w:after="0" w:afterAutospacing="0" w:line="324" w:lineRule="auto"/>
              <w:ind w:left="0"/>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资本化金额</w:t>
            </w:r>
          </w:p>
          <w:p w14:paraId="45D0F47B">
            <w:pPr>
              <w:pStyle w:val="5"/>
              <w:keepNext w:val="0"/>
              <w:keepLines w:val="0"/>
              <w:widowControl/>
              <w:suppressLineNumbers w:val="0"/>
              <w:kinsoku/>
              <w:wordWrap/>
              <w:overflowPunct/>
              <w:bidi w:val="0"/>
              <w:spacing w:before="0" w:beforeAutospacing="0" w:after="0" w:afterAutospacing="0" w:line="324" w:lineRule="auto"/>
              <w:ind w:left="0"/>
              <w:jc w:val="left"/>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掌握例题</w:t>
            </w:r>
          </w:p>
        </w:tc>
        <w:tc>
          <w:tcPr>
            <w:tcW w:w="4245" w:type="pct"/>
            <w:shd w:val="clear" w:color="auto" w:fill="auto"/>
            <w:tcMar>
              <w:top w:w="71" w:type="dxa"/>
              <w:left w:w="110" w:type="dxa"/>
              <w:bottom w:w="71" w:type="dxa"/>
              <w:right w:w="110" w:type="dxa"/>
            </w:tcMar>
            <w:vAlign w:val="center"/>
          </w:tcPr>
          <w:p w14:paraId="3DBFE5BC">
            <w:pPr>
              <w:pStyle w:val="5"/>
              <w:keepNext w:val="0"/>
              <w:keepLines w:val="0"/>
              <w:widowControl/>
              <w:suppressLineNumbers w:val="0"/>
              <w:kinsoku/>
              <w:wordWrap/>
              <w:overflowPunct/>
              <w:bidi w:val="0"/>
              <w:spacing w:before="0" w:beforeAutospacing="0" w:after="0" w:afterAutospacing="0" w:line="324" w:lineRule="auto"/>
              <w:ind w:left="0"/>
              <w:jc w:val="left"/>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专门借款资本化金额＝资本化期间的（全额借款利息－利息或投资 收益）</w:t>
            </w:r>
          </w:p>
        </w:tc>
      </w:tr>
      <w:tr w14:paraId="549C3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57" w:hRule="atLeast"/>
        </w:trPr>
        <w:tc>
          <w:tcPr>
            <w:tcW w:w="754" w:type="pct"/>
            <w:vMerge w:val="continue"/>
            <w:shd w:val="clear" w:color="auto" w:fill="auto"/>
            <w:tcMar>
              <w:top w:w="71" w:type="dxa"/>
              <w:left w:w="110" w:type="dxa"/>
              <w:bottom w:w="71" w:type="dxa"/>
              <w:right w:w="110" w:type="dxa"/>
            </w:tcMar>
            <w:vAlign w:val="center"/>
          </w:tcPr>
          <w:p w14:paraId="4E5C3D86">
            <w:pPr>
              <w:rPr>
                <w:rFonts w:hint="eastAsia" w:ascii="宋体" w:hAnsi="宋体" w:eastAsia="宋体" w:cs="宋体"/>
                <w:color w:val="auto"/>
                <w:kern w:val="2"/>
                <w:sz w:val="21"/>
                <w:szCs w:val="21"/>
              </w:rPr>
            </w:pPr>
          </w:p>
        </w:tc>
        <w:tc>
          <w:tcPr>
            <w:tcW w:w="4245" w:type="pct"/>
            <w:shd w:val="clear" w:color="auto" w:fill="auto"/>
            <w:tcMar>
              <w:top w:w="71" w:type="dxa"/>
              <w:left w:w="110" w:type="dxa"/>
              <w:bottom w:w="71" w:type="dxa"/>
              <w:right w:w="110" w:type="dxa"/>
            </w:tcMar>
            <w:vAlign w:val="center"/>
          </w:tcPr>
          <w:p w14:paraId="1C0F376E">
            <w:pPr>
              <w:pStyle w:val="5"/>
              <w:keepNext w:val="0"/>
              <w:keepLines w:val="0"/>
              <w:widowControl/>
              <w:suppressLineNumbers w:val="0"/>
              <w:kinsoku/>
              <w:wordWrap/>
              <w:overflowPunct/>
              <w:bidi w:val="0"/>
              <w:spacing w:before="0" w:beforeAutospacing="0" w:after="0" w:afterAutospacing="0" w:line="324" w:lineRule="auto"/>
              <w:ind w:left="0"/>
              <w:jc w:val="left"/>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一般借款利息费用资本化金额＝加权平均数（本金）×资本化率（利率）</w:t>
            </w:r>
          </w:p>
        </w:tc>
      </w:tr>
      <w:tr w14:paraId="7EEEA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trPr>
        <w:tc>
          <w:tcPr>
            <w:tcW w:w="754" w:type="pct"/>
            <w:vMerge w:val="continue"/>
            <w:shd w:val="clear" w:color="auto" w:fill="auto"/>
            <w:tcMar>
              <w:top w:w="71" w:type="dxa"/>
              <w:left w:w="110" w:type="dxa"/>
              <w:bottom w:w="71" w:type="dxa"/>
              <w:right w:w="110" w:type="dxa"/>
            </w:tcMar>
            <w:vAlign w:val="center"/>
          </w:tcPr>
          <w:p w14:paraId="08086FE3">
            <w:pPr>
              <w:rPr>
                <w:rFonts w:hint="default" w:ascii="宋体" w:hAnsi="宋体" w:eastAsia="宋体" w:cs="宋体"/>
                <w:color w:val="auto"/>
                <w:kern w:val="2"/>
                <w:sz w:val="21"/>
                <w:szCs w:val="21"/>
              </w:rPr>
            </w:pPr>
          </w:p>
        </w:tc>
        <w:tc>
          <w:tcPr>
            <w:tcW w:w="4245" w:type="pct"/>
            <w:shd w:val="clear" w:color="auto" w:fill="auto"/>
            <w:tcMar>
              <w:top w:w="71" w:type="dxa"/>
              <w:left w:w="110" w:type="dxa"/>
              <w:bottom w:w="71" w:type="dxa"/>
              <w:right w:w="110" w:type="dxa"/>
            </w:tcMar>
            <w:vAlign w:val="center"/>
          </w:tcPr>
          <w:p w14:paraId="0FAB70AC">
            <w:pPr>
              <w:pStyle w:val="5"/>
              <w:keepNext w:val="0"/>
              <w:keepLines w:val="0"/>
              <w:widowControl/>
              <w:suppressLineNumbers w:val="0"/>
              <w:kinsoku/>
              <w:wordWrap/>
              <w:overflowPunct/>
              <w:bidi w:val="0"/>
              <w:spacing w:before="0" w:beforeAutospacing="0" w:after="0" w:afterAutospacing="0" w:line="324" w:lineRule="auto"/>
              <w:ind w:left="0"/>
              <w:jc w:val="left"/>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本金加权平均数＝每笔资产支出金额×每笔资产支出在当期所占用的天数/当期天数</w:t>
            </w:r>
          </w:p>
        </w:tc>
      </w:tr>
      <w:tr w14:paraId="1E54C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01" w:hRule="atLeast"/>
        </w:trPr>
        <w:tc>
          <w:tcPr>
            <w:tcW w:w="754" w:type="pct"/>
            <w:vMerge w:val="continue"/>
            <w:shd w:val="clear" w:color="auto" w:fill="auto"/>
            <w:tcMar>
              <w:top w:w="71" w:type="dxa"/>
              <w:left w:w="110" w:type="dxa"/>
              <w:bottom w:w="71" w:type="dxa"/>
              <w:right w:w="110" w:type="dxa"/>
            </w:tcMar>
            <w:vAlign w:val="center"/>
          </w:tcPr>
          <w:p w14:paraId="2EC7403E">
            <w:pPr>
              <w:rPr>
                <w:rFonts w:hint="default" w:ascii="宋体" w:hAnsi="宋体" w:eastAsia="宋体" w:cs="宋体"/>
                <w:color w:val="auto"/>
                <w:kern w:val="2"/>
                <w:sz w:val="21"/>
                <w:szCs w:val="21"/>
              </w:rPr>
            </w:pPr>
          </w:p>
        </w:tc>
        <w:tc>
          <w:tcPr>
            <w:tcW w:w="4245" w:type="pct"/>
            <w:shd w:val="clear" w:color="auto" w:fill="auto"/>
            <w:tcMar>
              <w:top w:w="71" w:type="dxa"/>
              <w:left w:w="110" w:type="dxa"/>
              <w:bottom w:w="71" w:type="dxa"/>
              <w:right w:w="110" w:type="dxa"/>
            </w:tcMar>
            <w:vAlign w:val="center"/>
          </w:tcPr>
          <w:p w14:paraId="70134116">
            <w:pPr>
              <w:pStyle w:val="5"/>
              <w:keepNext w:val="0"/>
              <w:keepLines w:val="0"/>
              <w:widowControl/>
              <w:suppressLineNumbers w:val="0"/>
              <w:kinsoku/>
              <w:wordWrap/>
              <w:overflowPunct/>
              <w:bidi w:val="0"/>
              <w:spacing w:before="0" w:beforeAutospacing="0" w:after="0" w:afterAutospacing="0" w:line="324" w:lineRule="auto"/>
              <w:ind w:left="0"/>
              <w:jc w:val="left"/>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资本化率＝当期实际发生的利息之和÷所占用一般借款本金加权平均数</w:t>
            </w:r>
          </w:p>
          <w:p w14:paraId="787BB5A3">
            <w:pPr>
              <w:pStyle w:val="5"/>
              <w:keepNext w:val="0"/>
              <w:keepLines w:val="0"/>
              <w:widowControl/>
              <w:suppressLineNumbers w:val="0"/>
              <w:kinsoku/>
              <w:wordWrap/>
              <w:overflowPunct/>
              <w:bidi w:val="0"/>
              <w:spacing w:before="0" w:beforeAutospacing="0" w:after="0" w:afterAutospacing="0" w:line="324" w:lineRule="auto"/>
              <w:ind w:left="0"/>
              <w:jc w:val="left"/>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注意：分母＝分子去掉利率</w:t>
            </w:r>
          </w:p>
        </w:tc>
      </w:tr>
      <w:tr w14:paraId="5F1B4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trPr>
        <w:tc>
          <w:tcPr>
            <w:tcW w:w="754" w:type="pct"/>
            <w:vMerge w:val="continue"/>
            <w:shd w:val="clear" w:color="auto" w:fill="auto"/>
            <w:tcMar>
              <w:top w:w="71" w:type="dxa"/>
              <w:left w:w="110" w:type="dxa"/>
              <w:bottom w:w="71" w:type="dxa"/>
              <w:right w:w="110" w:type="dxa"/>
            </w:tcMar>
            <w:vAlign w:val="center"/>
          </w:tcPr>
          <w:p w14:paraId="06E7422C">
            <w:pPr>
              <w:rPr>
                <w:rFonts w:hint="default" w:ascii="宋体" w:hAnsi="宋体" w:eastAsia="宋体" w:cs="宋体"/>
                <w:color w:val="auto"/>
                <w:kern w:val="2"/>
                <w:sz w:val="21"/>
                <w:szCs w:val="21"/>
              </w:rPr>
            </w:pPr>
          </w:p>
        </w:tc>
        <w:tc>
          <w:tcPr>
            <w:tcW w:w="4245" w:type="pct"/>
            <w:shd w:val="clear" w:color="auto" w:fill="auto"/>
            <w:tcMar>
              <w:top w:w="71" w:type="dxa"/>
              <w:left w:w="110" w:type="dxa"/>
              <w:bottom w:w="71" w:type="dxa"/>
              <w:right w:w="110" w:type="dxa"/>
            </w:tcMar>
            <w:vAlign w:val="center"/>
          </w:tcPr>
          <w:p w14:paraId="48390B9B">
            <w:pPr>
              <w:pStyle w:val="5"/>
              <w:keepNext w:val="0"/>
              <w:keepLines w:val="0"/>
              <w:widowControl/>
              <w:suppressLineNumbers w:val="0"/>
              <w:kinsoku/>
              <w:wordWrap/>
              <w:overflowPunct/>
              <w:bidi w:val="0"/>
              <w:spacing w:before="0" w:beforeAutospacing="0" w:after="0" w:afterAutospacing="0" w:line="324" w:lineRule="auto"/>
              <w:ind w:left="0"/>
              <w:jc w:val="left"/>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每一会计期间的利息资本化金额，不应当超过当期相关借款实际发生的利息金额。</w:t>
            </w:r>
          </w:p>
        </w:tc>
      </w:tr>
    </w:tbl>
    <w:p w14:paraId="5BC4598D">
      <w:pPr>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left="0" w:firstLine="0"/>
        <w:textAlignment w:val="auto"/>
        <w:outlineLvl w:val="9"/>
        <w:rPr>
          <w:rFonts w:hint="eastAsia" w:ascii="宋体" w:hAnsi="宋体" w:eastAsia="宋体" w:cs="宋体"/>
          <w:b/>
          <w:color w:val="auto"/>
          <w:sz w:val="21"/>
          <w:szCs w:val="21"/>
        </w:rPr>
      </w:pPr>
    </w:p>
    <w:tbl>
      <w:tblPr>
        <w:tblStyle w:val="6"/>
        <w:tblW w:w="499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1672"/>
        <w:gridCol w:w="8450"/>
      </w:tblGrid>
      <w:tr w14:paraId="2E39A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286" w:hRule="atLeast"/>
        </w:trPr>
        <w:tc>
          <w:tcPr>
            <w:tcW w:w="826" w:type="pct"/>
            <w:shd w:val="clear" w:color="auto" w:fill="auto"/>
            <w:tcMar>
              <w:top w:w="71" w:type="dxa"/>
              <w:left w:w="110" w:type="dxa"/>
              <w:bottom w:w="71" w:type="dxa"/>
              <w:right w:w="110" w:type="dxa"/>
            </w:tcMar>
            <w:vAlign w:val="center"/>
          </w:tcPr>
          <w:p w14:paraId="7D956290">
            <w:pPr>
              <w:pStyle w:val="5"/>
              <w:keepNext w:val="0"/>
              <w:keepLines w:val="0"/>
              <w:widowControl/>
              <w:suppressLineNumbers w:val="0"/>
              <w:kinsoku/>
              <w:wordWrap/>
              <w:overflowPunct/>
              <w:bidi w:val="0"/>
              <w:spacing w:before="0" w:beforeAutospacing="0" w:after="0" w:afterAutospacing="0" w:line="324" w:lineRule="auto"/>
              <w:ind w:left="0"/>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辅助费用</w:t>
            </w:r>
          </w:p>
        </w:tc>
        <w:tc>
          <w:tcPr>
            <w:tcW w:w="4173" w:type="pct"/>
            <w:shd w:val="clear" w:color="auto" w:fill="auto"/>
            <w:tcMar>
              <w:top w:w="71" w:type="dxa"/>
              <w:left w:w="110" w:type="dxa"/>
              <w:bottom w:w="71" w:type="dxa"/>
              <w:right w:w="110" w:type="dxa"/>
            </w:tcMar>
            <w:vAlign w:val="center"/>
          </w:tcPr>
          <w:p w14:paraId="70E0F18C">
            <w:pPr>
              <w:pStyle w:val="5"/>
              <w:keepNext w:val="0"/>
              <w:keepLines w:val="0"/>
              <w:widowControl/>
              <w:suppressLineNumbers w:val="0"/>
              <w:kinsoku/>
              <w:wordWrap/>
              <w:overflowPunct/>
              <w:bidi w:val="0"/>
              <w:spacing w:before="0" w:beforeAutospacing="0" w:after="0" w:afterAutospacing="0" w:line="324" w:lineRule="auto"/>
              <w:ind w:left="0"/>
              <w:jc w:val="left"/>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包括借款手续费（如发行债券手续费）、佣金等。</w:t>
            </w:r>
          </w:p>
        </w:tc>
      </w:tr>
      <w:tr w14:paraId="032BD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9" w:hRule="atLeast"/>
        </w:trPr>
        <w:tc>
          <w:tcPr>
            <w:tcW w:w="826" w:type="pct"/>
            <w:vMerge w:val="restart"/>
            <w:shd w:val="clear" w:color="auto" w:fill="auto"/>
            <w:tcMar>
              <w:top w:w="71" w:type="dxa"/>
              <w:left w:w="110" w:type="dxa"/>
              <w:bottom w:w="71" w:type="dxa"/>
              <w:right w:w="110" w:type="dxa"/>
            </w:tcMar>
            <w:vAlign w:val="center"/>
          </w:tcPr>
          <w:p w14:paraId="6ADA5696">
            <w:pPr>
              <w:pStyle w:val="5"/>
              <w:keepNext w:val="0"/>
              <w:keepLines w:val="0"/>
              <w:widowControl/>
              <w:suppressLineNumbers w:val="0"/>
              <w:kinsoku/>
              <w:wordWrap/>
              <w:overflowPunct/>
              <w:bidi w:val="0"/>
              <w:spacing w:before="0" w:beforeAutospacing="0" w:after="0" w:afterAutospacing="0" w:line="324" w:lineRule="auto"/>
              <w:ind w:left="0"/>
              <w:jc w:val="center"/>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外币专门借款</w:t>
            </w:r>
          </w:p>
        </w:tc>
        <w:tc>
          <w:tcPr>
            <w:tcW w:w="4173" w:type="pct"/>
            <w:shd w:val="clear" w:color="auto" w:fill="auto"/>
            <w:tcMar>
              <w:top w:w="71" w:type="dxa"/>
              <w:left w:w="110" w:type="dxa"/>
              <w:bottom w:w="71" w:type="dxa"/>
              <w:right w:w="110" w:type="dxa"/>
            </w:tcMar>
            <w:vAlign w:val="center"/>
          </w:tcPr>
          <w:p w14:paraId="4B15A061">
            <w:pPr>
              <w:pStyle w:val="5"/>
              <w:keepNext w:val="0"/>
              <w:keepLines w:val="0"/>
              <w:widowControl/>
              <w:suppressLineNumbers w:val="0"/>
              <w:kinsoku/>
              <w:wordWrap/>
              <w:overflowPunct/>
              <w:bidi w:val="0"/>
              <w:spacing w:before="0" w:beforeAutospacing="0" w:after="0" w:afterAutospacing="0" w:line="324" w:lineRule="auto"/>
              <w:ind w:left="0"/>
              <w:jc w:val="left"/>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 xml:space="preserve">在资本化期间内，外币专门借款本金及其利息的汇兑差额应当予以资本化，计入符合资本化条件的资产的成本； </w:t>
            </w:r>
          </w:p>
        </w:tc>
      </w:tr>
      <w:tr w14:paraId="03AEB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trPr>
        <w:tc>
          <w:tcPr>
            <w:tcW w:w="826" w:type="pct"/>
            <w:vMerge w:val="continue"/>
            <w:shd w:val="clear" w:color="auto" w:fill="auto"/>
            <w:tcMar>
              <w:top w:w="71" w:type="dxa"/>
              <w:left w:w="110" w:type="dxa"/>
              <w:bottom w:w="71" w:type="dxa"/>
              <w:right w:w="110" w:type="dxa"/>
            </w:tcMar>
            <w:vAlign w:val="center"/>
          </w:tcPr>
          <w:p w14:paraId="529A17E7">
            <w:pPr>
              <w:rPr>
                <w:rFonts w:hint="eastAsia" w:ascii="宋体" w:hAnsi="宋体" w:eastAsia="宋体" w:cs="宋体"/>
                <w:color w:val="auto"/>
                <w:kern w:val="2"/>
                <w:sz w:val="21"/>
                <w:szCs w:val="21"/>
              </w:rPr>
            </w:pPr>
          </w:p>
        </w:tc>
        <w:tc>
          <w:tcPr>
            <w:tcW w:w="4173" w:type="pct"/>
            <w:shd w:val="clear" w:color="auto" w:fill="auto"/>
            <w:tcMar>
              <w:top w:w="71" w:type="dxa"/>
              <w:left w:w="110" w:type="dxa"/>
              <w:bottom w:w="71" w:type="dxa"/>
              <w:right w:w="110" w:type="dxa"/>
            </w:tcMar>
            <w:vAlign w:val="center"/>
          </w:tcPr>
          <w:p w14:paraId="5DE634AA">
            <w:pPr>
              <w:pStyle w:val="5"/>
              <w:keepNext w:val="0"/>
              <w:keepLines w:val="0"/>
              <w:widowControl/>
              <w:suppressLineNumbers w:val="0"/>
              <w:kinsoku/>
              <w:wordWrap/>
              <w:overflowPunct/>
              <w:bidi w:val="0"/>
              <w:spacing w:before="0" w:beforeAutospacing="0" w:after="0" w:afterAutospacing="0" w:line="324" w:lineRule="auto"/>
              <w:ind w:left="0"/>
              <w:jc w:val="left"/>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除外币专门借款之外的其他外币借款本金及其利息所产生的汇兑差额，应当作为</w:t>
            </w:r>
            <w:r>
              <w:rPr>
                <w:rFonts w:hint="default" w:ascii="宋体" w:hAnsi="宋体" w:eastAsia="宋体" w:cs="宋体"/>
                <w:color w:val="FF0000"/>
                <w:kern w:val="2"/>
                <w:sz w:val="21"/>
                <w:szCs w:val="21"/>
              </w:rPr>
              <w:t>财务费用</w:t>
            </w:r>
            <w:r>
              <w:rPr>
                <w:rFonts w:hint="default" w:ascii="宋体" w:hAnsi="宋体" w:eastAsia="宋体" w:cs="宋体"/>
                <w:color w:val="auto"/>
                <w:kern w:val="2"/>
                <w:sz w:val="21"/>
                <w:szCs w:val="21"/>
              </w:rPr>
              <w:t>计入当期损益。</w:t>
            </w:r>
          </w:p>
        </w:tc>
      </w:tr>
    </w:tbl>
    <w:p w14:paraId="1F4D5E90">
      <w:pPr>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left="0" w:firstLine="0"/>
        <w:textAlignment w:val="auto"/>
        <w:outlineLvl w:val="9"/>
        <w:rPr>
          <w:rFonts w:hint="eastAsia" w:ascii="宋体" w:hAnsi="宋体" w:eastAsia="宋体" w:cs="宋体"/>
          <w:b/>
          <w:color w:val="auto"/>
          <w:sz w:val="21"/>
          <w:szCs w:val="21"/>
        </w:rPr>
      </w:pPr>
    </w:p>
    <w:p w14:paraId="42FF7834">
      <w:pPr>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left="0" w:firstLine="0"/>
        <w:textAlignment w:val="auto"/>
        <w:outlineLvl w:val="9"/>
        <w:rPr>
          <w:rFonts w:hint="default" w:ascii="宋体" w:hAnsi="宋体" w:eastAsia="宋体" w:cs="宋体"/>
          <w:b/>
          <w:color w:val="auto"/>
          <w:sz w:val="21"/>
          <w:szCs w:val="21"/>
          <w:lang w:val="en-US" w:eastAsia="zh-CN"/>
        </w:rPr>
      </w:pPr>
      <w:r>
        <w:rPr>
          <w:rFonts w:hint="eastAsia" w:ascii="宋体" w:hAnsi="宋体" w:eastAsia="宋体" w:cs="宋体"/>
          <w:b/>
          <w:color w:val="auto"/>
          <w:sz w:val="21"/>
          <w:szCs w:val="21"/>
        </w:rPr>
        <w:t>第十二章  或有事项</w:t>
      </w:r>
      <w:r>
        <w:rPr>
          <w:rFonts w:hint="eastAsia" w:ascii="宋体" w:hAnsi="宋体" w:cs="宋体"/>
          <w:b/>
          <w:color w:val="auto"/>
          <w:sz w:val="21"/>
          <w:szCs w:val="21"/>
          <w:lang w:val="en-US" w:eastAsia="zh-CN"/>
        </w:rPr>
        <w:t xml:space="preserve">    </w:t>
      </w:r>
    </w:p>
    <w:p w14:paraId="1DCAAF4B">
      <w:pPr>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left="0" w:firstLine="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预计今年考核客观题，分值为</w:t>
      </w:r>
      <w:r>
        <w:rPr>
          <w:rFonts w:hint="eastAsia" w:ascii="宋体" w:hAnsi="宋体" w:eastAsia="宋体" w:cs="宋体"/>
          <w:color w:val="auto"/>
          <w:sz w:val="21"/>
          <w:szCs w:val="21"/>
          <w:lang w:val="en-US" w:eastAsia="zh-CN"/>
        </w:rPr>
        <w:t>2-4</w:t>
      </w:r>
      <w:r>
        <w:rPr>
          <w:rFonts w:hint="eastAsia" w:ascii="宋体" w:hAnsi="宋体" w:eastAsia="宋体" w:cs="宋体"/>
          <w:color w:val="auto"/>
          <w:sz w:val="21"/>
          <w:szCs w:val="21"/>
        </w:rPr>
        <w:t>分。</w:t>
      </w:r>
    </w:p>
    <w:p w14:paraId="49B9849D">
      <w:pPr>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left="0" w:firstLine="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考点</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或有事项的特征</w:t>
      </w:r>
    </w:p>
    <w:tbl>
      <w:tblPr>
        <w:tblStyle w:val="6"/>
        <w:tblW w:w="49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1987"/>
        <w:gridCol w:w="8119"/>
      </w:tblGrid>
      <w:tr w14:paraId="73FB3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73" w:hRule="atLeast"/>
        </w:trPr>
        <w:tc>
          <w:tcPr>
            <w:tcW w:w="983" w:type="pct"/>
            <w:shd w:val="clear" w:color="auto" w:fill="auto"/>
            <w:tcMar>
              <w:top w:w="71" w:type="dxa"/>
              <w:left w:w="105" w:type="dxa"/>
              <w:bottom w:w="71" w:type="dxa"/>
              <w:right w:w="105" w:type="dxa"/>
            </w:tcMar>
            <w:vAlign w:val="center"/>
          </w:tcPr>
          <w:p w14:paraId="0EF82E63">
            <w:pPr>
              <w:pStyle w:val="5"/>
              <w:keepNext w:val="0"/>
              <w:keepLines w:val="0"/>
              <w:widowControl/>
              <w:suppressLineNumbers w:val="0"/>
              <w:kinsoku/>
              <w:wordWrap/>
              <w:overflowPunct/>
              <w:bidi w:val="0"/>
              <w:spacing w:before="0" w:beforeAutospacing="0" w:after="0" w:afterAutospacing="0" w:line="312" w:lineRule="auto"/>
              <w:ind w:left="0" w:right="58"/>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常见的或有事项</w:t>
            </w:r>
          </w:p>
        </w:tc>
        <w:tc>
          <w:tcPr>
            <w:tcW w:w="4016" w:type="pct"/>
            <w:shd w:val="clear" w:color="auto" w:fill="auto"/>
            <w:tcMar>
              <w:top w:w="71" w:type="dxa"/>
              <w:left w:w="105" w:type="dxa"/>
              <w:bottom w:w="71" w:type="dxa"/>
              <w:right w:w="105" w:type="dxa"/>
            </w:tcMar>
            <w:vAlign w:val="center"/>
          </w:tcPr>
          <w:p w14:paraId="26B9FBF5">
            <w:pPr>
              <w:pStyle w:val="5"/>
              <w:keepNext w:val="0"/>
              <w:keepLines w:val="0"/>
              <w:widowControl/>
              <w:suppressLineNumbers w:val="0"/>
              <w:kinsoku/>
              <w:wordWrap/>
              <w:overflowPunct/>
              <w:bidi w:val="0"/>
              <w:spacing w:before="0" w:beforeAutospacing="0" w:after="0" w:afterAutospacing="0" w:line="312" w:lineRule="auto"/>
              <w:ind w:left="0" w:right="58"/>
              <w:jc w:val="left"/>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（1）未决诉讼或未决仲裁、（2）债务担保、（3）产品质量保证（含产品安全保证）、（4）亏损合同、（5）重组义务、（6）承诺、（7）环境污染整治等。</w:t>
            </w:r>
          </w:p>
        </w:tc>
      </w:tr>
      <w:tr w14:paraId="335E3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trPr>
        <w:tc>
          <w:tcPr>
            <w:tcW w:w="5000" w:type="pct"/>
            <w:gridSpan w:val="2"/>
            <w:shd w:val="clear" w:color="auto" w:fill="auto"/>
            <w:tcMar>
              <w:top w:w="71" w:type="dxa"/>
              <w:left w:w="105" w:type="dxa"/>
              <w:bottom w:w="71" w:type="dxa"/>
              <w:right w:w="105" w:type="dxa"/>
            </w:tcMar>
            <w:vAlign w:val="center"/>
          </w:tcPr>
          <w:p w14:paraId="76E17686">
            <w:pPr>
              <w:pStyle w:val="5"/>
              <w:keepNext w:val="0"/>
              <w:keepLines w:val="0"/>
              <w:widowControl/>
              <w:suppressLineNumbers w:val="0"/>
              <w:kinsoku/>
              <w:wordWrap/>
              <w:overflowPunct/>
              <w:bidi w:val="0"/>
              <w:spacing w:before="0" w:beforeAutospacing="0" w:after="0" w:afterAutospacing="0" w:line="312" w:lineRule="auto"/>
              <w:ind w:left="0" w:right="58"/>
              <w:jc w:val="left"/>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或有负债和或有资产与或有事项密切相关</w:t>
            </w:r>
          </w:p>
        </w:tc>
      </w:tr>
      <w:tr w14:paraId="7DA4E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2" w:hRule="atLeast"/>
        </w:trPr>
        <w:tc>
          <w:tcPr>
            <w:tcW w:w="983" w:type="pct"/>
            <w:shd w:val="clear" w:color="auto" w:fill="auto"/>
            <w:tcMar>
              <w:top w:w="71" w:type="dxa"/>
              <w:left w:w="105" w:type="dxa"/>
              <w:bottom w:w="71" w:type="dxa"/>
              <w:right w:w="105" w:type="dxa"/>
            </w:tcMar>
            <w:vAlign w:val="center"/>
          </w:tcPr>
          <w:p w14:paraId="168BB218">
            <w:pPr>
              <w:pStyle w:val="5"/>
              <w:keepNext w:val="0"/>
              <w:keepLines w:val="0"/>
              <w:widowControl/>
              <w:suppressLineNumbers w:val="0"/>
              <w:kinsoku/>
              <w:wordWrap/>
              <w:overflowPunct/>
              <w:bidi w:val="0"/>
              <w:spacing w:before="0" w:beforeAutospacing="0" w:after="0" w:afterAutospacing="0" w:line="312" w:lineRule="auto"/>
              <w:ind w:left="0" w:right="58"/>
              <w:jc w:val="left"/>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或有负债</w:t>
            </w:r>
          </w:p>
        </w:tc>
        <w:tc>
          <w:tcPr>
            <w:tcW w:w="4016" w:type="pct"/>
            <w:shd w:val="clear" w:color="auto" w:fill="auto"/>
            <w:tcMar>
              <w:top w:w="71" w:type="dxa"/>
              <w:left w:w="105" w:type="dxa"/>
              <w:bottom w:w="71" w:type="dxa"/>
              <w:right w:w="105" w:type="dxa"/>
            </w:tcMar>
            <w:vAlign w:val="center"/>
          </w:tcPr>
          <w:p w14:paraId="0111D15A">
            <w:pPr>
              <w:pStyle w:val="5"/>
              <w:keepNext w:val="0"/>
              <w:keepLines w:val="0"/>
              <w:widowControl/>
              <w:suppressLineNumbers w:val="0"/>
              <w:kinsoku/>
              <w:wordWrap/>
              <w:overflowPunct/>
              <w:bidi w:val="0"/>
              <w:spacing w:before="0" w:beforeAutospacing="0" w:after="0" w:afterAutospacing="0" w:line="312" w:lineRule="auto"/>
              <w:ind w:left="0" w:right="58"/>
              <w:jc w:val="left"/>
              <w:rPr>
                <w:rFonts w:hint="eastAsia" w:ascii="宋体" w:hAnsi="宋体" w:eastAsia="宋体" w:cs="宋体"/>
                <w:color w:val="auto"/>
                <w:kern w:val="2"/>
                <w:sz w:val="21"/>
                <w:szCs w:val="21"/>
              </w:rPr>
            </w:pPr>
            <w:r>
              <w:rPr>
                <w:rFonts w:hint="default" w:ascii="宋体" w:hAnsi="宋体" w:eastAsia="宋体" w:cs="宋体"/>
                <w:color w:val="FF0000"/>
                <w:kern w:val="2"/>
                <w:sz w:val="21"/>
                <w:szCs w:val="21"/>
              </w:rPr>
              <w:t>不能确认为负债，</w:t>
            </w:r>
            <w:r>
              <w:rPr>
                <w:rFonts w:hint="default" w:ascii="宋体" w:hAnsi="宋体" w:eastAsia="宋体" w:cs="宋体"/>
                <w:color w:val="auto"/>
                <w:kern w:val="2"/>
                <w:sz w:val="21"/>
                <w:szCs w:val="21"/>
              </w:rPr>
              <w:t>满足条件可以转化为负债</w:t>
            </w:r>
          </w:p>
        </w:tc>
      </w:tr>
      <w:tr w14:paraId="190CA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6" w:hRule="atLeast"/>
        </w:trPr>
        <w:tc>
          <w:tcPr>
            <w:tcW w:w="983" w:type="pct"/>
            <w:shd w:val="clear" w:color="auto" w:fill="auto"/>
            <w:tcMar>
              <w:top w:w="71" w:type="dxa"/>
              <w:left w:w="105" w:type="dxa"/>
              <w:bottom w:w="71" w:type="dxa"/>
              <w:right w:w="105" w:type="dxa"/>
            </w:tcMar>
            <w:vAlign w:val="center"/>
          </w:tcPr>
          <w:p w14:paraId="6F491BD1">
            <w:pPr>
              <w:pStyle w:val="5"/>
              <w:keepNext w:val="0"/>
              <w:keepLines w:val="0"/>
              <w:widowControl/>
              <w:suppressLineNumbers w:val="0"/>
              <w:kinsoku/>
              <w:wordWrap/>
              <w:overflowPunct/>
              <w:bidi w:val="0"/>
              <w:spacing w:before="0" w:beforeAutospacing="0" w:after="0" w:afterAutospacing="0" w:line="312" w:lineRule="auto"/>
              <w:ind w:left="0" w:right="58"/>
              <w:jc w:val="left"/>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或有资产</w:t>
            </w:r>
          </w:p>
        </w:tc>
        <w:tc>
          <w:tcPr>
            <w:tcW w:w="4016" w:type="pct"/>
            <w:shd w:val="clear" w:color="auto" w:fill="auto"/>
            <w:tcMar>
              <w:top w:w="71" w:type="dxa"/>
              <w:left w:w="105" w:type="dxa"/>
              <w:bottom w:w="71" w:type="dxa"/>
              <w:right w:w="105" w:type="dxa"/>
            </w:tcMar>
            <w:vAlign w:val="center"/>
          </w:tcPr>
          <w:p w14:paraId="2ABB7DBD">
            <w:pPr>
              <w:pStyle w:val="5"/>
              <w:keepNext w:val="0"/>
              <w:keepLines w:val="0"/>
              <w:widowControl/>
              <w:suppressLineNumbers w:val="0"/>
              <w:kinsoku/>
              <w:wordWrap/>
              <w:overflowPunct/>
              <w:bidi w:val="0"/>
              <w:spacing w:before="0" w:beforeAutospacing="0" w:after="0" w:afterAutospacing="0" w:line="312" w:lineRule="auto"/>
              <w:ind w:left="0" w:right="58"/>
              <w:jc w:val="left"/>
              <w:rPr>
                <w:rFonts w:hint="eastAsia" w:ascii="宋体" w:hAnsi="宋体" w:eastAsia="宋体" w:cs="宋体"/>
                <w:color w:val="auto"/>
                <w:kern w:val="2"/>
                <w:sz w:val="21"/>
                <w:szCs w:val="21"/>
              </w:rPr>
            </w:pPr>
            <w:r>
              <w:rPr>
                <w:rFonts w:hint="default" w:ascii="宋体" w:hAnsi="宋体" w:eastAsia="宋体" w:cs="宋体"/>
                <w:color w:val="FF0000"/>
                <w:kern w:val="2"/>
                <w:sz w:val="21"/>
                <w:szCs w:val="21"/>
              </w:rPr>
              <w:t>不能确认为资产，</w:t>
            </w:r>
            <w:r>
              <w:rPr>
                <w:rFonts w:hint="default" w:ascii="宋体" w:hAnsi="宋体" w:eastAsia="宋体" w:cs="宋体"/>
                <w:color w:val="auto"/>
                <w:kern w:val="2"/>
                <w:sz w:val="21"/>
                <w:szCs w:val="21"/>
              </w:rPr>
              <w:t>满足条件可以转化为资产</w:t>
            </w:r>
          </w:p>
        </w:tc>
      </w:tr>
    </w:tbl>
    <w:p w14:paraId="5CB788CA">
      <w:pPr>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left="0" w:firstLine="0"/>
        <w:textAlignment w:val="auto"/>
        <w:outlineLvl w:val="9"/>
        <w:rPr>
          <w:rFonts w:hint="eastAsia" w:ascii="宋体" w:hAnsi="宋体" w:eastAsia="宋体" w:cs="宋体"/>
          <w:color w:val="auto"/>
          <w:sz w:val="21"/>
          <w:szCs w:val="21"/>
        </w:rPr>
      </w:pPr>
    </w:p>
    <w:p w14:paraId="35A65801">
      <w:pPr>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left="0" w:firstLine="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考点</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或有事项的确认和计量</w:t>
      </w:r>
    </w:p>
    <w:tbl>
      <w:tblPr>
        <w:tblStyle w:val="6"/>
        <w:tblW w:w="500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3297"/>
        <w:gridCol w:w="6847"/>
      </w:tblGrid>
      <w:tr w14:paraId="76BCD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8" w:hRule="atLeast"/>
        </w:trPr>
        <w:tc>
          <w:tcPr>
            <w:tcW w:w="1625" w:type="pct"/>
            <w:vMerge w:val="restart"/>
            <w:shd w:val="clear" w:color="auto" w:fill="auto"/>
            <w:tcMar>
              <w:top w:w="71" w:type="dxa"/>
              <w:left w:w="105" w:type="dxa"/>
              <w:bottom w:w="71" w:type="dxa"/>
              <w:right w:w="105" w:type="dxa"/>
            </w:tcMar>
            <w:vAlign w:val="center"/>
          </w:tcPr>
          <w:p w14:paraId="02434CD7">
            <w:pPr>
              <w:pStyle w:val="5"/>
              <w:keepNext w:val="0"/>
              <w:keepLines w:val="0"/>
              <w:widowControl/>
              <w:suppressLineNumbers w:val="0"/>
              <w:kinsoku/>
              <w:wordWrap/>
              <w:overflowPunct/>
              <w:bidi w:val="0"/>
              <w:spacing w:before="0" w:beforeAutospacing="0" w:after="0" w:afterAutospacing="0" w:line="288" w:lineRule="auto"/>
              <w:ind w:left="0" w:right="58"/>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与或有事项相关的义务</w:t>
            </w:r>
            <w:r>
              <w:rPr>
                <w:rFonts w:hint="default" w:ascii="宋体" w:hAnsi="宋体" w:eastAsia="宋体" w:cs="宋体"/>
                <w:color w:val="FF0000"/>
                <w:kern w:val="2"/>
                <w:sz w:val="21"/>
                <w:szCs w:val="21"/>
              </w:rPr>
              <w:t>同时满足</w:t>
            </w:r>
            <w:r>
              <w:rPr>
                <w:rFonts w:hint="default" w:ascii="宋体" w:hAnsi="宋体" w:eastAsia="宋体" w:cs="宋体"/>
                <w:color w:val="auto"/>
                <w:kern w:val="2"/>
                <w:sz w:val="21"/>
                <w:szCs w:val="21"/>
              </w:rPr>
              <w:t>以下条件的，应当确认为预计负债</w:t>
            </w:r>
          </w:p>
        </w:tc>
        <w:tc>
          <w:tcPr>
            <w:tcW w:w="3374" w:type="pct"/>
            <w:shd w:val="clear" w:color="auto" w:fill="auto"/>
            <w:tcMar>
              <w:top w:w="71" w:type="dxa"/>
              <w:left w:w="105" w:type="dxa"/>
              <w:bottom w:w="71" w:type="dxa"/>
              <w:right w:w="105" w:type="dxa"/>
            </w:tcMar>
            <w:vAlign w:val="center"/>
          </w:tcPr>
          <w:p w14:paraId="5A862930">
            <w:pPr>
              <w:pStyle w:val="5"/>
              <w:keepNext w:val="0"/>
              <w:keepLines w:val="0"/>
              <w:widowControl/>
              <w:suppressLineNumbers w:val="0"/>
              <w:kinsoku/>
              <w:wordWrap/>
              <w:overflowPunct/>
              <w:bidi w:val="0"/>
              <w:spacing w:before="0" w:beforeAutospacing="0" w:after="0" w:afterAutospacing="0" w:line="288" w:lineRule="auto"/>
              <w:ind w:left="0" w:right="58"/>
              <w:jc w:val="left"/>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该义务是企业承担的</w:t>
            </w:r>
            <w:r>
              <w:rPr>
                <w:rFonts w:hint="default" w:ascii="宋体" w:hAnsi="宋体" w:eastAsia="宋体" w:cs="宋体"/>
                <w:color w:val="FF0000"/>
                <w:kern w:val="2"/>
                <w:sz w:val="21"/>
                <w:szCs w:val="21"/>
              </w:rPr>
              <w:t>现时义务</w:t>
            </w:r>
          </w:p>
        </w:tc>
      </w:tr>
      <w:tr w14:paraId="1EB20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 w:hRule="atLeast"/>
        </w:trPr>
        <w:tc>
          <w:tcPr>
            <w:tcW w:w="1625" w:type="pct"/>
            <w:vMerge w:val="continue"/>
            <w:shd w:val="clear" w:color="auto" w:fill="auto"/>
            <w:tcMar>
              <w:top w:w="71" w:type="dxa"/>
              <w:left w:w="105" w:type="dxa"/>
              <w:bottom w:w="71" w:type="dxa"/>
              <w:right w:w="105" w:type="dxa"/>
            </w:tcMar>
            <w:vAlign w:val="center"/>
          </w:tcPr>
          <w:p w14:paraId="759E0C67">
            <w:pPr>
              <w:rPr>
                <w:rFonts w:hint="eastAsia" w:ascii="宋体" w:hAnsi="宋体" w:eastAsia="宋体" w:cs="宋体"/>
                <w:color w:val="auto"/>
                <w:kern w:val="2"/>
                <w:sz w:val="21"/>
                <w:szCs w:val="21"/>
              </w:rPr>
            </w:pPr>
          </w:p>
        </w:tc>
        <w:tc>
          <w:tcPr>
            <w:tcW w:w="3374" w:type="pct"/>
            <w:shd w:val="clear" w:color="auto" w:fill="auto"/>
            <w:tcMar>
              <w:top w:w="71" w:type="dxa"/>
              <w:left w:w="105" w:type="dxa"/>
              <w:bottom w:w="71" w:type="dxa"/>
              <w:right w:w="105" w:type="dxa"/>
            </w:tcMar>
            <w:vAlign w:val="center"/>
          </w:tcPr>
          <w:p w14:paraId="093B1CC4">
            <w:pPr>
              <w:pStyle w:val="5"/>
              <w:keepNext w:val="0"/>
              <w:keepLines w:val="0"/>
              <w:widowControl/>
              <w:suppressLineNumbers w:val="0"/>
              <w:kinsoku/>
              <w:wordWrap/>
              <w:overflowPunct/>
              <w:bidi w:val="0"/>
              <w:spacing w:before="0" w:beforeAutospacing="0" w:after="0" w:afterAutospacing="0" w:line="288" w:lineRule="auto"/>
              <w:ind w:left="0" w:right="58"/>
              <w:jc w:val="left"/>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履行该义务</w:t>
            </w:r>
            <w:r>
              <w:rPr>
                <w:rFonts w:hint="default" w:ascii="宋体" w:hAnsi="宋体" w:eastAsia="宋体" w:cs="宋体"/>
                <w:color w:val="FF0000"/>
                <w:kern w:val="2"/>
                <w:sz w:val="21"/>
                <w:szCs w:val="21"/>
              </w:rPr>
              <w:t>很可能</w:t>
            </w:r>
            <w:r>
              <w:rPr>
                <w:rFonts w:hint="default" w:ascii="宋体" w:hAnsi="宋体" w:eastAsia="宋体" w:cs="宋体"/>
                <w:color w:val="auto"/>
                <w:kern w:val="2"/>
                <w:sz w:val="21"/>
                <w:szCs w:val="21"/>
              </w:rPr>
              <w:t xml:space="preserve">导致经济利益流出企业：可能性超过50％ </w:t>
            </w:r>
          </w:p>
        </w:tc>
      </w:tr>
      <w:tr w14:paraId="19533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8" w:hRule="atLeast"/>
        </w:trPr>
        <w:tc>
          <w:tcPr>
            <w:tcW w:w="1625" w:type="pct"/>
            <w:vMerge w:val="continue"/>
            <w:shd w:val="clear" w:color="auto" w:fill="auto"/>
            <w:tcMar>
              <w:top w:w="71" w:type="dxa"/>
              <w:left w:w="105" w:type="dxa"/>
              <w:bottom w:w="71" w:type="dxa"/>
              <w:right w:w="105" w:type="dxa"/>
            </w:tcMar>
            <w:vAlign w:val="center"/>
          </w:tcPr>
          <w:p w14:paraId="40B54A03">
            <w:pPr>
              <w:rPr>
                <w:rFonts w:hint="default" w:ascii="宋体" w:hAnsi="宋体" w:eastAsia="宋体" w:cs="宋体"/>
                <w:color w:val="auto"/>
                <w:kern w:val="2"/>
                <w:sz w:val="21"/>
                <w:szCs w:val="21"/>
              </w:rPr>
            </w:pPr>
          </w:p>
        </w:tc>
        <w:tc>
          <w:tcPr>
            <w:tcW w:w="3374" w:type="pct"/>
            <w:shd w:val="clear" w:color="auto" w:fill="auto"/>
            <w:tcMar>
              <w:top w:w="71" w:type="dxa"/>
              <w:left w:w="105" w:type="dxa"/>
              <w:bottom w:w="71" w:type="dxa"/>
              <w:right w:w="105" w:type="dxa"/>
            </w:tcMar>
            <w:vAlign w:val="center"/>
          </w:tcPr>
          <w:p w14:paraId="26056E1F">
            <w:pPr>
              <w:pStyle w:val="5"/>
              <w:keepNext w:val="0"/>
              <w:keepLines w:val="0"/>
              <w:widowControl/>
              <w:suppressLineNumbers w:val="0"/>
              <w:kinsoku/>
              <w:wordWrap/>
              <w:overflowPunct/>
              <w:bidi w:val="0"/>
              <w:spacing w:before="0" w:beforeAutospacing="0" w:after="0" w:afterAutospacing="0" w:line="288" w:lineRule="auto"/>
              <w:ind w:left="0" w:right="58"/>
              <w:jc w:val="left"/>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该义务的金额能够</w:t>
            </w:r>
            <w:r>
              <w:rPr>
                <w:rFonts w:hint="default" w:ascii="宋体" w:hAnsi="宋体" w:eastAsia="宋体" w:cs="宋体"/>
                <w:color w:val="FF0000"/>
                <w:kern w:val="2"/>
                <w:sz w:val="21"/>
                <w:szCs w:val="21"/>
              </w:rPr>
              <w:t>可靠地计量</w:t>
            </w:r>
          </w:p>
        </w:tc>
      </w:tr>
      <w:tr w14:paraId="41FB0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6" w:hRule="atLeast"/>
        </w:trPr>
        <w:tc>
          <w:tcPr>
            <w:tcW w:w="1625" w:type="pct"/>
            <w:vMerge w:val="continue"/>
            <w:shd w:val="clear" w:color="auto" w:fill="auto"/>
            <w:tcMar>
              <w:top w:w="71" w:type="dxa"/>
              <w:left w:w="105" w:type="dxa"/>
              <w:bottom w:w="71" w:type="dxa"/>
              <w:right w:w="105" w:type="dxa"/>
            </w:tcMar>
            <w:vAlign w:val="center"/>
          </w:tcPr>
          <w:p w14:paraId="5771556A">
            <w:pPr>
              <w:rPr>
                <w:rFonts w:hint="default" w:ascii="宋体" w:hAnsi="宋体" w:eastAsia="宋体" w:cs="宋体"/>
                <w:color w:val="auto"/>
                <w:kern w:val="2"/>
                <w:sz w:val="21"/>
                <w:szCs w:val="21"/>
              </w:rPr>
            </w:pPr>
          </w:p>
        </w:tc>
        <w:tc>
          <w:tcPr>
            <w:tcW w:w="3374" w:type="pct"/>
            <w:shd w:val="clear" w:color="auto" w:fill="auto"/>
            <w:tcMar>
              <w:top w:w="71" w:type="dxa"/>
              <w:left w:w="105" w:type="dxa"/>
              <w:bottom w:w="71" w:type="dxa"/>
              <w:right w:w="105" w:type="dxa"/>
            </w:tcMar>
            <w:vAlign w:val="center"/>
          </w:tcPr>
          <w:p w14:paraId="32743A9B">
            <w:pPr>
              <w:pStyle w:val="5"/>
              <w:keepNext w:val="0"/>
              <w:keepLines w:val="0"/>
              <w:widowControl/>
              <w:suppressLineNumbers w:val="0"/>
              <w:kinsoku/>
              <w:wordWrap/>
              <w:overflowPunct/>
              <w:bidi w:val="0"/>
              <w:spacing w:before="0" w:beforeAutospacing="0" w:after="0" w:afterAutospacing="0" w:line="288" w:lineRule="auto"/>
              <w:ind w:left="0" w:right="58"/>
              <w:jc w:val="left"/>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【注意】如果上述三个条件中有一个条件没有满足，则是或有负债。</w:t>
            </w:r>
          </w:p>
        </w:tc>
      </w:tr>
      <w:tr w14:paraId="454E4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88" w:hRule="atLeast"/>
        </w:trPr>
        <w:tc>
          <w:tcPr>
            <w:tcW w:w="1625" w:type="pct"/>
            <w:shd w:val="clear" w:color="auto" w:fill="auto"/>
            <w:tcMar>
              <w:top w:w="71" w:type="dxa"/>
              <w:left w:w="105" w:type="dxa"/>
              <w:bottom w:w="71" w:type="dxa"/>
              <w:right w:w="105" w:type="dxa"/>
            </w:tcMar>
            <w:vAlign w:val="center"/>
          </w:tcPr>
          <w:p w14:paraId="0759745B">
            <w:pPr>
              <w:pStyle w:val="5"/>
              <w:keepNext w:val="0"/>
              <w:keepLines w:val="0"/>
              <w:widowControl/>
              <w:suppressLineNumbers w:val="0"/>
              <w:kinsoku/>
              <w:wordWrap/>
              <w:overflowPunct/>
              <w:bidi w:val="0"/>
              <w:spacing w:before="0" w:beforeAutospacing="0" w:after="0" w:afterAutospacing="0" w:line="288" w:lineRule="auto"/>
              <w:ind w:left="0" w:right="58"/>
              <w:jc w:val="left"/>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结果的可能性</w:t>
            </w:r>
          </w:p>
        </w:tc>
        <w:tc>
          <w:tcPr>
            <w:tcW w:w="3374" w:type="pct"/>
            <w:shd w:val="clear" w:color="auto" w:fill="auto"/>
            <w:tcMar>
              <w:top w:w="71" w:type="dxa"/>
              <w:left w:w="105" w:type="dxa"/>
              <w:bottom w:w="71" w:type="dxa"/>
              <w:right w:w="105" w:type="dxa"/>
            </w:tcMar>
            <w:vAlign w:val="center"/>
          </w:tcPr>
          <w:p w14:paraId="4C7B40C8">
            <w:pPr>
              <w:pStyle w:val="5"/>
              <w:keepNext w:val="0"/>
              <w:keepLines w:val="0"/>
              <w:widowControl/>
              <w:suppressLineNumbers w:val="0"/>
              <w:kinsoku/>
              <w:wordWrap/>
              <w:overflowPunct/>
              <w:bidi w:val="0"/>
              <w:spacing w:before="0" w:beforeAutospacing="0" w:after="0" w:afterAutospacing="0" w:line="288" w:lineRule="auto"/>
              <w:ind w:left="0" w:right="58"/>
              <w:jc w:val="left"/>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发生的概率区间（　】</w:t>
            </w:r>
          </w:p>
        </w:tc>
      </w:tr>
      <w:tr w14:paraId="30B98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trPr>
        <w:tc>
          <w:tcPr>
            <w:tcW w:w="1625" w:type="pct"/>
            <w:shd w:val="clear" w:color="auto" w:fill="auto"/>
            <w:tcMar>
              <w:top w:w="71" w:type="dxa"/>
              <w:left w:w="105" w:type="dxa"/>
              <w:bottom w:w="71" w:type="dxa"/>
              <w:right w:w="105" w:type="dxa"/>
            </w:tcMar>
            <w:vAlign w:val="center"/>
          </w:tcPr>
          <w:p w14:paraId="7CA4240E">
            <w:pPr>
              <w:pStyle w:val="5"/>
              <w:keepNext w:val="0"/>
              <w:keepLines w:val="0"/>
              <w:widowControl/>
              <w:suppressLineNumbers w:val="0"/>
              <w:kinsoku/>
              <w:wordWrap/>
              <w:overflowPunct/>
              <w:bidi w:val="0"/>
              <w:spacing w:before="0" w:beforeAutospacing="0" w:after="0" w:afterAutospacing="0" w:line="288" w:lineRule="auto"/>
              <w:ind w:left="0" w:right="58"/>
              <w:jc w:val="left"/>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基本确定</w:t>
            </w:r>
          </w:p>
        </w:tc>
        <w:tc>
          <w:tcPr>
            <w:tcW w:w="3374" w:type="pct"/>
            <w:shd w:val="clear" w:color="auto" w:fill="auto"/>
            <w:tcMar>
              <w:top w:w="71" w:type="dxa"/>
              <w:left w:w="105" w:type="dxa"/>
              <w:bottom w:w="71" w:type="dxa"/>
              <w:right w:w="105" w:type="dxa"/>
            </w:tcMar>
            <w:vAlign w:val="center"/>
          </w:tcPr>
          <w:p w14:paraId="14282315">
            <w:pPr>
              <w:pStyle w:val="5"/>
              <w:keepNext w:val="0"/>
              <w:keepLines w:val="0"/>
              <w:widowControl/>
              <w:suppressLineNumbers w:val="0"/>
              <w:kinsoku/>
              <w:wordWrap/>
              <w:overflowPunct/>
              <w:bidi w:val="0"/>
              <w:spacing w:before="0" w:beforeAutospacing="0" w:after="0" w:afterAutospacing="0" w:line="288" w:lineRule="auto"/>
              <w:ind w:left="0" w:right="58"/>
              <w:jc w:val="left"/>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 xml:space="preserve">95％＜发生的可能性＜100％ </w:t>
            </w:r>
          </w:p>
        </w:tc>
      </w:tr>
      <w:tr w14:paraId="788DD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88" w:hRule="atLeast"/>
        </w:trPr>
        <w:tc>
          <w:tcPr>
            <w:tcW w:w="1625" w:type="pct"/>
            <w:shd w:val="clear" w:color="auto" w:fill="auto"/>
            <w:tcMar>
              <w:top w:w="71" w:type="dxa"/>
              <w:left w:w="105" w:type="dxa"/>
              <w:bottom w:w="71" w:type="dxa"/>
              <w:right w:w="105" w:type="dxa"/>
            </w:tcMar>
            <w:vAlign w:val="center"/>
          </w:tcPr>
          <w:p w14:paraId="38D8F9DB">
            <w:pPr>
              <w:pStyle w:val="5"/>
              <w:keepNext w:val="0"/>
              <w:keepLines w:val="0"/>
              <w:widowControl/>
              <w:suppressLineNumbers w:val="0"/>
              <w:kinsoku/>
              <w:wordWrap/>
              <w:overflowPunct/>
              <w:bidi w:val="0"/>
              <w:spacing w:before="0" w:beforeAutospacing="0" w:after="0" w:afterAutospacing="0" w:line="288" w:lineRule="auto"/>
              <w:ind w:left="0" w:right="58"/>
              <w:jc w:val="left"/>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很可能</w:t>
            </w:r>
          </w:p>
        </w:tc>
        <w:tc>
          <w:tcPr>
            <w:tcW w:w="3374" w:type="pct"/>
            <w:shd w:val="clear" w:color="auto" w:fill="auto"/>
            <w:tcMar>
              <w:top w:w="71" w:type="dxa"/>
              <w:left w:w="105" w:type="dxa"/>
              <w:bottom w:w="71" w:type="dxa"/>
              <w:right w:w="105" w:type="dxa"/>
            </w:tcMar>
            <w:vAlign w:val="center"/>
          </w:tcPr>
          <w:p w14:paraId="12A179FD">
            <w:pPr>
              <w:pStyle w:val="5"/>
              <w:keepNext w:val="0"/>
              <w:keepLines w:val="0"/>
              <w:widowControl/>
              <w:suppressLineNumbers w:val="0"/>
              <w:kinsoku/>
              <w:wordWrap/>
              <w:overflowPunct/>
              <w:bidi w:val="0"/>
              <w:spacing w:before="0" w:beforeAutospacing="0" w:after="0" w:afterAutospacing="0" w:line="288" w:lineRule="auto"/>
              <w:ind w:left="0" w:right="58"/>
              <w:jc w:val="left"/>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 xml:space="preserve">50％＜发生的可能性≤95％ </w:t>
            </w:r>
          </w:p>
        </w:tc>
      </w:tr>
      <w:tr w14:paraId="7D616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trPr>
        <w:tc>
          <w:tcPr>
            <w:tcW w:w="1625" w:type="pct"/>
            <w:shd w:val="clear" w:color="auto" w:fill="auto"/>
            <w:tcMar>
              <w:top w:w="71" w:type="dxa"/>
              <w:left w:w="105" w:type="dxa"/>
              <w:bottom w:w="71" w:type="dxa"/>
              <w:right w:w="105" w:type="dxa"/>
            </w:tcMar>
            <w:vAlign w:val="center"/>
          </w:tcPr>
          <w:p w14:paraId="7DA8DB00">
            <w:pPr>
              <w:pStyle w:val="5"/>
              <w:keepNext w:val="0"/>
              <w:keepLines w:val="0"/>
              <w:widowControl/>
              <w:suppressLineNumbers w:val="0"/>
              <w:kinsoku/>
              <w:wordWrap/>
              <w:overflowPunct/>
              <w:bidi w:val="0"/>
              <w:spacing w:before="0" w:beforeAutospacing="0" w:after="0" w:afterAutospacing="0" w:line="288" w:lineRule="auto"/>
              <w:ind w:left="0" w:right="58"/>
              <w:jc w:val="left"/>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可能</w:t>
            </w:r>
          </w:p>
        </w:tc>
        <w:tc>
          <w:tcPr>
            <w:tcW w:w="3374" w:type="pct"/>
            <w:shd w:val="clear" w:color="auto" w:fill="auto"/>
            <w:tcMar>
              <w:top w:w="71" w:type="dxa"/>
              <w:left w:w="105" w:type="dxa"/>
              <w:bottom w:w="71" w:type="dxa"/>
              <w:right w:w="105" w:type="dxa"/>
            </w:tcMar>
            <w:vAlign w:val="center"/>
          </w:tcPr>
          <w:p w14:paraId="69CC064C">
            <w:pPr>
              <w:pStyle w:val="5"/>
              <w:keepNext w:val="0"/>
              <w:keepLines w:val="0"/>
              <w:widowControl/>
              <w:suppressLineNumbers w:val="0"/>
              <w:kinsoku/>
              <w:wordWrap/>
              <w:overflowPunct/>
              <w:bidi w:val="0"/>
              <w:spacing w:before="0" w:beforeAutospacing="0" w:after="0" w:afterAutospacing="0" w:line="288" w:lineRule="auto"/>
              <w:ind w:left="0" w:right="58"/>
              <w:jc w:val="left"/>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 xml:space="preserve">5％＜发生的可能性≤50％ </w:t>
            </w:r>
          </w:p>
        </w:tc>
      </w:tr>
      <w:tr w14:paraId="2E911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90" w:hRule="atLeast"/>
        </w:trPr>
        <w:tc>
          <w:tcPr>
            <w:tcW w:w="1625" w:type="pct"/>
            <w:shd w:val="clear" w:color="auto" w:fill="auto"/>
            <w:tcMar>
              <w:top w:w="71" w:type="dxa"/>
              <w:left w:w="105" w:type="dxa"/>
              <w:bottom w:w="71" w:type="dxa"/>
              <w:right w:w="105" w:type="dxa"/>
            </w:tcMar>
            <w:vAlign w:val="center"/>
          </w:tcPr>
          <w:p w14:paraId="24042381">
            <w:pPr>
              <w:pStyle w:val="5"/>
              <w:keepNext w:val="0"/>
              <w:keepLines w:val="0"/>
              <w:widowControl/>
              <w:suppressLineNumbers w:val="0"/>
              <w:kinsoku/>
              <w:wordWrap/>
              <w:overflowPunct/>
              <w:bidi w:val="0"/>
              <w:spacing w:before="0" w:beforeAutospacing="0" w:after="0" w:afterAutospacing="0" w:line="288" w:lineRule="auto"/>
              <w:ind w:left="0" w:right="58"/>
              <w:jc w:val="left"/>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极小可能</w:t>
            </w:r>
          </w:p>
        </w:tc>
        <w:tc>
          <w:tcPr>
            <w:tcW w:w="3374" w:type="pct"/>
            <w:shd w:val="clear" w:color="auto" w:fill="auto"/>
            <w:tcMar>
              <w:top w:w="71" w:type="dxa"/>
              <w:left w:w="105" w:type="dxa"/>
              <w:bottom w:w="71" w:type="dxa"/>
              <w:right w:w="105" w:type="dxa"/>
            </w:tcMar>
            <w:vAlign w:val="center"/>
          </w:tcPr>
          <w:p w14:paraId="18AA31B1">
            <w:pPr>
              <w:pStyle w:val="5"/>
              <w:keepNext w:val="0"/>
              <w:keepLines w:val="0"/>
              <w:widowControl/>
              <w:suppressLineNumbers w:val="0"/>
              <w:kinsoku/>
              <w:wordWrap/>
              <w:overflowPunct/>
              <w:bidi w:val="0"/>
              <w:spacing w:before="0" w:beforeAutospacing="0" w:after="0" w:afterAutospacing="0" w:line="288" w:lineRule="auto"/>
              <w:ind w:left="0" w:right="58"/>
              <w:jc w:val="left"/>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 xml:space="preserve">0＜发生的可能性≤5％ </w:t>
            </w:r>
          </w:p>
        </w:tc>
      </w:tr>
    </w:tbl>
    <w:p w14:paraId="0265B9F7">
      <w:pPr>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left="0" w:firstLine="0"/>
        <w:textAlignment w:val="auto"/>
        <w:outlineLvl w:val="9"/>
        <w:rPr>
          <w:rFonts w:hint="eastAsia" w:ascii="宋体" w:hAnsi="宋体" w:eastAsia="宋体" w:cs="宋体"/>
          <w:color w:val="auto"/>
          <w:sz w:val="21"/>
          <w:szCs w:val="21"/>
        </w:rPr>
      </w:pPr>
    </w:p>
    <w:p w14:paraId="231D6D33">
      <w:pPr>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left="0" w:firstLine="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考点</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或有事项的计量</w:t>
      </w:r>
    </w:p>
    <w:tbl>
      <w:tblPr>
        <w:tblStyle w:val="6"/>
        <w:tblW w:w="499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1988"/>
        <w:gridCol w:w="4536"/>
        <w:gridCol w:w="3598"/>
      </w:tblGrid>
      <w:tr w14:paraId="54B96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trPr>
        <w:tc>
          <w:tcPr>
            <w:tcW w:w="982" w:type="pct"/>
            <w:vMerge w:val="restart"/>
            <w:shd w:val="clear" w:color="auto" w:fill="auto"/>
            <w:tcMar>
              <w:top w:w="71" w:type="dxa"/>
              <w:left w:w="110" w:type="dxa"/>
              <w:bottom w:w="71" w:type="dxa"/>
              <w:right w:w="110" w:type="dxa"/>
            </w:tcMar>
            <w:vAlign w:val="center"/>
          </w:tcPr>
          <w:p w14:paraId="1502743B">
            <w:pPr>
              <w:pStyle w:val="5"/>
              <w:keepNext w:val="0"/>
              <w:keepLines w:val="0"/>
              <w:widowControl/>
              <w:suppressLineNumbers w:val="0"/>
              <w:kinsoku/>
              <w:wordWrap/>
              <w:overflowPunct/>
              <w:bidi w:val="0"/>
              <w:spacing w:before="0" w:beforeAutospacing="0" w:after="0" w:afterAutospacing="0" w:line="288" w:lineRule="auto"/>
              <w:ind w:left="0" w:right="58"/>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最佳估计数的确定</w:t>
            </w:r>
          </w:p>
        </w:tc>
        <w:tc>
          <w:tcPr>
            <w:tcW w:w="2240" w:type="pct"/>
            <w:shd w:val="clear" w:color="auto" w:fill="auto"/>
            <w:tcMar>
              <w:top w:w="71" w:type="dxa"/>
              <w:left w:w="110" w:type="dxa"/>
              <w:bottom w:w="71" w:type="dxa"/>
              <w:right w:w="110" w:type="dxa"/>
            </w:tcMar>
            <w:vAlign w:val="center"/>
          </w:tcPr>
          <w:p w14:paraId="68C4460E">
            <w:pPr>
              <w:pStyle w:val="5"/>
              <w:keepNext w:val="0"/>
              <w:keepLines w:val="0"/>
              <w:widowControl/>
              <w:suppressLineNumbers w:val="0"/>
              <w:kinsoku/>
              <w:wordWrap/>
              <w:overflowPunct/>
              <w:bidi w:val="0"/>
              <w:spacing w:before="0" w:beforeAutospacing="0" w:after="0" w:afterAutospacing="0" w:line="288" w:lineRule="auto"/>
              <w:ind w:left="0" w:right="58"/>
              <w:jc w:val="left"/>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存在一个</w:t>
            </w:r>
            <w:r>
              <w:rPr>
                <w:rFonts w:hint="default" w:ascii="宋体" w:hAnsi="宋体" w:eastAsia="宋体" w:cs="宋体"/>
                <w:color w:val="FF0000"/>
                <w:kern w:val="2"/>
                <w:sz w:val="21"/>
                <w:szCs w:val="21"/>
              </w:rPr>
              <w:t>连续范围</w:t>
            </w:r>
            <w:r>
              <w:rPr>
                <w:rFonts w:hint="default" w:ascii="宋体" w:hAnsi="宋体" w:eastAsia="宋体" w:cs="宋体"/>
                <w:color w:val="auto"/>
                <w:kern w:val="2"/>
                <w:sz w:val="21"/>
                <w:szCs w:val="21"/>
              </w:rPr>
              <w:t>，结果发生的可能性相同</w:t>
            </w:r>
          </w:p>
        </w:tc>
        <w:tc>
          <w:tcPr>
            <w:tcW w:w="1777" w:type="pct"/>
            <w:shd w:val="clear" w:color="auto" w:fill="auto"/>
            <w:tcMar>
              <w:top w:w="71" w:type="dxa"/>
              <w:left w:w="110" w:type="dxa"/>
              <w:bottom w:w="71" w:type="dxa"/>
              <w:right w:w="110" w:type="dxa"/>
            </w:tcMar>
            <w:vAlign w:val="center"/>
          </w:tcPr>
          <w:p w14:paraId="414F9BED">
            <w:pPr>
              <w:pStyle w:val="5"/>
              <w:keepNext w:val="0"/>
              <w:keepLines w:val="0"/>
              <w:widowControl/>
              <w:suppressLineNumbers w:val="0"/>
              <w:kinsoku/>
              <w:wordWrap/>
              <w:overflowPunct/>
              <w:bidi w:val="0"/>
              <w:spacing w:before="0" w:beforeAutospacing="0" w:after="0" w:afterAutospacing="0" w:line="288" w:lineRule="auto"/>
              <w:ind w:left="0" w:right="58"/>
              <w:jc w:val="left"/>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最佳估计数应当按照该范围内的</w:t>
            </w:r>
            <w:r>
              <w:rPr>
                <w:rFonts w:hint="default" w:ascii="宋体" w:hAnsi="宋体" w:eastAsia="宋体" w:cs="宋体"/>
                <w:color w:val="FF0000"/>
                <w:kern w:val="2"/>
                <w:sz w:val="21"/>
                <w:szCs w:val="21"/>
              </w:rPr>
              <w:t>中间值</w:t>
            </w:r>
            <w:r>
              <w:rPr>
                <w:rFonts w:hint="default" w:ascii="宋体" w:hAnsi="宋体" w:eastAsia="宋体" w:cs="宋体"/>
                <w:color w:val="auto"/>
                <w:kern w:val="2"/>
                <w:sz w:val="21"/>
                <w:szCs w:val="21"/>
              </w:rPr>
              <w:t>，即上、下限金额的平均数确定。</w:t>
            </w:r>
          </w:p>
        </w:tc>
      </w:tr>
      <w:tr w14:paraId="29A00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86" w:hRule="atLeast"/>
        </w:trPr>
        <w:tc>
          <w:tcPr>
            <w:tcW w:w="982" w:type="pct"/>
            <w:vMerge w:val="continue"/>
            <w:shd w:val="clear" w:color="auto" w:fill="auto"/>
            <w:tcMar>
              <w:top w:w="71" w:type="dxa"/>
              <w:left w:w="110" w:type="dxa"/>
              <w:bottom w:w="71" w:type="dxa"/>
              <w:right w:w="110" w:type="dxa"/>
            </w:tcMar>
            <w:vAlign w:val="center"/>
          </w:tcPr>
          <w:p w14:paraId="3A5F43FB">
            <w:pPr>
              <w:rPr>
                <w:rFonts w:hint="eastAsia" w:ascii="宋体" w:hAnsi="宋体" w:eastAsia="宋体" w:cs="宋体"/>
                <w:color w:val="auto"/>
                <w:kern w:val="2"/>
                <w:sz w:val="21"/>
                <w:szCs w:val="21"/>
              </w:rPr>
            </w:pPr>
          </w:p>
        </w:tc>
        <w:tc>
          <w:tcPr>
            <w:tcW w:w="2240" w:type="pct"/>
            <w:vMerge w:val="restart"/>
            <w:shd w:val="clear" w:color="auto" w:fill="auto"/>
            <w:tcMar>
              <w:top w:w="71" w:type="dxa"/>
              <w:left w:w="110" w:type="dxa"/>
              <w:bottom w:w="71" w:type="dxa"/>
              <w:right w:w="110" w:type="dxa"/>
            </w:tcMar>
            <w:vAlign w:val="center"/>
          </w:tcPr>
          <w:p w14:paraId="33DEA24C">
            <w:pPr>
              <w:pStyle w:val="5"/>
              <w:keepNext w:val="0"/>
              <w:keepLines w:val="0"/>
              <w:widowControl/>
              <w:suppressLineNumbers w:val="0"/>
              <w:kinsoku/>
              <w:wordWrap/>
              <w:overflowPunct/>
              <w:bidi w:val="0"/>
              <w:spacing w:before="0" w:beforeAutospacing="0" w:after="0" w:afterAutospacing="0" w:line="288" w:lineRule="auto"/>
              <w:ind w:left="0" w:right="58"/>
              <w:jc w:val="left"/>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不存在一个连续范围，结果发生的可能性不相同</w:t>
            </w:r>
          </w:p>
        </w:tc>
        <w:tc>
          <w:tcPr>
            <w:tcW w:w="1777" w:type="pct"/>
            <w:shd w:val="clear" w:color="auto" w:fill="auto"/>
            <w:tcMar>
              <w:top w:w="71" w:type="dxa"/>
              <w:left w:w="110" w:type="dxa"/>
              <w:bottom w:w="71" w:type="dxa"/>
              <w:right w:w="110" w:type="dxa"/>
            </w:tcMar>
            <w:vAlign w:val="center"/>
          </w:tcPr>
          <w:p w14:paraId="22AE5AD9">
            <w:pPr>
              <w:pStyle w:val="5"/>
              <w:keepNext w:val="0"/>
              <w:keepLines w:val="0"/>
              <w:widowControl/>
              <w:suppressLineNumbers w:val="0"/>
              <w:kinsoku/>
              <w:wordWrap/>
              <w:overflowPunct/>
              <w:bidi w:val="0"/>
              <w:spacing w:before="0" w:beforeAutospacing="0" w:after="0" w:afterAutospacing="0" w:line="288" w:lineRule="auto"/>
              <w:ind w:left="0" w:right="58"/>
              <w:jc w:val="left"/>
              <w:rPr>
                <w:rFonts w:hint="eastAsia" w:ascii="宋体" w:hAnsi="宋体" w:eastAsia="宋体" w:cs="宋体"/>
                <w:color w:val="auto"/>
                <w:kern w:val="2"/>
                <w:sz w:val="21"/>
                <w:szCs w:val="21"/>
              </w:rPr>
            </w:pPr>
            <w:r>
              <w:rPr>
                <w:rFonts w:hint="default" w:ascii="宋体" w:hAnsi="宋体" w:eastAsia="宋体" w:cs="宋体"/>
                <w:color w:val="FF0000"/>
                <w:kern w:val="2"/>
                <w:sz w:val="21"/>
                <w:szCs w:val="21"/>
              </w:rPr>
              <w:t>最可能</w:t>
            </w:r>
            <w:r>
              <w:rPr>
                <w:rFonts w:hint="default" w:ascii="宋体" w:hAnsi="宋体" w:eastAsia="宋体" w:cs="宋体"/>
                <w:color w:val="auto"/>
                <w:kern w:val="2"/>
                <w:sz w:val="21"/>
                <w:szCs w:val="21"/>
              </w:rPr>
              <w:t>发生金额确定</w:t>
            </w:r>
          </w:p>
        </w:tc>
      </w:tr>
      <w:tr w14:paraId="0A3B2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3" w:hRule="atLeast"/>
        </w:trPr>
        <w:tc>
          <w:tcPr>
            <w:tcW w:w="982" w:type="pct"/>
            <w:vMerge w:val="continue"/>
            <w:shd w:val="clear" w:color="auto" w:fill="auto"/>
            <w:tcMar>
              <w:top w:w="71" w:type="dxa"/>
              <w:left w:w="110" w:type="dxa"/>
              <w:bottom w:w="71" w:type="dxa"/>
              <w:right w:w="110" w:type="dxa"/>
            </w:tcMar>
            <w:vAlign w:val="center"/>
          </w:tcPr>
          <w:p w14:paraId="28CF659B">
            <w:pPr>
              <w:rPr>
                <w:rFonts w:hint="default" w:ascii="宋体" w:hAnsi="宋体" w:eastAsia="宋体" w:cs="宋体"/>
                <w:color w:val="auto"/>
                <w:kern w:val="2"/>
                <w:sz w:val="21"/>
                <w:szCs w:val="21"/>
              </w:rPr>
            </w:pPr>
          </w:p>
        </w:tc>
        <w:tc>
          <w:tcPr>
            <w:tcW w:w="2240" w:type="pct"/>
            <w:vMerge w:val="continue"/>
            <w:shd w:val="clear" w:color="auto" w:fill="auto"/>
            <w:tcMar>
              <w:top w:w="71" w:type="dxa"/>
              <w:left w:w="110" w:type="dxa"/>
              <w:bottom w:w="71" w:type="dxa"/>
              <w:right w:w="110" w:type="dxa"/>
            </w:tcMar>
            <w:vAlign w:val="center"/>
          </w:tcPr>
          <w:p w14:paraId="36511F23">
            <w:pPr>
              <w:rPr>
                <w:rFonts w:hint="default" w:ascii="宋体" w:hAnsi="宋体" w:eastAsia="宋体" w:cs="宋体"/>
                <w:color w:val="auto"/>
                <w:kern w:val="2"/>
                <w:sz w:val="21"/>
                <w:szCs w:val="21"/>
              </w:rPr>
            </w:pPr>
          </w:p>
        </w:tc>
        <w:tc>
          <w:tcPr>
            <w:tcW w:w="1777" w:type="pct"/>
            <w:shd w:val="clear" w:color="auto" w:fill="auto"/>
            <w:tcMar>
              <w:top w:w="71" w:type="dxa"/>
              <w:left w:w="110" w:type="dxa"/>
              <w:bottom w:w="71" w:type="dxa"/>
              <w:right w:w="110" w:type="dxa"/>
            </w:tcMar>
            <w:vAlign w:val="center"/>
          </w:tcPr>
          <w:p w14:paraId="5C84C9B3">
            <w:pPr>
              <w:pStyle w:val="5"/>
              <w:keepNext w:val="0"/>
              <w:keepLines w:val="0"/>
              <w:widowControl/>
              <w:suppressLineNumbers w:val="0"/>
              <w:kinsoku/>
              <w:wordWrap/>
              <w:overflowPunct/>
              <w:bidi w:val="0"/>
              <w:spacing w:before="0" w:beforeAutospacing="0" w:after="0" w:afterAutospacing="0" w:line="288" w:lineRule="auto"/>
              <w:ind w:left="0" w:right="58"/>
              <w:jc w:val="left"/>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各种可能结果及相关</w:t>
            </w:r>
            <w:r>
              <w:rPr>
                <w:rFonts w:hint="default" w:ascii="宋体" w:hAnsi="宋体" w:eastAsia="宋体" w:cs="宋体"/>
                <w:color w:val="FF0000"/>
                <w:kern w:val="2"/>
                <w:sz w:val="21"/>
                <w:szCs w:val="21"/>
              </w:rPr>
              <w:t>概率</w:t>
            </w:r>
            <w:r>
              <w:rPr>
                <w:rFonts w:hint="default" w:ascii="宋体" w:hAnsi="宋体" w:eastAsia="宋体" w:cs="宋体"/>
                <w:color w:val="auto"/>
                <w:kern w:val="2"/>
                <w:sz w:val="21"/>
                <w:szCs w:val="21"/>
              </w:rPr>
              <w:t>计算确定</w:t>
            </w:r>
          </w:p>
        </w:tc>
      </w:tr>
      <w:tr w14:paraId="1351F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 w:hRule="atLeast"/>
        </w:trPr>
        <w:tc>
          <w:tcPr>
            <w:tcW w:w="982" w:type="pct"/>
            <w:vMerge w:val="restart"/>
            <w:shd w:val="clear" w:color="auto" w:fill="auto"/>
            <w:tcMar>
              <w:top w:w="71" w:type="dxa"/>
              <w:left w:w="110" w:type="dxa"/>
              <w:bottom w:w="71" w:type="dxa"/>
              <w:right w:w="110" w:type="dxa"/>
            </w:tcMar>
            <w:vAlign w:val="center"/>
          </w:tcPr>
          <w:p w14:paraId="1DF2E003">
            <w:pPr>
              <w:pStyle w:val="5"/>
              <w:keepNext w:val="0"/>
              <w:keepLines w:val="0"/>
              <w:widowControl/>
              <w:suppressLineNumbers w:val="0"/>
              <w:kinsoku/>
              <w:wordWrap/>
              <w:overflowPunct/>
              <w:bidi w:val="0"/>
              <w:spacing w:before="0" w:beforeAutospacing="0" w:after="0" w:afterAutospacing="0" w:line="288" w:lineRule="auto"/>
              <w:ind w:left="0" w:right="58"/>
              <w:jc w:val="left"/>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 xml:space="preserve">预期可获得补偿的处理 </w:t>
            </w:r>
          </w:p>
        </w:tc>
        <w:tc>
          <w:tcPr>
            <w:tcW w:w="2240" w:type="pct"/>
            <w:shd w:val="clear" w:color="auto" w:fill="auto"/>
            <w:tcMar>
              <w:top w:w="71" w:type="dxa"/>
              <w:left w:w="110" w:type="dxa"/>
              <w:bottom w:w="71" w:type="dxa"/>
              <w:right w:w="110" w:type="dxa"/>
            </w:tcMar>
            <w:vAlign w:val="center"/>
          </w:tcPr>
          <w:p w14:paraId="657DFD57">
            <w:pPr>
              <w:pStyle w:val="5"/>
              <w:keepNext w:val="0"/>
              <w:keepLines w:val="0"/>
              <w:widowControl/>
              <w:suppressLineNumbers w:val="0"/>
              <w:kinsoku/>
              <w:wordWrap/>
              <w:overflowPunct/>
              <w:bidi w:val="0"/>
              <w:spacing w:before="0" w:beforeAutospacing="0" w:after="0" w:afterAutospacing="0" w:line="288" w:lineRule="auto"/>
              <w:ind w:left="0" w:right="58"/>
              <w:jc w:val="left"/>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第三方补偿</w:t>
            </w:r>
          </w:p>
        </w:tc>
        <w:tc>
          <w:tcPr>
            <w:tcW w:w="1777" w:type="pct"/>
            <w:vMerge w:val="restart"/>
            <w:shd w:val="clear" w:color="auto" w:fill="auto"/>
            <w:tcMar>
              <w:top w:w="71" w:type="dxa"/>
              <w:left w:w="110" w:type="dxa"/>
              <w:bottom w:w="71" w:type="dxa"/>
              <w:right w:w="110" w:type="dxa"/>
            </w:tcMar>
            <w:vAlign w:val="center"/>
          </w:tcPr>
          <w:p w14:paraId="222D4765">
            <w:pPr>
              <w:pStyle w:val="5"/>
              <w:keepNext w:val="0"/>
              <w:keepLines w:val="0"/>
              <w:widowControl/>
              <w:suppressLineNumbers w:val="0"/>
              <w:kinsoku/>
              <w:wordWrap/>
              <w:overflowPunct/>
              <w:bidi w:val="0"/>
              <w:spacing w:before="0" w:beforeAutospacing="0" w:after="0" w:afterAutospacing="0" w:line="288" w:lineRule="auto"/>
              <w:ind w:left="0" w:right="58"/>
              <w:jc w:val="left"/>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借：营业外支出</w:t>
            </w:r>
          </w:p>
          <w:p w14:paraId="08D8082A">
            <w:pPr>
              <w:pStyle w:val="5"/>
              <w:keepNext w:val="0"/>
              <w:keepLines w:val="0"/>
              <w:widowControl/>
              <w:suppressLineNumbers w:val="0"/>
              <w:kinsoku/>
              <w:wordWrap/>
              <w:overflowPunct/>
              <w:bidi w:val="0"/>
              <w:spacing w:before="0" w:beforeAutospacing="0" w:after="0" w:afterAutospacing="0" w:line="288" w:lineRule="auto"/>
              <w:ind w:left="0" w:right="58"/>
              <w:jc w:val="left"/>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　　贷：预计负债</w:t>
            </w:r>
          </w:p>
        </w:tc>
      </w:tr>
      <w:tr w14:paraId="333DE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86" w:hRule="atLeast"/>
        </w:trPr>
        <w:tc>
          <w:tcPr>
            <w:tcW w:w="982" w:type="pct"/>
            <w:vMerge w:val="continue"/>
            <w:shd w:val="clear" w:color="auto" w:fill="auto"/>
            <w:tcMar>
              <w:top w:w="71" w:type="dxa"/>
              <w:left w:w="110" w:type="dxa"/>
              <w:bottom w:w="71" w:type="dxa"/>
              <w:right w:w="110" w:type="dxa"/>
            </w:tcMar>
            <w:vAlign w:val="center"/>
          </w:tcPr>
          <w:p w14:paraId="5F69DB14">
            <w:pPr>
              <w:rPr>
                <w:rFonts w:hint="default" w:ascii="宋体" w:hAnsi="宋体" w:eastAsia="宋体" w:cs="宋体"/>
                <w:color w:val="auto"/>
                <w:kern w:val="2"/>
                <w:sz w:val="21"/>
                <w:szCs w:val="21"/>
              </w:rPr>
            </w:pPr>
          </w:p>
        </w:tc>
        <w:tc>
          <w:tcPr>
            <w:tcW w:w="2240" w:type="pct"/>
            <w:shd w:val="clear" w:color="auto" w:fill="auto"/>
            <w:tcMar>
              <w:top w:w="71" w:type="dxa"/>
              <w:left w:w="110" w:type="dxa"/>
              <w:bottom w:w="71" w:type="dxa"/>
              <w:right w:w="110" w:type="dxa"/>
            </w:tcMar>
            <w:vAlign w:val="center"/>
          </w:tcPr>
          <w:p w14:paraId="3B838258">
            <w:pPr>
              <w:pStyle w:val="5"/>
              <w:keepNext w:val="0"/>
              <w:keepLines w:val="0"/>
              <w:widowControl/>
              <w:suppressLineNumbers w:val="0"/>
              <w:kinsoku/>
              <w:wordWrap/>
              <w:overflowPunct/>
              <w:bidi w:val="0"/>
              <w:spacing w:before="0" w:beforeAutospacing="0" w:after="0" w:afterAutospacing="0" w:line="288" w:lineRule="auto"/>
              <w:ind w:left="0" w:right="58"/>
              <w:jc w:val="left"/>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基本确定</w:t>
            </w:r>
          </w:p>
        </w:tc>
        <w:tc>
          <w:tcPr>
            <w:tcW w:w="1777" w:type="pct"/>
            <w:vMerge w:val="continue"/>
            <w:shd w:val="clear" w:color="auto" w:fill="auto"/>
            <w:tcMar>
              <w:top w:w="71" w:type="dxa"/>
              <w:left w:w="110" w:type="dxa"/>
              <w:bottom w:w="71" w:type="dxa"/>
              <w:right w:w="110" w:type="dxa"/>
            </w:tcMar>
            <w:vAlign w:val="center"/>
          </w:tcPr>
          <w:p w14:paraId="4766411F">
            <w:pPr>
              <w:rPr>
                <w:rFonts w:hint="default" w:ascii="宋体" w:hAnsi="宋体" w:eastAsia="宋体" w:cs="宋体"/>
                <w:color w:val="auto"/>
                <w:kern w:val="2"/>
                <w:sz w:val="21"/>
                <w:szCs w:val="21"/>
              </w:rPr>
            </w:pPr>
          </w:p>
        </w:tc>
      </w:tr>
      <w:tr w14:paraId="078C8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6" w:hRule="atLeast"/>
        </w:trPr>
        <w:tc>
          <w:tcPr>
            <w:tcW w:w="982" w:type="pct"/>
            <w:vMerge w:val="continue"/>
            <w:shd w:val="clear" w:color="auto" w:fill="auto"/>
            <w:tcMar>
              <w:top w:w="71" w:type="dxa"/>
              <w:left w:w="110" w:type="dxa"/>
              <w:bottom w:w="71" w:type="dxa"/>
              <w:right w:w="110" w:type="dxa"/>
            </w:tcMar>
            <w:vAlign w:val="center"/>
          </w:tcPr>
          <w:p w14:paraId="0BD09F95">
            <w:pPr>
              <w:rPr>
                <w:rFonts w:hint="default" w:ascii="宋体" w:hAnsi="宋体" w:eastAsia="宋体" w:cs="宋体"/>
                <w:color w:val="auto"/>
                <w:kern w:val="2"/>
                <w:sz w:val="21"/>
                <w:szCs w:val="21"/>
              </w:rPr>
            </w:pPr>
          </w:p>
        </w:tc>
        <w:tc>
          <w:tcPr>
            <w:tcW w:w="2240" w:type="pct"/>
            <w:shd w:val="clear" w:color="auto" w:fill="auto"/>
            <w:tcMar>
              <w:top w:w="71" w:type="dxa"/>
              <w:left w:w="110" w:type="dxa"/>
              <w:bottom w:w="71" w:type="dxa"/>
              <w:right w:w="110" w:type="dxa"/>
            </w:tcMar>
            <w:vAlign w:val="center"/>
          </w:tcPr>
          <w:p w14:paraId="5E84DA90">
            <w:pPr>
              <w:pStyle w:val="5"/>
              <w:keepNext w:val="0"/>
              <w:keepLines w:val="0"/>
              <w:widowControl/>
              <w:suppressLineNumbers w:val="0"/>
              <w:kinsoku/>
              <w:wordWrap/>
              <w:overflowPunct/>
              <w:bidi w:val="0"/>
              <w:spacing w:before="0" w:beforeAutospacing="0" w:after="0" w:afterAutospacing="0" w:line="288" w:lineRule="auto"/>
              <w:ind w:left="0" w:right="58"/>
              <w:jc w:val="left"/>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作为资产单独确认，不能冲减“预计负债”的账面价值</w:t>
            </w:r>
          </w:p>
        </w:tc>
        <w:tc>
          <w:tcPr>
            <w:tcW w:w="1777" w:type="pct"/>
            <w:shd w:val="clear" w:color="auto" w:fill="auto"/>
            <w:tcMar>
              <w:top w:w="71" w:type="dxa"/>
              <w:left w:w="110" w:type="dxa"/>
              <w:bottom w:w="71" w:type="dxa"/>
              <w:right w:w="110" w:type="dxa"/>
            </w:tcMar>
            <w:vAlign w:val="center"/>
          </w:tcPr>
          <w:p w14:paraId="6265E3D7">
            <w:pPr>
              <w:pStyle w:val="5"/>
              <w:keepNext w:val="0"/>
              <w:keepLines w:val="0"/>
              <w:widowControl/>
              <w:suppressLineNumbers w:val="0"/>
              <w:kinsoku/>
              <w:wordWrap/>
              <w:overflowPunct/>
              <w:bidi w:val="0"/>
              <w:spacing w:before="0" w:beforeAutospacing="0" w:after="0" w:afterAutospacing="0" w:line="288" w:lineRule="auto"/>
              <w:ind w:left="0" w:right="58"/>
              <w:jc w:val="left"/>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借：其他应收款</w:t>
            </w:r>
          </w:p>
          <w:p w14:paraId="0B1BFE1F">
            <w:pPr>
              <w:pStyle w:val="5"/>
              <w:keepNext w:val="0"/>
              <w:keepLines w:val="0"/>
              <w:widowControl/>
              <w:suppressLineNumbers w:val="0"/>
              <w:kinsoku/>
              <w:wordWrap/>
              <w:overflowPunct/>
              <w:bidi w:val="0"/>
              <w:spacing w:before="0" w:beforeAutospacing="0" w:after="0" w:afterAutospacing="0" w:line="288" w:lineRule="auto"/>
              <w:ind w:left="0" w:right="58"/>
              <w:jc w:val="left"/>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　　贷：营业外支出</w:t>
            </w:r>
          </w:p>
        </w:tc>
      </w:tr>
    </w:tbl>
    <w:p w14:paraId="053350B5">
      <w:pPr>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left="0" w:firstLine="0"/>
        <w:textAlignment w:val="auto"/>
        <w:outlineLvl w:val="9"/>
        <w:rPr>
          <w:rFonts w:hint="eastAsia" w:ascii="宋体" w:hAnsi="宋体" w:eastAsia="宋体" w:cs="宋体"/>
          <w:color w:val="auto"/>
          <w:sz w:val="21"/>
          <w:szCs w:val="21"/>
        </w:rPr>
      </w:pPr>
    </w:p>
    <w:tbl>
      <w:tblPr>
        <w:tblStyle w:val="6"/>
        <w:tblW w:w="498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2239"/>
        <w:gridCol w:w="7864"/>
      </w:tblGrid>
      <w:tr w14:paraId="30DBE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5" w:hRule="atLeast"/>
        </w:trPr>
        <w:tc>
          <w:tcPr>
            <w:tcW w:w="1108" w:type="pct"/>
            <w:vMerge w:val="restart"/>
            <w:shd w:val="clear" w:color="auto" w:fill="auto"/>
            <w:tcMar>
              <w:top w:w="71" w:type="dxa"/>
              <w:left w:w="110" w:type="dxa"/>
              <w:bottom w:w="71" w:type="dxa"/>
              <w:right w:w="110" w:type="dxa"/>
            </w:tcMar>
            <w:vAlign w:val="center"/>
          </w:tcPr>
          <w:p w14:paraId="72F8A58F">
            <w:pPr>
              <w:pStyle w:val="5"/>
              <w:keepNext w:val="0"/>
              <w:keepLines w:val="0"/>
              <w:widowControl/>
              <w:suppressLineNumbers w:val="0"/>
              <w:kinsoku/>
              <w:wordWrap/>
              <w:overflowPunct/>
              <w:bidi w:val="0"/>
              <w:spacing w:before="0" w:beforeAutospacing="0" w:after="0" w:afterAutospacing="0" w:line="360" w:lineRule="auto"/>
              <w:ind w:left="0" w:right="58"/>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预计负债的计量需要考虑的因素</w:t>
            </w:r>
          </w:p>
        </w:tc>
        <w:tc>
          <w:tcPr>
            <w:tcW w:w="3891" w:type="pct"/>
            <w:shd w:val="clear" w:color="auto" w:fill="auto"/>
            <w:tcMar>
              <w:top w:w="71" w:type="dxa"/>
              <w:left w:w="110" w:type="dxa"/>
              <w:bottom w:w="71" w:type="dxa"/>
              <w:right w:w="110" w:type="dxa"/>
            </w:tcMar>
            <w:vAlign w:val="center"/>
          </w:tcPr>
          <w:p w14:paraId="7776F84F">
            <w:pPr>
              <w:pStyle w:val="5"/>
              <w:keepNext w:val="0"/>
              <w:keepLines w:val="0"/>
              <w:widowControl/>
              <w:suppressLineNumbers w:val="0"/>
              <w:kinsoku/>
              <w:wordWrap/>
              <w:overflowPunct/>
              <w:bidi w:val="0"/>
              <w:spacing w:before="0" w:beforeAutospacing="0" w:after="0" w:afterAutospacing="0" w:line="360" w:lineRule="auto"/>
              <w:ind w:left="0" w:right="58"/>
              <w:jc w:val="left"/>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（1）风险和不确定性；（2）货币时间价值；（3）未来事项</w:t>
            </w:r>
          </w:p>
        </w:tc>
      </w:tr>
      <w:tr w14:paraId="4D56D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2" w:hRule="atLeast"/>
        </w:trPr>
        <w:tc>
          <w:tcPr>
            <w:tcW w:w="1108" w:type="pct"/>
            <w:vMerge w:val="continue"/>
            <w:shd w:val="clear" w:color="auto" w:fill="auto"/>
            <w:tcMar>
              <w:top w:w="71" w:type="dxa"/>
              <w:left w:w="110" w:type="dxa"/>
              <w:bottom w:w="71" w:type="dxa"/>
              <w:right w:w="110" w:type="dxa"/>
            </w:tcMar>
            <w:vAlign w:val="center"/>
          </w:tcPr>
          <w:p w14:paraId="572C971A">
            <w:pPr>
              <w:rPr>
                <w:rFonts w:hint="eastAsia" w:ascii="宋体" w:hAnsi="宋体" w:eastAsia="宋体" w:cs="宋体"/>
                <w:color w:val="auto"/>
                <w:kern w:val="2"/>
                <w:sz w:val="21"/>
                <w:szCs w:val="21"/>
              </w:rPr>
            </w:pPr>
          </w:p>
        </w:tc>
        <w:tc>
          <w:tcPr>
            <w:tcW w:w="3891" w:type="pct"/>
            <w:shd w:val="clear" w:color="auto" w:fill="auto"/>
            <w:tcMar>
              <w:top w:w="71" w:type="dxa"/>
              <w:left w:w="110" w:type="dxa"/>
              <w:bottom w:w="71" w:type="dxa"/>
              <w:right w:w="110" w:type="dxa"/>
            </w:tcMar>
            <w:vAlign w:val="center"/>
          </w:tcPr>
          <w:p w14:paraId="6DBDEBF4">
            <w:pPr>
              <w:pStyle w:val="5"/>
              <w:keepNext w:val="0"/>
              <w:keepLines w:val="0"/>
              <w:widowControl/>
              <w:suppressLineNumbers w:val="0"/>
              <w:kinsoku/>
              <w:wordWrap/>
              <w:overflowPunct/>
              <w:bidi w:val="0"/>
              <w:spacing w:before="0" w:beforeAutospacing="0" w:after="0" w:afterAutospacing="0" w:line="360" w:lineRule="auto"/>
              <w:ind w:left="0" w:right="58"/>
              <w:jc w:val="left"/>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企业应当在资产负债表日对预计负债的账面价值进行</w:t>
            </w:r>
            <w:r>
              <w:rPr>
                <w:rFonts w:hint="default" w:ascii="宋体" w:hAnsi="宋体" w:eastAsia="宋体" w:cs="宋体"/>
                <w:color w:val="FF0000"/>
                <w:kern w:val="2"/>
                <w:sz w:val="21"/>
                <w:szCs w:val="21"/>
              </w:rPr>
              <w:t>复核</w:t>
            </w:r>
            <w:r>
              <w:rPr>
                <w:rFonts w:hint="default" w:ascii="宋体" w:hAnsi="宋体" w:eastAsia="宋体" w:cs="宋体"/>
                <w:color w:val="auto"/>
                <w:kern w:val="2"/>
                <w:sz w:val="21"/>
                <w:szCs w:val="21"/>
              </w:rPr>
              <w:t>，有确凿证据表明该账面价值不能真实反映当前最佳估计数的，应当按照当前最佳估计数对该账面价值进行</w:t>
            </w:r>
            <w:r>
              <w:rPr>
                <w:rFonts w:hint="default" w:ascii="宋体" w:hAnsi="宋体" w:eastAsia="宋体" w:cs="宋体"/>
                <w:color w:val="FF0000"/>
                <w:kern w:val="2"/>
                <w:sz w:val="21"/>
                <w:szCs w:val="21"/>
              </w:rPr>
              <w:t>调整</w:t>
            </w:r>
            <w:r>
              <w:rPr>
                <w:rFonts w:hint="default" w:ascii="宋体" w:hAnsi="宋体" w:eastAsia="宋体" w:cs="宋体"/>
                <w:color w:val="auto"/>
                <w:kern w:val="2"/>
                <w:sz w:val="21"/>
                <w:szCs w:val="21"/>
              </w:rPr>
              <w:t>。</w:t>
            </w:r>
          </w:p>
        </w:tc>
      </w:tr>
    </w:tbl>
    <w:p w14:paraId="04B88868">
      <w:pPr>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left="0" w:firstLine="0"/>
        <w:textAlignment w:val="auto"/>
        <w:outlineLvl w:val="9"/>
        <w:rPr>
          <w:rFonts w:hint="eastAsia" w:ascii="宋体" w:hAnsi="宋体" w:eastAsia="宋体" w:cs="宋体"/>
          <w:color w:val="auto"/>
          <w:sz w:val="21"/>
          <w:szCs w:val="21"/>
        </w:rPr>
      </w:pPr>
    </w:p>
    <w:p w14:paraId="6E2DB435">
      <w:pPr>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left="0" w:firstLine="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考点</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或有事项会计处理原则的应用</w:t>
      </w:r>
    </w:p>
    <w:tbl>
      <w:tblPr>
        <w:tblStyle w:val="6"/>
        <w:tblW w:w="499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5842"/>
        <w:gridCol w:w="4280"/>
      </w:tblGrid>
      <w:tr w14:paraId="2E440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34" w:hRule="atLeast"/>
        </w:trPr>
        <w:tc>
          <w:tcPr>
            <w:tcW w:w="2885" w:type="pct"/>
            <w:vMerge w:val="restart"/>
            <w:shd w:val="clear" w:color="auto" w:fill="auto"/>
            <w:tcMar>
              <w:top w:w="71" w:type="dxa"/>
              <w:left w:w="110" w:type="dxa"/>
              <w:bottom w:w="71" w:type="dxa"/>
              <w:right w:w="110" w:type="dxa"/>
            </w:tcMar>
            <w:vAlign w:val="center"/>
          </w:tcPr>
          <w:p w14:paraId="05EA3030">
            <w:pPr>
              <w:pStyle w:val="5"/>
              <w:keepNext w:val="0"/>
              <w:keepLines w:val="0"/>
              <w:widowControl/>
              <w:suppressLineNumbers w:val="0"/>
              <w:kinsoku/>
              <w:wordWrap/>
              <w:overflowPunct/>
              <w:bidi w:val="0"/>
              <w:spacing w:before="0" w:beforeAutospacing="0" w:after="0" w:afterAutospacing="0" w:line="288" w:lineRule="auto"/>
              <w:ind w:left="0" w:right="58"/>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一般会计处理</w:t>
            </w:r>
            <w:r>
              <w:rPr>
                <w:rFonts w:hint="default" w:ascii="宋体" w:hAnsi="宋体" w:eastAsia="宋体" w:cs="宋体"/>
                <w:color w:val="auto"/>
                <w:kern w:val="2"/>
                <w:sz w:val="21"/>
                <w:szCs w:val="21"/>
              </w:rPr>
              <w:t>：</w:t>
            </w:r>
          </w:p>
          <w:p w14:paraId="64E98F07">
            <w:pPr>
              <w:pStyle w:val="5"/>
              <w:keepNext w:val="0"/>
              <w:keepLines w:val="0"/>
              <w:widowControl/>
              <w:suppressLineNumbers w:val="0"/>
              <w:kinsoku/>
              <w:wordWrap/>
              <w:overflowPunct/>
              <w:bidi w:val="0"/>
              <w:spacing w:before="0" w:beforeAutospacing="0" w:after="0" w:afterAutospacing="0" w:line="288" w:lineRule="auto"/>
              <w:ind w:left="0" w:right="58"/>
              <w:jc w:val="left"/>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借：管理费用——诉讼费　</w:t>
            </w:r>
          </w:p>
          <w:p w14:paraId="031D2A13">
            <w:pPr>
              <w:pStyle w:val="5"/>
              <w:keepNext w:val="0"/>
              <w:keepLines w:val="0"/>
              <w:widowControl/>
              <w:suppressLineNumbers w:val="0"/>
              <w:kinsoku/>
              <w:wordWrap/>
              <w:overflowPunct/>
              <w:bidi w:val="0"/>
              <w:spacing w:before="0" w:beforeAutospacing="0" w:after="0" w:afterAutospacing="0" w:line="288" w:lineRule="auto"/>
              <w:ind w:left="0" w:right="58" w:firstLine="0"/>
              <w:jc w:val="left"/>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 xml:space="preserve">　　营业外支出——罚息、赔款支出；担保；　　  </w:t>
            </w:r>
          </w:p>
          <w:p w14:paraId="0C1562B2">
            <w:pPr>
              <w:pStyle w:val="5"/>
              <w:keepNext w:val="0"/>
              <w:keepLines w:val="0"/>
              <w:widowControl/>
              <w:suppressLineNumbers w:val="0"/>
              <w:kinsoku/>
              <w:wordWrap/>
              <w:overflowPunct/>
              <w:bidi w:val="0"/>
              <w:spacing w:before="0" w:beforeAutospacing="0" w:after="0" w:afterAutospacing="0" w:line="288" w:lineRule="auto"/>
              <w:ind w:left="0" w:right="58" w:firstLine="0"/>
              <w:jc w:val="left"/>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 xml:space="preserve">       主营业务成本——产品质量保证；亏损合同</w:t>
            </w:r>
          </w:p>
          <w:p w14:paraId="497BD8CF">
            <w:pPr>
              <w:pStyle w:val="5"/>
              <w:keepNext w:val="0"/>
              <w:keepLines w:val="0"/>
              <w:widowControl/>
              <w:suppressLineNumbers w:val="0"/>
              <w:kinsoku/>
              <w:wordWrap/>
              <w:overflowPunct/>
              <w:bidi w:val="0"/>
              <w:spacing w:before="0" w:beforeAutospacing="0" w:after="0" w:afterAutospacing="0" w:line="288" w:lineRule="auto"/>
              <w:ind w:left="0" w:right="58"/>
              <w:jc w:val="left"/>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贷：预计负债——未决诉讼　</w:t>
            </w:r>
          </w:p>
        </w:tc>
        <w:tc>
          <w:tcPr>
            <w:tcW w:w="2114" w:type="pct"/>
            <w:shd w:val="clear" w:color="auto" w:fill="auto"/>
            <w:tcMar>
              <w:top w:w="71" w:type="dxa"/>
              <w:left w:w="110" w:type="dxa"/>
              <w:bottom w:w="71" w:type="dxa"/>
              <w:right w:w="110" w:type="dxa"/>
            </w:tcMar>
            <w:vAlign w:val="center"/>
          </w:tcPr>
          <w:p w14:paraId="6530384B">
            <w:pPr>
              <w:pStyle w:val="5"/>
              <w:keepNext w:val="0"/>
              <w:keepLines w:val="0"/>
              <w:widowControl/>
              <w:suppressLineNumbers w:val="0"/>
              <w:kinsoku/>
              <w:wordWrap/>
              <w:overflowPunct/>
              <w:bidi w:val="0"/>
              <w:spacing w:before="0" w:beforeAutospacing="0" w:after="0" w:afterAutospacing="0" w:line="288" w:lineRule="auto"/>
              <w:ind w:left="0" w:right="58"/>
              <w:jc w:val="left"/>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基本确定第三方赔款　</w:t>
            </w:r>
          </w:p>
          <w:p w14:paraId="1D507BD2">
            <w:pPr>
              <w:pStyle w:val="5"/>
              <w:keepNext w:val="0"/>
              <w:keepLines w:val="0"/>
              <w:widowControl/>
              <w:suppressLineNumbers w:val="0"/>
              <w:kinsoku/>
              <w:wordWrap/>
              <w:overflowPunct/>
              <w:bidi w:val="0"/>
              <w:spacing w:before="0" w:beforeAutospacing="0" w:after="0" w:afterAutospacing="0" w:line="288" w:lineRule="auto"/>
              <w:ind w:left="0" w:right="58"/>
              <w:jc w:val="left"/>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借：其他应收款</w:t>
            </w:r>
          </w:p>
          <w:p w14:paraId="3C27C5CE">
            <w:pPr>
              <w:pStyle w:val="5"/>
              <w:keepNext w:val="0"/>
              <w:keepLines w:val="0"/>
              <w:widowControl/>
              <w:suppressLineNumbers w:val="0"/>
              <w:kinsoku/>
              <w:wordWrap/>
              <w:overflowPunct/>
              <w:bidi w:val="0"/>
              <w:spacing w:before="0" w:beforeAutospacing="0" w:after="0" w:afterAutospacing="0" w:line="288" w:lineRule="auto"/>
              <w:ind w:left="0" w:right="58"/>
              <w:jc w:val="left"/>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　　贷：营业外支出</w:t>
            </w:r>
          </w:p>
        </w:tc>
      </w:tr>
      <w:tr w14:paraId="238C6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34" w:hRule="atLeast"/>
        </w:trPr>
        <w:tc>
          <w:tcPr>
            <w:tcW w:w="2885" w:type="pct"/>
            <w:vMerge w:val="continue"/>
            <w:shd w:val="clear" w:color="auto" w:fill="auto"/>
            <w:tcMar>
              <w:top w:w="71" w:type="dxa"/>
              <w:left w:w="110" w:type="dxa"/>
              <w:bottom w:w="71" w:type="dxa"/>
              <w:right w:w="110" w:type="dxa"/>
            </w:tcMar>
            <w:vAlign w:val="center"/>
          </w:tcPr>
          <w:p w14:paraId="5D4C251F">
            <w:pPr>
              <w:rPr>
                <w:rFonts w:hint="eastAsia" w:ascii="宋体" w:hAnsi="宋体" w:eastAsia="宋体" w:cs="宋体"/>
                <w:color w:val="auto"/>
                <w:kern w:val="2"/>
                <w:sz w:val="21"/>
                <w:szCs w:val="21"/>
              </w:rPr>
            </w:pPr>
          </w:p>
        </w:tc>
        <w:tc>
          <w:tcPr>
            <w:tcW w:w="2114" w:type="pct"/>
            <w:shd w:val="clear" w:color="auto" w:fill="auto"/>
            <w:tcMar>
              <w:top w:w="71" w:type="dxa"/>
              <w:left w:w="110" w:type="dxa"/>
              <w:bottom w:w="71" w:type="dxa"/>
              <w:right w:w="110" w:type="dxa"/>
            </w:tcMar>
            <w:vAlign w:val="center"/>
          </w:tcPr>
          <w:p w14:paraId="12D5D01E">
            <w:pPr>
              <w:pStyle w:val="5"/>
              <w:keepNext w:val="0"/>
              <w:keepLines w:val="0"/>
              <w:widowControl/>
              <w:suppressLineNumbers w:val="0"/>
              <w:kinsoku/>
              <w:wordWrap/>
              <w:overflowPunct/>
              <w:bidi w:val="0"/>
              <w:spacing w:before="0" w:beforeAutospacing="0" w:after="0" w:afterAutospacing="0" w:line="288" w:lineRule="auto"/>
              <w:ind w:left="0" w:right="58"/>
              <w:jc w:val="left"/>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法院宣判　</w:t>
            </w:r>
          </w:p>
          <w:p w14:paraId="3291EF30">
            <w:pPr>
              <w:pStyle w:val="5"/>
              <w:keepNext w:val="0"/>
              <w:keepLines w:val="0"/>
              <w:widowControl/>
              <w:suppressLineNumbers w:val="0"/>
              <w:kinsoku/>
              <w:wordWrap/>
              <w:overflowPunct/>
              <w:bidi w:val="0"/>
              <w:spacing w:before="0" w:beforeAutospacing="0" w:after="0" w:afterAutospacing="0" w:line="288" w:lineRule="auto"/>
              <w:ind w:left="0" w:right="58"/>
              <w:jc w:val="left"/>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借：营业外支出</w:t>
            </w:r>
          </w:p>
          <w:p w14:paraId="31FBC379">
            <w:pPr>
              <w:pStyle w:val="5"/>
              <w:keepNext w:val="0"/>
              <w:keepLines w:val="0"/>
              <w:widowControl/>
              <w:suppressLineNumbers w:val="0"/>
              <w:kinsoku/>
              <w:wordWrap/>
              <w:overflowPunct/>
              <w:bidi w:val="0"/>
              <w:spacing w:before="0" w:beforeAutospacing="0" w:after="0" w:afterAutospacing="0" w:line="288" w:lineRule="auto"/>
              <w:ind w:left="0" w:right="58"/>
              <w:jc w:val="left"/>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　　预计负债</w:t>
            </w:r>
          </w:p>
          <w:p w14:paraId="5C584273">
            <w:pPr>
              <w:pStyle w:val="5"/>
              <w:keepNext w:val="0"/>
              <w:keepLines w:val="0"/>
              <w:widowControl/>
              <w:suppressLineNumbers w:val="0"/>
              <w:kinsoku/>
              <w:wordWrap/>
              <w:overflowPunct/>
              <w:bidi w:val="0"/>
              <w:spacing w:before="0" w:beforeAutospacing="0" w:after="0" w:afterAutospacing="0" w:line="288" w:lineRule="auto"/>
              <w:ind w:left="0" w:right="58"/>
              <w:jc w:val="left"/>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　　贷：其他应付款</w:t>
            </w:r>
          </w:p>
        </w:tc>
      </w:tr>
      <w:tr w14:paraId="3F84C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39" w:hRule="atLeast"/>
        </w:trPr>
        <w:tc>
          <w:tcPr>
            <w:tcW w:w="2885" w:type="pct"/>
            <w:shd w:val="clear" w:color="auto" w:fill="auto"/>
            <w:tcMar>
              <w:top w:w="71" w:type="dxa"/>
              <w:left w:w="110" w:type="dxa"/>
              <w:bottom w:w="71" w:type="dxa"/>
              <w:right w:w="110" w:type="dxa"/>
            </w:tcMar>
            <w:vAlign w:val="center"/>
          </w:tcPr>
          <w:p w14:paraId="0D2777C6">
            <w:pPr>
              <w:pStyle w:val="5"/>
              <w:keepNext w:val="0"/>
              <w:keepLines w:val="0"/>
              <w:widowControl/>
              <w:suppressLineNumbers w:val="0"/>
              <w:kinsoku/>
              <w:wordWrap/>
              <w:overflowPunct/>
              <w:bidi w:val="0"/>
              <w:spacing w:before="0" w:beforeAutospacing="0" w:after="0" w:afterAutospacing="0" w:line="288" w:lineRule="auto"/>
              <w:ind w:left="0" w:right="58"/>
              <w:jc w:val="left"/>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发生产品质量保证费用（维修费）</w:t>
            </w:r>
          </w:p>
          <w:p w14:paraId="7FD2AB21">
            <w:pPr>
              <w:pStyle w:val="5"/>
              <w:keepNext w:val="0"/>
              <w:keepLines w:val="0"/>
              <w:widowControl/>
              <w:suppressLineNumbers w:val="0"/>
              <w:kinsoku/>
              <w:wordWrap/>
              <w:overflowPunct/>
              <w:bidi w:val="0"/>
              <w:spacing w:before="0" w:beforeAutospacing="0" w:after="0" w:afterAutospacing="0" w:line="288" w:lineRule="auto"/>
              <w:ind w:left="0" w:right="58"/>
              <w:jc w:val="left"/>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借：预计负债——产品质量保证</w:t>
            </w:r>
          </w:p>
          <w:p w14:paraId="27138DC2">
            <w:pPr>
              <w:pStyle w:val="5"/>
              <w:keepNext w:val="0"/>
              <w:keepLines w:val="0"/>
              <w:widowControl/>
              <w:suppressLineNumbers w:val="0"/>
              <w:kinsoku/>
              <w:wordWrap/>
              <w:overflowPunct/>
              <w:bidi w:val="0"/>
              <w:spacing w:before="0" w:beforeAutospacing="0" w:after="0" w:afterAutospacing="0" w:line="288" w:lineRule="auto"/>
              <w:ind w:left="0" w:right="58"/>
              <w:jc w:val="left"/>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　　贷：银行存款</w:t>
            </w:r>
          </w:p>
          <w:p w14:paraId="115D9042">
            <w:pPr>
              <w:pStyle w:val="5"/>
              <w:keepNext w:val="0"/>
              <w:keepLines w:val="0"/>
              <w:widowControl/>
              <w:suppressLineNumbers w:val="0"/>
              <w:kinsoku/>
              <w:wordWrap/>
              <w:overflowPunct/>
              <w:bidi w:val="0"/>
              <w:spacing w:before="0" w:beforeAutospacing="0" w:after="0" w:afterAutospacing="0" w:line="288" w:lineRule="auto"/>
              <w:ind w:left="0" w:right="58"/>
              <w:jc w:val="left"/>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　            原材料</w:t>
            </w:r>
          </w:p>
        </w:tc>
        <w:tc>
          <w:tcPr>
            <w:tcW w:w="2114" w:type="pct"/>
            <w:shd w:val="clear" w:color="auto" w:fill="auto"/>
            <w:tcMar>
              <w:top w:w="71" w:type="dxa"/>
              <w:left w:w="110" w:type="dxa"/>
              <w:bottom w:w="71" w:type="dxa"/>
              <w:right w:w="110" w:type="dxa"/>
            </w:tcMar>
            <w:vAlign w:val="center"/>
          </w:tcPr>
          <w:p w14:paraId="79B7AAAD">
            <w:pPr>
              <w:pStyle w:val="5"/>
              <w:keepNext w:val="0"/>
              <w:keepLines w:val="0"/>
              <w:widowControl/>
              <w:suppressLineNumbers w:val="0"/>
              <w:kinsoku/>
              <w:wordWrap/>
              <w:overflowPunct/>
              <w:bidi w:val="0"/>
              <w:spacing w:before="0" w:beforeAutospacing="0" w:after="0" w:afterAutospacing="0" w:line="288" w:lineRule="auto"/>
              <w:ind w:left="0" w:right="58"/>
              <w:jc w:val="left"/>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支付款项　</w:t>
            </w:r>
          </w:p>
          <w:p w14:paraId="06DE0109">
            <w:pPr>
              <w:pStyle w:val="5"/>
              <w:keepNext w:val="0"/>
              <w:keepLines w:val="0"/>
              <w:widowControl/>
              <w:suppressLineNumbers w:val="0"/>
              <w:kinsoku/>
              <w:wordWrap/>
              <w:overflowPunct/>
              <w:bidi w:val="0"/>
              <w:spacing w:before="0" w:beforeAutospacing="0" w:after="0" w:afterAutospacing="0" w:line="288" w:lineRule="auto"/>
              <w:ind w:left="0" w:right="58"/>
              <w:jc w:val="left"/>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借：其他应付款</w:t>
            </w:r>
          </w:p>
          <w:p w14:paraId="546D461F">
            <w:pPr>
              <w:pStyle w:val="5"/>
              <w:keepNext w:val="0"/>
              <w:keepLines w:val="0"/>
              <w:widowControl/>
              <w:suppressLineNumbers w:val="0"/>
              <w:kinsoku/>
              <w:wordWrap/>
              <w:overflowPunct/>
              <w:bidi w:val="0"/>
              <w:spacing w:before="0" w:beforeAutospacing="0" w:after="0" w:afterAutospacing="0" w:line="288" w:lineRule="auto"/>
              <w:ind w:left="0" w:right="58"/>
              <w:jc w:val="left"/>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　　贷：银行存款</w:t>
            </w:r>
          </w:p>
        </w:tc>
      </w:tr>
    </w:tbl>
    <w:p w14:paraId="69515C27">
      <w:pPr>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left="0" w:firstLine="0"/>
        <w:textAlignment w:val="auto"/>
        <w:outlineLvl w:val="9"/>
        <w:rPr>
          <w:rFonts w:hint="eastAsia" w:ascii="宋体" w:hAnsi="宋体" w:eastAsia="宋体" w:cs="宋体"/>
          <w:b/>
          <w:color w:val="auto"/>
          <w:sz w:val="21"/>
          <w:szCs w:val="21"/>
          <w:lang w:eastAsia="zh-CN"/>
        </w:rPr>
      </w:pP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3020"/>
        <w:gridCol w:w="3874"/>
        <w:gridCol w:w="3248"/>
      </w:tblGrid>
      <w:tr w14:paraId="64CCD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5000" w:type="pct"/>
            <w:gridSpan w:val="3"/>
            <w:shd w:val="clear" w:color="auto" w:fill="auto"/>
            <w:tcMar>
              <w:top w:w="71" w:type="dxa"/>
              <w:left w:w="110" w:type="dxa"/>
              <w:bottom w:w="71" w:type="dxa"/>
              <w:right w:w="110" w:type="dxa"/>
            </w:tcMar>
            <w:vAlign w:val="center"/>
          </w:tcPr>
          <w:p w14:paraId="33A57981">
            <w:pPr>
              <w:pStyle w:val="5"/>
              <w:keepNext w:val="0"/>
              <w:keepLines w:val="0"/>
              <w:widowControl/>
              <w:suppressLineNumbers w:val="0"/>
              <w:kinsoku/>
              <w:wordWrap/>
              <w:overflowPunct/>
              <w:bidi w:val="0"/>
              <w:spacing w:before="0" w:beforeAutospacing="0" w:after="0" w:afterAutospacing="0" w:line="288" w:lineRule="auto"/>
              <w:ind w:left="0" w:right="58"/>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亏损合同　</w:t>
            </w:r>
          </w:p>
        </w:tc>
      </w:tr>
      <w:tr w14:paraId="775AC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20" w:hRule="atLeast"/>
        </w:trPr>
        <w:tc>
          <w:tcPr>
            <w:tcW w:w="1489" w:type="pct"/>
            <w:shd w:val="clear" w:color="auto" w:fill="auto"/>
            <w:tcMar>
              <w:top w:w="71" w:type="dxa"/>
              <w:left w:w="110" w:type="dxa"/>
              <w:bottom w:w="71" w:type="dxa"/>
              <w:right w:w="110" w:type="dxa"/>
            </w:tcMar>
            <w:vAlign w:val="center"/>
          </w:tcPr>
          <w:p w14:paraId="517805BD">
            <w:pPr>
              <w:pStyle w:val="5"/>
              <w:keepNext w:val="0"/>
              <w:keepLines w:val="0"/>
              <w:widowControl/>
              <w:suppressLineNumbers w:val="0"/>
              <w:kinsoku/>
              <w:wordWrap/>
              <w:overflowPunct/>
              <w:bidi w:val="0"/>
              <w:spacing w:before="0" w:beforeAutospacing="0" w:after="0" w:afterAutospacing="0" w:line="288" w:lineRule="auto"/>
              <w:ind w:left="0" w:right="58"/>
              <w:jc w:val="left"/>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违约金小于产品亏损　</w:t>
            </w:r>
          </w:p>
        </w:tc>
        <w:tc>
          <w:tcPr>
            <w:tcW w:w="1910" w:type="pct"/>
            <w:shd w:val="clear" w:color="auto" w:fill="auto"/>
            <w:tcMar>
              <w:top w:w="71" w:type="dxa"/>
              <w:left w:w="110" w:type="dxa"/>
              <w:bottom w:w="71" w:type="dxa"/>
              <w:right w:w="110" w:type="dxa"/>
            </w:tcMar>
            <w:vAlign w:val="center"/>
          </w:tcPr>
          <w:p w14:paraId="0C43D8FC">
            <w:pPr>
              <w:pStyle w:val="5"/>
              <w:keepNext w:val="0"/>
              <w:keepLines w:val="0"/>
              <w:widowControl/>
              <w:suppressLineNumbers w:val="0"/>
              <w:kinsoku/>
              <w:wordWrap/>
              <w:overflowPunct/>
              <w:bidi w:val="0"/>
              <w:spacing w:before="0" w:beforeAutospacing="0" w:after="0" w:afterAutospacing="0" w:line="288" w:lineRule="auto"/>
              <w:ind w:left="0" w:right="58"/>
              <w:jc w:val="left"/>
              <w:rPr>
                <w:rFonts w:hint="default" w:ascii="宋体" w:hAnsi="宋体" w:eastAsia="宋体" w:cs="宋体"/>
                <w:color w:val="auto"/>
                <w:kern w:val="2"/>
                <w:sz w:val="21"/>
                <w:szCs w:val="21"/>
              </w:rPr>
            </w:pPr>
            <w:r>
              <w:rPr>
                <w:rFonts w:hint="default" w:ascii="宋体" w:hAnsi="宋体" w:eastAsia="宋体" w:cs="宋体"/>
                <w:color w:val="auto"/>
                <w:kern w:val="2"/>
                <w:sz w:val="21"/>
                <w:szCs w:val="21"/>
              </w:rPr>
              <w:t>借：主营业务成本　　</w:t>
            </w:r>
          </w:p>
          <w:p w14:paraId="3DE09890">
            <w:pPr>
              <w:pStyle w:val="5"/>
              <w:keepNext w:val="0"/>
              <w:keepLines w:val="0"/>
              <w:widowControl/>
              <w:suppressLineNumbers w:val="0"/>
              <w:kinsoku/>
              <w:wordWrap/>
              <w:overflowPunct/>
              <w:bidi w:val="0"/>
              <w:spacing w:before="0" w:beforeAutospacing="0" w:after="0" w:afterAutospacing="0" w:line="288" w:lineRule="auto"/>
              <w:ind w:left="0" w:right="58" w:firstLine="420" w:firstLineChars="200"/>
              <w:jc w:val="left"/>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贷：预计负债</w:t>
            </w:r>
          </w:p>
        </w:tc>
        <w:tc>
          <w:tcPr>
            <w:tcW w:w="1600" w:type="pct"/>
            <w:shd w:val="clear" w:color="auto" w:fill="auto"/>
            <w:tcMar>
              <w:top w:w="71" w:type="dxa"/>
              <w:left w:w="110" w:type="dxa"/>
              <w:bottom w:w="71" w:type="dxa"/>
              <w:right w:w="110" w:type="dxa"/>
            </w:tcMar>
            <w:vAlign w:val="center"/>
          </w:tcPr>
          <w:p w14:paraId="7DA03E33">
            <w:pPr>
              <w:pStyle w:val="5"/>
              <w:keepNext w:val="0"/>
              <w:keepLines w:val="0"/>
              <w:widowControl/>
              <w:suppressLineNumbers w:val="0"/>
              <w:kinsoku/>
              <w:wordWrap/>
              <w:overflowPunct/>
              <w:bidi w:val="0"/>
              <w:spacing w:before="0" w:beforeAutospacing="0" w:after="0" w:afterAutospacing="0" w:line="288" w:lineRule="auto"/>
              <w:ind w:left="0" w:right="58"/>
              <w:jc w:val="left"/>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支付违约金时</w:t>
            </w:r>
          </w:p>
          <w:p w14:paraId="7DFB643D">
            <w:pPr>
              <w:pStyle w:val="5"/>
              <w:keepNext w:val="0"/>
              <w:keepLines w:val="0"/>
              <w:widowControl/>
              <w:suppressLineNumbers w:val="0"/>
              <w:kinsoku/>
              <w:wordWrap/>
              <w:overflowPunct/>
              <w:bidi w:val="0"/>
              <w:spacing w:before="0" w:beforeAutospacing="0" w:after="0" w:afterAutospacing="0" w:line="288" w:lineRule="auto"/>
              <w:ind w:left="0" w:right="58"/>
              <w:jc w:val="left"/>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借：预计负债</w:t>
            </w:r>
          </w:p>
          <w:p w14:paraId="0C1E771A">
            <w:pPr>
              <w:pStyle w:val="5"/>
              <w:keepNext w:val="0"/>
              <w:keepLines w:val="0"/>
              <w:widowControl/>
              <w:suppressLineNumbers w:val="0"/>
              <w:kinsoku/>
              <w:wordWrap/>
              <w:overflowPunct/>
              <w:bidi w:val="0"/>
              <w:spacing w:before="0" w:beforeAutospacing="0" w:after="0" w:afterAutospacing="0" w:line="288" w:lineRule="auto"/>
              <w:ind w:left="0" w:right="58"/>
              <w:jc w:val="left"/>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　　贷：银行存款</w:t>
            </w:r>
          </w:p>
        </w:tc>
      </w:tr>
    </w:tbl>
    <w:p w14:paraId="1B75EE9A">
      <w:pPr>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left="0" w:firstLine="0"/>
        <w:textAlignment w:val="auto"/>
        <w:outlineLvl w:val="9"/>
        <w:rPr>
          <w:rFonts w:hint="eastAsia" w:ascii="宋体" w:hAnsi="宋体" w:eastAsia="宋体" w:cs="宋体"/>
          <w:b/>
          <w:color w:val="auto"/>
          <w:sz w:val="21"/>
          <w:szCs w:val="21"/>
          <w:lang w:eastAsia="zh-CN"/>
        </w:rPr>
      </w:pPr>
    </w:p>
    <w:tbl>
      <w:tblPr>
        <w:tblStyle w:val="6"/>
        <w:tblW w:w="500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1861"/>
        <w:gridCol w:w="4768"/>
        <w:gridCol w:w="3515"/>
      </w:tblGrid>
      <w:tr w14:paraId="7CF95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1" w:hRule="atLeast"/>
        </w:trPr>
        <w:tc>
          <w:tcPr>
            <w:tcW w:w="917" w:type="pct"/>
            <w:vMerge w:val="restart"/>
            <w:shd w:val="clear" w:color="auto" w:fill="auto"/>
            <w:tcMar>
              <w:top w:w="71" w:type="dxa"/>
              <w:left w:w="110" w:type="dxa"/>
              <w:bottom w:w="71" w:type="dxa"/>
              <w:right w:w="110" w:type="dxa"/>
            </w:tcMar>
            <w:vAlign w:val="center"/>
          </w:tcPr>
          <w:p w14:paraId="5A776413">
            <w:pPr>
              <w:pStyle w:val="5"/>
              <w:keepNext w:val="0"/>
              <w:keepLines w:val="0"/>
              <w:widowControl/>
              <w:suppressLineNumbers w:val="0"/>
              <w:kinsoku/>
              <w:wordWrap/>
              <w:overflowPunct/>
              <w:bidi w:val="0"/>
              <w:spacing w:before="0" w:beforeAutospacing="0" w:after="0" w:afterAutospacing="0" w:line="288" w:lineRule="auto"/>
              <w:ind w:left="0" w:right="58"/>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 xml:space="preserve">违约金大于合同 </w:t>
            </w:r>
          </w:p>
          <w:p w14:paraId="7690E74C">
            <w:pPr>
              <w:pStyle w:val="5"/>
              <w:keepNext w:val="0"/>
              <w:keepLines w:val="0"/>
              <w:widowControl/>
              <w:suppressLineNumbers w:val="0"/>
              <w:kinsoku/>
              <w:wordWrap/>
              <w:overflowPunct/>
              <w:bidi w:val="0"/>
              <w:spacing w:before="0" w:beforeAutospacing="0" w:after="0" w:afterAutospacing="0" w:line="288" w:lineRule="auto"/>
              <w:ind w:left="0" w:right="58"/>
              <w:jc w:val="left"/>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 xml:space="preserve">亏损 </w:t>
            </w:r>
          </w:p>
        </w:tc>
        <w:tc>
          <w:tcPr>
            <w:tcW w:w="2349" w:type="pct"/>
            <w:shd w:val="clear" w:color="auto" w:fill="auto"/>
            <w:tcMar>
              <w:top w:w="71" w:type="dxa"/>
              <w:left w:w="110" w:type="dxa"/>
              <w:bottom w:w="71" w:type="dxa"/>
              <w:right w:w="110" w:type="dxa"/>
            </w:tcMar>
            <w:vAlign w:val="center"/>
          </w:tcPr>
          <w:p w14:paraId="215DAF54">
            <w:pPr>
              <w:pStyle w:val="5"/>
              <w:keepNext w:val="0"/>
              <w:keepLines w:val="0"/>
              <w:widowControl/>
              <w:suppressLineNumbers w:val="0"/>
              <w:kinsoku/>
              <w:wordWrap/>
              <w:overflowPunct/>
              <w:bidi w:val="0"/>
              <w:spacing w:before="0" w:beforeAutospacing="0" w:after="0" w:afterAutospacing="0" w:line="288" w:lineRule="auto"/>
              <w:ind w:left="0" w:right="58"/>
              <w:jc w:val="left"/>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（1）有标的部分，合同为亏损合同，确认减值损失</w:t>
            </w:r>
          </w:p>
          <w:p w14:paraId="779D91AC">
            <w:pPr>
              <w:pStyle w:val="5"/>
              <w:keepNext w:val="0"/>
              <w:keepLines w:val="0"/>
              <w:widowControl/>
              <w:suppressLineNumbers w:val="0"/>
              <w:kinsoku/>
              <w:wordWrap/>
              <w:overflowPunct/>
              <w:bidi w:val="0"/>
              <w:spacing w:before="0" w:beforeAutospacing="0" w:after="0" w:afterAutospacing="0" w:line="288" w:lineRule="auto"/>
              <w:ind w:left="0" w:right="58"/>
              <w:jc w:val="left"/>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合同数量≤标的数量</w:t>
            </w:r>
          </w:p>
        </w:tc>
        <w:tc>
          <w:tcPr>
            <w:tcW w:w="1732" w:type="pct"/>
            <w:shd w:val="clear" w:color="auto" w:fill="auto"/>
            <w:tcMar>
              <w:top w:w="71" w:type="dxa"/>
              <w:left w:w="110" w:type="dxa"/>
              <w:bottom w:w="71" w:type="dxa"/>
              <w:right w:w="110" w:type="dxa"/>
            </w:tcMar>
            <w:vAlign w:val="center"/>
          </w:tcPr>
          <w:p w14:paraId="6D402007">
            <w:pPr>
              <w:pStyle w:val="5"/>
              <w:keepNext w:val="0"/>
              <w:keepLines w:val="0"/>
              <w:widowControl/>
              <w:suppressLineNumbers w:val="0"/>
              <w:kinsoku/>
              <w:wordWrap/>
              <w:overflowPunct/>
              <w:bidi w:val="0"/>
              <w:spacing w:before="0" w:beforeAutospacing="0" w:after="0" w:afterAutospacing="0" w:line="288" w:lineRule="auto"/>
              <w:ind w:left="0" w:right="58"/>
              <w:jc w:val="left"/>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借：资产减值损失</w:t>
            </w:r>
          </w:p>
          <w:p w14:paraId="778A124B">
            <w:pPr>
              <w:pStyle w:val="5"/>
              <w:keepNext w:val="0"/>
              <w:keepLines w:val="0"/>
              <w:widowControl/>
              <w:suppressLineNumbers w:val="0"/>
              <w:kinsoku/>
              <w:wordWrap/>
              <w:overflowPunct/>
              <w:bidi w:val="0"/>
              <w:spacing w:before="0" w:beforeAutospacing="0" w:after="0" w:afterAutospacing="0" w:line="288" w:lineRule="auto"/>
              <w:ind w:left="0" w:right="58"/>
              <w:jc w:val="left"/>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　　贷：存货跌价准备</w:t>
            </w:r>
          </w:p>
        </w:tc>
      </w:tr>
      <w:tr w14:paraId="2AB98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8" w:hRule="atLeast"/>
        </w:trPr>
        <w:tc>
          <w:tcPr>
            <w:tcW w:w="917" w:type="pct"/>
            <w:vMerge w:val="continue"/>
            <w:shd w:val="clear" w:color="auto" w:fill="auto"/>
            <w:tcMar>
              <w:top w:w="71" w:type="dxa"/>
              <w:left w:w="110" w:type="dxa"/>
              <w:bottom w:w="71" w:type="dxa"/>
              <w:right w:w="110" w:type="dxa"/>
            </w:tcMar>
            <w:vAlign w:val="center"/>
          </w:tcPr>
          <w:p w14:paraId="7CB94FEF">
            <w:pPr>
              <w:rPr>
                <w:rFonts w:hint="eastAsia" w:ascii="宋体" w:hAnsi="宋体" w:eastAsia="宋体" w:cs="宋体"/>
                <w:color w:val="auto"/>
                <w:kern w:val="2"/>
                <w:sz w:val="21"/>
                <w:szCs w:val="21"/>
              </w:rPr>
            </w:pPr>
          </w:p>
        </w:tc>
        <w:tc>
          <w:tcPr>
            <w:tcW w:w="2349" w:type="pct"/>
            <w:shd w:val="clear" w:color="auto" w:fill="auto"/>
            <w:tcMar>
              <w:top w:w="71" w:type="dxa"/>
              <w:left w:w="110" w:type="dxa"/>
              <w:bottom w:w="71" w:type="dxa"/>
              <w:right w:w="110" w:type="dxa"/>
            </w:tcMar>
            <w:vAlign w:val="center"/>
          </w:tcPr>
          <w:p w14:paraId="01EAA51F">
            <w:pPr>
              <w:pStyle w:val="5"/>
              <w:keepNext w:val="0"/>
              <w:keepLines w:val="0"/>
              <w:widowControl/>
              <w:suppressLineNumbers w:val="0"/>
              <w:kinsoku/>
              <w:wordWrap/>
              <w:overflowPunct/>
              <w:bidi w:val="0"/>
              <w:spacing w:before="0" w:beforeAutospacing="0" w:after="0" w:afterAutospacing="0" w:line="288" w:lineRule="auto"/>
              <w:ind w:left="0" w:right="58"/>
              <w:jc w:val="left"/>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（2）合同数量＞标的数量；无标的部分，合同为亏损合同，确认预计负债</w:t>
            </w:r>
          </w:p>
        </w:tc>
        <w:tc>
          <w:tcPr>
            <w:tcW w:w="1732" w:type="pct"/>
            <w:shd w:val="clear" w:color="auto" w:fill="auto"/>
            <w:tcMar>
              <w:top w:w="71" w:type="dxa"/>
              <w:left w:w="110" w:type="dxa"/>
              <w:bottom w:w="71" w:type="dxa"/>
              <w:right w:w="110" w:type="dxa"/>
            </w:tcMar>
            <w:vAlign w:val="center"/>
          </w:tcPr>
          <w:p w14:paraId="79716661">
            <w:pPr>
              <w:pStyle w:val="5"/>
              <w:keepNext w:val="0"/>
              <w:keepLines w:val="0"/>
              <w:widowControl/>
              <w:suppressLineNumbers w:val="0"/>
              <w:kinsoku/>
              <w:wordWrap/>
              <w:overflowPunct/>
              <w:bidi w:val="0"/>
              <w:spacing w:before="0" w:beforeAutospacing="0" w:after="0" w:afterAutospacing="0" w:line="288" w:lineRule="auto"/>
              <w:ind w:left="0" w:right="58"/>
              <w:jc w:val="left"/>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标的部分</w:t>
            </w:r>
          </w:p>
          <w:p w14:paraId="2CFADCFA">
            <w:pPr>
              <w:pStyle w:val="5"/>
              <w:keepNext w:val="0"/>
              <w:keepLines w:val="0"/>
              <w:widowControl/>
              <w:suppressLineNumbers w:val="0"/>
              <w:kinsoku/>
              <w:wordWrap/>
              <w:overflowPunct/>
              <w:bidi w:val="0"/>
              <w:spacing w:before="0" w:beforeAutospacing="0" w:after="0" w:afterAutospacing="0" w:line="288" w:lineRule="auto"/>
              <w:ind w:left="0" w:right="58"/>
              <w:jc w:val="left"/>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借：资产减值损失</w:t>
            </w:r>
          </w:p>
          <w:p w14:paraId="0CB045AC">
            <w:pPr>
              <w:pStyle w:val="5"/>
              <w:keepNext w:val="0"/>
              <w:keepLines w:val="0"/>
              <w:widowControl/>
              <w:suppressLineNumbers w:val="0"/>
              <w:kinsoku/>
              <w:wordWrap/>
              <w:overflowPunct/>
              <w:bidi w:val="0"/>
              <w:spacing w:before="0" w:beforeAutospacing="0" w:after="0" w:afterAutospacing="0" w:line="288" w:lineRule="auto"/>
              <w:ind w:left="0" w:right="58"/>
              <w:jc w:val="left"/>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　　贷：存货跌价准备</w:t>
            </w:r>
          </w:p>
          <w:p w14:paraId="2C903C67">
            <w:pPr>
              <w:pStyle w:val="5"/>
              <w:keepNext w:val="0"/>
              <w:keepLines w:val="0"/>
              <w:widowControl/>
              <w:suppressLineNumbers w:val="0"/>
              <w:kinsoku/>
              <w:wordWrap/>
              <w:overflowPunct/>
              <w:bidi w:val="0"/>
              <w:spacing w:before="0" w:beforeAutospacing="0" w:after="0" w:afterAutospacing="0" w:line="288" w:lineRule="auto"/>
              <w:ind w:left="0" w:right="58"/>
              <w:jc w:val="left"/>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超过标的部分</w:t>
            </w:r>
          </w:p>
          <w:p w14:paraId="15BC5C80">
            <w:pPr>
              <w:pStyle w:val="5"/>
              <w:keepNext w:val="0"/>
              <w:keepLines w:val="0"/>
              <w:widowControl/>
              <w:suppressLineNumbers w:val="0"/>
              <w:kinsoku/>
              <w:wordWrap/>
              <w:overflowPunct/>
              <w:bidi w:val="0"/>
              <w:spacing w:before="0" w:beforeAutospacing="0" w:after="0" w:afterAutospacing="0" w:line="288" w:lineRule="auto"/>
              <w:ind w:left="0" w:right="58"/>
              <w:jc w:val="left"/>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 xml:space="preserve">借：主营业务成本　　    </w:t>
            </w:r>
            <w:r>
              <w:rPr>
                <w:rFonts w:hint="default" w:ascii="宋体" w:hAnsi="宋体" w:eastAsia="宋体" w:cs="宋体"/>
                <w:color w:val="auto"/>
                <w:kern w:val="2"/>
                <w:sz w:val="21"/>
                <w:szCs w:val="21"/>
              </w:rPr>
              <w:br w:type="textWrapping"/>
            </w:r>
            <w:r>
              <w:rPr>
                <w:rFonts w:hint="default" w:ascii="宋体" w:hAnsi="宋体" w:eastAsia="宋体" w:cs="宋体"/>
                <w:color w:val="auto"/>
                <w:kern w:val="2"/>
                <w:sz w:val="21"/>
                <w:szCs w:val="21"/>
              </w:rPr>
              <w:t xml:space="preserve">    贷：预计负债</w:t>
            </w:r>
          </w:p>
        </w:tc>
      </w:tr>
      <w:tr w14:paraId="6500D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trPr>
        <w:tc>
          <w:tcPr>
            <w:tcW w:w="917" w:type="pct"/>
            <w:vMerge w:val="continue"/>
            <w:shd w:val="clear" w:color="auto" w:fill="auto"/>
            <w:tcMar>
              <w:top w:w="71" w:type="dxa"/>
              <w:left w:w="110" w:type="dxa"/>
              <w:bottom w:w="71" w:type="dxa"/>
              <w:right w:w="110" w:type="dxa"/>
            </w:tcMar>
            <w:vAlign w:val="center"/>
          </w:tcPr>
          <w:p w14:paraId="7F7DB6E7">
            <w:pPr>
              <w:rPr>
                <w:rFonts w:hint="default" w:ascii="宋体" w:hAnsi="宋体" w:eastAsia="宋体" w:cs="宋体"/>
                <w:color w:val="auto"/>
                <w:kern w:val="2"/>
                <w:sz w:val="21"/>
                <w:szCs w:val="21"/>
              </w:rPr>
            </w:pPr>
          </w:p>
        </w:tc>
        <w:tc>
          <w:tcPr>
            <w:tcW w:w="2349" w:type="pct"/>
            <w:shd w:val="clear" w:color="auto" w:fill="auto"/>
            <w:tcMar>
              <w:top w:w="71" w:type="dxa"/>
              <w:left w:w="110" w:type="dxa"/>
              <w:bottom w:w="71" w:type="dxa"/>
              <w:right w:w="110" w:type="dxa"/>
            </w:tcMar>
            <w:vAlign w:val="center"/>
          </w:tcPr>
          <w:p w14:paraId="62983FE5">
            <w:pPr>
              <w:pStyle w:val="5"/>
              <w:keepNext w:val="0"/>
              <w:keepLines w:val="0"/>
              <w:widowControl/>
              <w:suppressLineNumbers w:val="0"/>
              <w:kinsoku/>
              <w:wordWrap/>
              <w:overflowPunct/>
              <w:bidi w:val="0"/>
              <w:spacing w:before="0" w:beforeAutospacing="0" w:after="0" w:afterAutospacing="0" w:line="288" w:lineRule="auto"/>
              <w:ind w:left="0" w:right="58"/>
              <w:jc w:val="left"/>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在产品生产出来后，将预计负债冲减成本</w:t>
            </w:r>
          </w:p>
        </w:tc>
        <w:tc>
          <w:tcPr>
            <w:tcW w:w="1732" w:type="pct"/>
            <w:shd w:val="clear" w:color="auto" w:fill="auto"/>
            <w:tcMar>
              <w:top w:w="71" w:type="dxa"/>
              <w:left w:w="110" w:type="dxa"/>
              <w:bottom w:w="71" w:type="dxa"/>
              <w:right w:w="110" w:type="dxa"/>
            </w:tcMar>
            <w:vAlign w:val="center"/>
          </w:tcPr>
          <w:p w14:paraId="5A57F4D7">
            <w:pPr>
              <w:pStyle w:val="5"/>
              <w:keepNext w:val="0"/>
              <w:keepLines w:val="0"/>
              <w:widowControl/>
              <w:suppressLineNumbers w:val="0"/>
              <w:kinsoku/>
              <w:wordWrap/>
              <w:overflowPunct/>
              <w:bidi w:val="0"/>
              <w:spacing w:before="0" w:beforeAutospacing="0" w:after="0" w:afterAutospacing="0" w:line="288" w:lineRule="auto"/>
              <w:ind w:left="0" w:right="58"/>
              <w:jc w:val="left"/>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借：预计负债</w:t>
            </w:r>
          </w:p>
          <w:p w14:paraId="21C790CD">
            <w:pPr>
              <w:pStyle w:val="5"/>
              <w:keepNext w:val="0"/>
              <w:keepLines w:val="0"/>
              <w:widowControl/>
              <w:suppressLineNumbers w:val="0"/>
              <w:kinsoku/>
              <w:wordWrap/>
              <w:overflowPunct/>
              <w:bidi w:val="0"/>
              <w:spacing w:before="0" w:beforeAutospacing="0" w:after="0" w:afterAutospacing="0" w:line="288" w:lineRule="auto"/>
              <w:ind w:left="0" w:right="58"/>
              <w:jc w:val="left"/>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　　贷：库存商品</w:t>
            </w:r>
          </w:p>
        </w:tc>
      </w:tr>
    </w:tbl>
    <w:p w14:paraId="109D931A">
      <w:pPr>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left="0" w:firstLine="0"/>
        <w:textAlignment w:val="auto"/>
        <w:outlineLvl w:val="9"/>
        <w:rPr>
          <w:rFonts w:hint="eastAsia" w:ascii="宋体" w:hAnsi="宋体" w:eastAsia="宋体" w:cs="宋体"/>
          <w:b/>
          <w:color w:val="auto"/>
          <w:sz w:val="21"/>
          <w:szCs w:val="21"/>
          <w:lang w:eastAsia="zh-CN"/>
        </w:rPr>
      </w:pPr>
    </w:p>
    <w:tbl>
      <w:tblPr>
        <w:tblStyle w:val="6"/>
        <w:tblW w:w="498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1934"/>
        <w:gridCol w:w="8171"/>
      </w:tblGrid>
      <w:tr w14:paraId="765D2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92" w:hRule="atLeast"/>
        </w:trPr>
        <w:tc>
          <w:tcPr>
            <w:tcW w:w="957" w:type="pct"/>
            <w:vMerge w:val="restart"/>
            <w:shd w:val="clear" w:color="auto" w:fill="auto"/>
            <w:tcMar>
              <w:top w:w="71" w:type="dxa"/>
              <w:left w:w="110" w:type="dxa"/>
              <w:bottom w:w="71" w:type="dxa"/>
              <w:right w:w="110" w:type="dxa"/>
            </w:tcMar>
            <w:vAlign w:val="center"/>
          </w:tcPr>
          <w:p w14:paraId="01472A1C">
            <w:pPr>
              <w:pStyle w:val="5"/>
              <w:keepNext w:val="0"/>
              <w:keepLines w:val="0"/>
              <w:widowControl/>
              <w:suppressLineNumbers w:val="0"/>
              <w:kinsoku/>
              <w:wordWrap/>
              <w:overflowPunct/>
              <w:bidi w:val="0"/>
              <w:spacing w:before="0" w:beforeAutospacing="0" w:after="0" w:afterAutospacing="0" w:line="360" w:lineRule="auto"/>
              <w:ind w:left="0" w:right="58"/>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重组义务</w:t>
            </w:r>
          </w:p>
        </w:tc>
        <w:tc>
          <w:tcPr>
            <w:tcW w:w="4042" w:type="pct"/>
            <w:shd w:val="clear" w:color="auto" w:fill="auto"/>
            <w:tcMar>
              <w:top w:w="71" w:type="dxa"/>
              <w:left w:w="110" w:type="dxa"/>
              <w:bottom w:w="71" w:type="dxa"/>
              <w:right w:w="110" w:type="dxa"/>
            </w:tcMar>
            <w:vAlign w:val="center"/>
          </w:tcPr>
          <w:p w14:paraId="3D8FA568">
            <w:pPr>
              <w:pStyle w:val="5"/>
              <w:keepNext w:val="0"/>
              <w:keepLines w:val="0"/>
              <w:widowControl/>
              <w:suppressLineNumbers w:val="0"/>
              <w:kinsoku/>
              <w:wordWrap/>
              <w:overflowPunct/>
              <w:bidi w:val="0"/>
              <w:spacing w:before="0" w:beforeAutospacing="0" w:after="0" w:afterAutospacing="0" w:line="360" w:lineRule="auto"/>
              <w:ind w:left="0" w:right="58"/>
              <w:jc w:val="left"/>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企业应当按照与重组有关的直接支出确定预计负债金额。</w:t>
            </w:r>
          </w:p>
        </w:tc>
      </w:tr>
      <w:tr w14:paraId="0A03A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66" w:hRule="atLeast"/>
        </w:trPr>
        <w:tc>
          <w:tcPr>
            <w:tcW w:w="957" w:type="pct"/>
            <w:vMerge w:val="continue"/>
            <w:shd w:val="clear" w:color="auto" w:fill="auto"/>
            <w:tcMar>
              <w:top w:w="71" w:type="dxa"/>
              <w:left w:w="110" w:type="dxa"/>
              <w:bottom w:w="71" w:type="dxa"/>
              <w:right w:w="110" w:type="dxa"/>
            </w:tcMar>
            <w:vAlign w:val="center"/>
          </w:tcPr>
          <w:p w14:paraId="316A79D2">
            <w:pPr>
              <w:rPr>
                <w:rFonts w:hint="eastAsia" w:ascii="宋体" w:hAnsi="宋体" w:eastAsia="宋体" w:cs="宋体"/>
                <w:color w:val="auto"/>
                <w:kern w:val="2"/>
                <w:sz w:val="21"/>
                <w:szCs w:val="21"/>
              </w:rPr>
            </w:pPr>
          </w:p>
        </w:tc>
        <w:tc>
          <w:tcPr>
            <w:tcW w:w="4042" w:type="pct"/>
            <w:shd w:val="clear" w:color="auto" w:fill="auto"/>
            <w:tcMar>
              <w:top w:w="71" w:type="dxa"/>
              <w:left w:w="110" w:type="dxa"/>
              <w:bottom w:w="71" w:type="dxa"/>
              <w:right w:w="110" w:type="dxa"/>
            </w:tcMar>
            <w:vAlign w:val="center"/>
          </w:tcPr>
          <w:p w14:paraId="3BD83C1D">
            <w:pPr>
              <w:pStyle w:val="5"/>
              <w:keepNext w:val="0"/>
              <w:keepLines w:val="0"/>
              <w:widowControl/>
              <w:suppressLineNumbers w:val="0"/>
              <w:kinsoku/>
              <w:wordWrap/>
              <w:overflowPunct/>
              <w:bidi w:val="0"/>
              <w:spacing w:before="0" w:beforeAutospacing="0" w:after="0" w:afterAutospacing="0" w:line="360" w:lineRule="auto"/>
              <w:ind w:left="0" w:right="58"/>
              <w:jc w:val="left"/>
              <w:rPr>
                <w:rFonts w:hint="eastAsia" w:ascii="宋体" w:hAnsi="宋体" w:eastAsia="宋体" w:cs="宋体"/>
                <w:color w:val="auto"/>
                <w:kern w:val="2"/>
                <w:sz w:val="21"/>
                <w:szCs w:val="21"/>
              </w:rPr>
            </w:pPr>
            <w:r>
              <w:rPr>
                <w:rFonts w:hint="default" w:ascii="宋体" w:hAnsi="宋体" w:eastAsia="宋体" w:cs="宋体"/>
                <w:color w:val="FF0000"/>
                <w:kern w:val="2"/>
                <w:sz w:val="21"/>
                <w:szCs w:val="21"/>
              </w:rPr>
              <w:t>直接支出</w:t>
            </w:r>
            <w:r>
              <w:rPr>
                <w:rFonts w:hint="default" w:ascii="宋体" w:hAnsi="宋体" w:eastAsia="宋体" w:cs="宋体"/>
                <w:color w:val="auto"/>
                <w:kern w:val="2"/>
                <w:sz w:val="21"/>
                <w:szCs w:val="21"/>
              </w:rPr>
              <w:t>是企业重组必须承担的直接支出，并且是与主体继续进行的活动无关的支出，包括遣散费、将不再使用厂房的租赁撤销费等</w:t>
            </w:r>
          </w:p>
        </w:tc>
      </w:tr>
      <w:tr w14:paraId="1BED2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4" w:hRule="atLeast"/>
        </w:trPr>
        <w:tc>
          <w:tcPr>
            <w:tcW w:w="957" w:type="pct"/>
            <w:vMerge w:val="continue"/>
            <w:shd w:val="clear" w:color="auto" w:fill="auto"/>
            <w:tcMar>
              <w:top w:w="71" w:type="dxa"/>
              <w:left w:w="110" w:type="dxa"/>
              <w:bottom w:w="71" w:type="dxa"/>
              <w:right w:w="110" w:type="dxa"/>
            </w:tcMar>
            <w:vAlign w:val="center"/>
          </w:tcPr>
          <w:p w14:paraId="63472C7B">
            <w:pPr>
              <w:rPr>
                <w:rFonts w:hint="default" w:ascii="宋体" w:hAnsi="宋体" w:eastAsia="宋体" w:cs="宋体"/>
                <w:color w:val="auto"/>
                <w:kern w:val="2"/>
                <w:sz w:val="21"/>
                <w:szCs w:val="21"/>
              </w:rPr>
            </w:pPr>
          </w:p>
        </w:tc>
        <w:tc>
          <w:tcPr>
            <w:tcW w:w="4042" w:type="pct"/>
            <w:shd w:val="clear" w:color="auto" w:fill="auto"/>
            <w:tcMar>
              <w:top w:w="71" w:type="dxa"/>
              <w:left w:w="110" w:type="dxa"/>
              <w:bottom w:w="71" w:type="dxa"/>
              <w:right w:w="110" w:type="dxa"/>
            </w:tcMar>
            <w:vAlign w:val="center"/>
          </w:tcPr>
          <w:p w14:paraId="13848CA7">
            <w:pPr>
              <w:pStyle w:val="5"/>
              <w:keepNext w:val="0"/>
              <w:keepLines w:val="0"/>
              <w:widowControl/>
              <w:suppressLineNumbers w:val="0"/>
              <w:kinsoku/>
              <w:wordWrap/>
              <w:overflowPunct/>
              <w:bidi w:val="0"/>
              <w:spacing w:before="0" w:beforeAutospacing="0" w:after="0" w:afterAutospacing="0" w:line="360" w:lineRule="auto"/>
              <w:ind w:left="0" w:right="58"/>
              <w:jc w:val="left"/>
              <w:rPr>
                <w:rFonts w:hint="eastAsia" w:ascii="宋体" w:hAnsi="宋体" w:eastAsia="宋体" w:cs="宋体"/>
                <w:color w:val="auto"/>
                <w:kern w:val="2"/>
                <w:sz w:val="21"/>
                <w:szCs w:val="21"/>
              </w:rPr>
            </w:pPr>
            <w:r>
              <w:rPr>
                <w:rFonts w:hint="default" w:ascii="宋体" w:hAnsi="宋体" w:eastAsia="宋体" w:cs="宋体"/>
                <w:color w:val="auto"/>
                <w:kern w:val="2"/>
                <w:sz w:val="21"/>
                <w:szCs w:val="21"/>
              </w:rPr>
              <w:t>不包括留用职工岗前培训、市场推广、新系统和营销网络投入等支出。</w:t>
            </w:r>
          </w:p>
        </w:tc>
      </w:tr>
    </w:tbl>
    <w:p w14:paraId="3E905501">
      <w:pPr>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left="0" w:firstLine="0"/>
        <w:textAlignment w:val="auto"/>
        <w:outlineLvl w:val="9"/>
        <w:rPr>
          <w:rFonts w:hint="eastAsia" w:ascii="宋体" w:hAnsi="宋体" w:eastAsia="宋体" w:cs="宋体"/>
          <w:b/>
          <w:color w:val="auto"/>
          <w:sz w:val="21"/>
          <w:szCs w:val="21"/>
          <w:lang w:eastAsia="zh-CN"/>
        </w:rPr>
      </w:pPr>
    </w:p>
    <w:p w14:paraId="161E22CB">
      <w:pPr>
        <w:keepNext w:val="0"/>
        <w:keepLines w:val="0"/>
        <w:pageBreakBefore w:val="0"/>
        <w:widowControl w:val="0"/>
        <w:kinsoku/>
        <w:wordWrap/>
        <w:overflowPunct/>
        <w:topLinePunct w:val="0"/>
        <w:autoSpaceDE w:val="0"/>
        <w:autoSpaceDN w:val="0"/>
        <w:bidi w:val="0"/>
        <w:adjustRightInd w:val="0"/>
        <w:snapToGrid/>
        <w:spacing w:line="360" w:lineRule="auto"/>
        <w:ind w:left="0" w:firstLine="0"/>
        <w:textAlignment w:val="auto"/>
        <w:outlineLvl w:val="9"/>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rPr>
        <w:t>第十三章  收入</w:t>
      </w:r>
      <w:r>
        <w:rPr>
          <w:rFonts w:hint="eastAsia" w:ascii="宋体" w:hAnsi="宋体" w:eastAsia="宋体" w:cs="宋体"/>
          <w:b/>
          <w:color w:val="auto"/>
          <w:sz w:val="21"/>
          <w:szCs w:val="21"/>
          <w:lang w:val="en-US" w:eastAsia="zh-CN"/>
        </w:rPr>
        <w:t xml:space="preserve">  </w:t>
      </w:r>
    </w:p>
    <w:p w14:paraId="36B1533C">
      <w:pPr>
        <w:keepNext w:val="0"/>
        <w:keepLines w:val="0"/>
        <w:pageBreakBefore w:val="0"/>
        <w:widowControl w:val="0"/>
        <w:kinsoku/>
        <w:wordWrap/>
        <w:overflowPunct/>
        <w:topLinePunct w:val="0"/>
        <w:autoSpaceDE w:val="0"/>
        <w:autoSpaceDN w:val="0"/>
        <w:bidi w:val="0"/>
        <w:adjustRightInd w:val="0"/>
        <w:snapToGrid/>
        <w:spacing w:line="360" w:lineRule="auto"/>
        <w:ind w:left="0" w:firstLine="0"/>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rPr>
        <w:t>预计今年考核主观题和客观题，分值为</w:t>
      </w:r>
      <w:r>
        <w:rPr>
          <w:rFonts w:hint="eastAsia" w:ascii="宋体" w:hAnsi="宋体" w:eastAsia="宋体" w:cs="宋体"/>
          <w:color w:val="auto"/>
          <w:sz w:val="21"/>
          <w:szCs w:val="21"/>
          <w:lang w:val="en-US" w:eastAsia="zh-CN"/>
        </w:rPr>
        <w:t>6-18</w:t>
      </w:r>
      <w:r>
        <w:rPr>
          <w:rFonts w:hint="eastAsia" w:ascii="宋体" w:hAnsi="宋体" w:eastAsia="宋体" w:cs="宋体"/>
          <w:color w:val="auto"/>
          <w:sz w:val="21"/>
          <w:szCs w:val="21"/>
        </w:rPr>
        <w:t>分。</w:t>
      </w:r>
    </w:p>
    <w:p w14:paraId="1701E11F">
      <w:pPr>
        <w:keepNext w:val="0"/>
        <w:keepLines w:val="0"/>
        <w:pageBreakBefore w:val="0"/>
        <w:widowControl w:val="0"/>
        <w:kinsoku/>
        <w:wordWrap/>
        <w:overflowPunct/>
        <w:topLinePunct w:val="0"/>
        <w:autoSpaceDE w:val="0"/>
        <w:autoSpaceDN w:val="0"/>
        <w:bidi w:val="0"/>
        <w:adjustRightInd w:val="0"/>
        <w:snapToGrid/>
        <w:spacing w:line="360" w:lineRule="auto"/>
        <w:ind w:left="0" w:firstLine="0"/>
        <w:textAlignment w:val="auto"/>
        <w:outlineLvl w:val="9"/>
        <w:rPr>
          <w:rFonts w:hint="eastAsia" w:ascii="宋体" w:hAnsi="宋体" w:eastAsia="宋体" w:cs="宋体"/>
          <w:color w:val="FF0000"/>
          <w:sz w:val="21"/>
          <w:szCs w:val="21"/>
          <w:lang w:eastAsia="zh-CN"/>
        </w:rPr>
      </w:pPr>
      <w:r>
        <w:rPr>
          <w:rFonts w:hint="eastAsia" w:ascii="宋体" w:hAnsi="宋体" w:eastAsia="宋体" w:cs="宋体"/>
          <w:color w:val="FF0000"/>
          <w:sz w:val="21"/>
          <w:szCs w:val="21"/>
          <w:lang w:eastAsia="zh-CN"/>
        </w:rPr>
        <w:t>【考点】★★★收入的确认和计量五步法总述</w:t>
      </w:r>
    </w:p>
    <w:tbl>
      <w:tblPr>
        <w:tblStyle w:val="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1336"/>
        <w:gridCol w:w="7909"/>
        <w:gridCol w:w="953"/>
      </w:tblGrid>
      <w:tr w14:paraId="1EE5A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655" w:type="pct"/>
            <w:shd w:val="clear" w:color="auto" w:fill="auto"/>
            <w:tcMar>
              <w:top w:w="69" w:type="dxa"/>
              <w:left w:w="139" w:type="dxa"/>
              <w:bottom w:w="69" w:type="dxa"/>
              <w:right w:w="139" w:type="dxa"/>
            </w:tcMar>
            <w:vAlign w:val="center"/>
          </w:tcPr>
          <w:p w14:paraId="53429789">
            <w:pPr>
              <w:pStyle w:val="5"/>
              <w:keepNext w:val="0"/>
              <w:keepLines w:val="0"/>
              <w:pageBreakBefore w:val="0"/>
              <w:widowControl/>
              <w:suppressLineNumbers w:val="0"/>
              <w:kinsoku/>
              <w:wordWrap/>
              <w:overflowPunct/>
              <w:topLinePunct w:val="0"/>
              <w:bidi w:val="0"/>
              <w:snapToGrid/>
              <w:spacing w:before="0" w:beforeAutospacing="0" w:after="0" w:afterAutospacing="0" w:line="288" w:lineRule="auto"/>
              <w:ind w:left="0"/>
              <w:jc w:val="center"/>
              <w:textAlignment w:val="auto"/>
              <w:outlineLvl w:val="9"/>
              <w:rPr>
                <w:rFonts w:hint="eastAsia" w:ascii="宋体" w:hAnsi="宋体" w:eastAsia="宋体" w:cs="宋体"/>
                <w:sz w:val="21"/>
                <w:szCs w:val="21"/>
              </w:rPr>
            </w:pPr>
            <w:r>
              <w:rPr>
                <w:rFonts w:hint="eastAsia" w:ascii="宋体" w:hAnsi="宋体" w:eastAsia="宋体" w:cs="宋体"/>
                <w:b w:val="0"/>
                <w:bCs w:val="0"/>
                <w:i w:val="0"/>
                <w:iCs w:val="0"/>
                <w:color w:val="auto"/>
                <w:kern w:val="2"/>
                <w:sz w:val="21"/>
                <w:szCs w:val="21"/>
                <w:u w:val="none"/>
              </w:rPr>
              <w:t>第一步</w:t>
            </w:r>
          </w:p>
        </w:tc>
        <w:tc>
          <w:tcPr>
            <w:tcW w:w="3877" w:type="pct"/>
            <w:shd w:val="clear" w:color="auto" w:fill="auto"/>
            <w:tcMar>
              <w:top w:w="69" w:type="dxa"/>
              <w:left w:w="139" w:type="dxa"/>
              <w:bottom w:w="69" w:type="dxa"/>
              <w:right w:w="139" w:type="dxa"/>
            </w:tcMar>
            <w:vAlign w:val="center"/>
          </w:tcPr>
          <w:p w14:paraId="57AEF82F">
            <w:pPr>
              <w:pStyle w:val="5"/>
              <w:keepNext w:val="0"/>
              <w:keepLines w:val="0"/>
              <w:pageBreakBefore w:val="0"/>
              <w:widowControl/>
              <w:suppressLineNumbers w:val="0"/>
              <w:kinsoku/>
              <w:wordWrap/>
              <w:overflowPunct/>
              <w:topLinePunct w:val="0"/>
              <w:bidi w:val="0"/>
              <w:snapToGrid/>
              <w:spacing w:before="0" w:beforeAutospacing="0" w:after="0" w:afterAutospacing="0" w:line="288" w:lineRule="auto"/>
              <w:ind w:left="0"/>
              <w:jc w:val="left"/>
              <w:textAlignment w:val="auto"/>
              <w:outlineLvl w:val="9"/>
              <w:rPr>
                <w:rFonts w:hint="eastAsia" w:ascii="宋体" w:hAnsi="宋体" w:eastAsia="宋体" w:cs="宋体"/>
                <w:sz w:val="21"/>
                <w:szCs w:val="21"/>
              </w:rPr>
            </w:pPr>
            <w:r>
              <w:rPr>
                <w:rFonts w:hint="eastAsia" w:ascii="宋体" w:hAnsi="宋体" w:eastAsia="宋体" w:cs="宋体"/>
                <w:b w:val="0"/>
                <w:bCs w:val="0"/>
                <w:i w:val="0"/>
                <w:iCs w:val="0"/>
                <w:color w:val="auto"/>
                <w:kern w:val="2"/>
                <w:sz w:val="21"/>
                <w:szCs w:val="21"/>
                <w:u w:val="none"/>
              </w:rPr>
              <w:t>识别与客户订立的</w:t>
            </w:r>
            <w:r>
              <w:rPr>
                <w:rFonts w:hint="eastAsia" w:ascii="宋体" w:hAnsi="宋体" w:eastAsia="宋体" w:cs="宋体"/>
                <w:b w:val="0"/>
                <w:bCs w:val="0"/>
                <w:i w:val="0"/>
                <w:iCs w:val="0"/>
                <w:color w:val="FF0000"/>
                <w:kern w:val="2"/>
                <w:sz w:val="21"/>
                <w:szCs w:val="21"/>
                <w:u w:val="none"/>
              </w:rPr>
              <w:t>合同</w:t>
            </w:r>
          </w:p>
        </w:tc>
        <w:tc>
          <w:tcPr>
            <w:tcW w:w="467" w:type="pct"/>
            <w:vMerge w:val="restart"/>
            <w:shd w:val="clear" w:color="auto" w:fill="auto"/>
            <w:tcMar>
              <w:top w:w="69" w:type="dxa"/>
              <w:left w:w="139" w:type="dxa"/>
              <w:bottom w:w="69" w:type="dxa"/>
              <w:right w:w="139" w:type="dxa"/>
            </w:tcMar>
            <w:vAlign w:val="center"/>
          </w:tcPr>
          <w:p w14:paraId="51DA895F">
            <w:pPr>
              <w:pStyle w:val="5"/>
              <w:keepNext w:val="0"/>
              <w:keepLines w:val="0"/>
              <w:pageBreakBefore w:val="0"/>
              <w:widowControl/>
              <w:suppressLineNumbers w:val="0"/>
              <w:kinsoku/>
              <w:wordWrap/>
              <w:overflowPunct/>
              <w:topLinePunct w:val="0"/>
              <w:bidi w:val="0"/>
              <w:snapToGrid/>
              <w:spacing w:before="0" w:beforeAutospacing="0" w:after="0" w:afterAutospacing="0" w:line="288" w:lineRule="auto"/>
              <w:ind w:left="0"/>
              <w:jc w:val="center"/>
              <w:textAlignment w:val="auto"/>
              <w:outlineLvl w:val="9"/>
              <w:rPr>
                <w:rFonts w:hint="eastAsia" w:ascii="宋体" w:hAnsi="宋体" w:eastAsia="宋体" w:cs="宋体"/>
                <w:sz w:val="21"/>
                <w:szCs w:val="21"/>
              </w:rPr>
            </w:pPr>
            <w:r>
              <w:rPr>
                <w:rFonts w:hint="eastAsia" w:ascii="宋体" w:hAnsi="宋体" w:eastAsia="宋体" w:cs="宋体"/>
                <w:b w:val="0"/>
                <w:bCs w:val="0"/>
                <w:i w:val="0"/>
                <w:iCs w:val="0"/>
                <w:color w:val="auto"/>
                <w:kern w:val="2"/>
                <w:sz w:val="21"/>
                <w:szCs w:val="21"/>
                <w:u w:val="none"/>
              </w:rPr>
              <w:t>确认</w:t>
            </w:r>
          </w:p>
        </w:tc>
      </w:tr>
      <w:tr w14:paraId="5AA7C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655" w:type="pct"/>
            <w:shd w:val="clear" w:color="auto" w:fill="auto"/>
            <w:tcMar>
              <w:top w:w="69" w:type="dxa"/>
              <w:left w:w="139" w:type="dxa"/>
              <w:bottom w:w="69" w:type="dxa"/>
              <w:right w:w="139" w:type="dxa"/>
            </w:tcMar>
            <w:vAlign w:val="center"/>
          </w:tcPr>
          <w:p w14:paraId="1B92421F">
            <w:pPr>
              <w:pStyle w:val="5"/>
              <w:keepNext w:val="0"/>
              <w:keepLines w:val="0"/>
              <w:pageBreakBefore w:val="0"/>
              <w:widowControl/>
              <w:suppressLineNumbers w:val="0"/>
              <w:kinsoku/>
              <w:wordWrap/>
              <w:overflowPunct/>
              <w:topLinePunct w:val="0"/>
              <w:bidi w:val="0"/>
              <w:snapToGrid/>
              <w:spacing w:before="0" w:beforeAutospacing="0" w:after="0" w:afterAutospacing="0" w:line="288" w:lineRule="auto"/>
              <w:ind w:left="0"/>
              <w:jc w:val="center"/>
              <w:textAlignment w:val="auto"/>
              <w:outlineLvl w:val="9"/>
              <w:rPr>
                <w:rFonts w:hint="eastAsia" w:ascii="宋体" w:hAnsi="宋体" w:eastAsia="宋体" w:cs="宋体"/>
                <w:sz w:val="21"/>
                <w:szCs w:val="21"/>
              </w:rPr>
            </w:pPr>
            <w:r>
              <w:rPr>
                <w:rFonts w:hint="eastAsia" w:ascii="宋体" w:hAnsi="宋体" w:eastAsia="宋体" w:cs="宋体"/>
                <w:b w:val="0"/>
                <w:bCs w:val="0"/>
                <w:i w:val="0"/>
                <w:iCs w:val="0"/>
                <w:color w:val="auto"/>
                <w:kern w:val="2"/>
                <w:sz w:val="21"/>
                <w:szCs w:val="21"/>
                <w:u w:val="none"/>
              </w:rPr>
              <w:t xml:space="preserve">第二步 </w:t>
            </w:r>
          </w:p>
        </w:tc>
        <w:tc>
          <w:tcPr>
            <w:tcW w:w="3877" w:type="pct"/>
            <w:shd w:val="clear" w:color="auto" w:fill="auto"/>
            <w:tcMar>
              <w:top w:w="69" w:type="dxa"/>
              <w:left w:w="139" w:type="dxa"/>
              <w:bottom w:w="69" w:type="dxa"/>
              <w:right w:w="139" w:type="dxa"/>
            </w:tcMar>
            <w:vAlign w:val="center"/>
          </w:tcPr>
          <w:p w14:paraId="0BFE4BC2">
            <w:pPr>
              <w:pStyle w:val="5"/>
              <w:keepNext w:val="0"/>
              <w:keepLines w:val="0"/>
              <w:pageBreakBefore w:val="0"/>
              <w:widowControl/>
              <w:suppressLineNumbers w:val="0"/>
              <w:kinsoku/>
              <w:wordWrap/>
              <w:overflowPunct/>
              <w:topLinePunct w:val="0"/>
              <w:bidi w:val="0"/>
              <w:snapToGrid/>
              <w:spacing w:before="0" w:beforeAutospacing="0" w:after="0" w:afterAutospacing="0" w:line="288" w:lineRule="auto"/>
              <w:ind w:left="0"/>
              <w:jc w:val="left"/>
              <w:textAlignment w:val="auto"/>
              <w:outlineLvl w:val="9"/>
              <w:rPr>
                <w:rFonts w:hint="eastAsia" w:ascii="宋体" w:hAnsi="宋体" w:eastAsia="宋体" w:cs="宋体"/>
                <w:sz w:val="21"/>
                <w:szCs w:val="21"/>
              </w:rPr>
            </w:pPr>
            <w:r>
              <w:rPr>
                <w:rFonts w:hint="eastAsia" w:ascii="宋体" w:hAnsi="宋体" w:eastAsia="宋体" w:cs="宋体"/>
                <w:b w:val="0"/>
                <w:bCs w:val="0"/>
                <w:i w:val="0"/>
                <w:iCs w:val="0"/>
                <w:color w:val="auto"/>
                <w:kern w:val="2"/>
                <w:sz w:val="21"/>
                <w:szCs w:val="21"/>
                <w:u w:val="none"/>
              </w:rPr>
              <w:t>识别合同中的</w:t>
            </w:r>
            <w:r>
              <w:rPr>
                <w:rFonts w:hint="eastAsia" w:ascii="宋体" w:hAnsi="宋体" w:eastAsia="宋体" w:cs="宋体"/>
                <w:b w:val="0"/>
                <w:bCs w:val="0"/>
                <w:i w:val="0"/>
                <w:iCs w:val="0"/>
                <w:color w:val="FF0000"/>
                <w:kern w:val="2"/>
                <w:sz w:val="21"/>
                <w:szCs w:val="21"/>
                <w:u w:val="none"/>
              </w:rPr>
              <w:t>单项履约义务</w:t>
            </w:r>
          </w:p>
        </w:tc>
        <w:tc>
          <w:tcPr>
            <w:tcW w:w="467" w:type="pct"/>
            <w:vMerge w:val="continue"/>
            <w:shd w:val="clear" w:color="auto" w:fill="auto"/>
            <w:tcMar>
              <w:top w:w="69" w:type="dxa"/>
              <w:left w:w="139" w:type="dxa"/>
              <w:bottom w:w="69" w:type="dxa"/>
              <w:right w:w="139" w:type="dxa"/>
            </w:tcMar>
            <w:vAlign w:val="center"/>
          </w:tcPr>
          <w:p w14:paraId="6E0931C3">
            <w:pPr>
              <w:keepNext w:val="0"/>
              <w:keepLines w:val="0"/>
              <w:pageBreakBefore w:val="0"/>
              <w:kinsoku/>
              <w:wordWrap/>
              <w:overflowPunct/>
              <w:topLinePunct w:val="0"/>
              <w:bidi w:val="0"/>
              <w:snapToGrid/>
              <w:spacing w:before="0" w:beforeLines="0" w:after="0" w:afterLines="0"/>
              <w:jc w:val="center"/>
              <w:textAlignment w:val="auto"/>
              <w:outlineLvl w:val="9"/>
              <w:rPr>
                <w:rFonts w:hint="eastAsia" w:ascii="宋体" w:hAnsi="宋体" w:eastAsia="宋体" w:cs="宋体"/>
                <w:i w:val="0"/>
                <w:iCs w:val="0"/>
                <w:color w:val="auto"/>
                <w:sz w:val="21"/>
                <w:szCs w:val="21"/>
                <w:u w:val="none"/>
              </w:rPr>
            </w:pPr>
          </w:p>
        </w:tc>
      </w:tr>
      <w:tr w14:paraId="3A784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655" w:type="pct"/>
            <w:shd w:val="clear" w:color="auto" w:fill="auto"/>
            <w:tcMar>
              <w:top w:w="69" w:type="dxa"/>
              <w:left w:w="139" w:type="dxa"/>
              <w:bottom w:w="69" w:type="dxa"/>
              <w:right w:w="139" w:type="dxa"/>
            </w:tcMar>
            <w:vAlign w:val="center"/>
          </w:tcPr>
          <w:p w14:paraId="60BEB7FD">
            <w:pPr>
              <w:pStyle w:val="5"/>
              <w:keepNext w:val="0"/>
              <w:keepLines w:val="0"/>
              <w:pageBreakBefore w:val="0"/>
              <w:widowControl/>
              <w:suppressLineNumbers w:val="0"/>
              <w:kinsoku/>
              <w:wordWrap/>
              <w:overflowPunct/>
              <w:topLinePunct w:val="0"/>
              <w:bidi w:val="0"/>
              <w:snapToGrid/>
              <w:spacing w:before="0" w:beforeAutospacing="0" w:after="0" w:afterAutospacing="0" w:line="288" w:lineRule="auto"/>
              <w:ind w:left="0"/>
              <w:jc w:val="center"/>
              <w:textAlignment w:val="auto"/>
              <w:outlineLvl w:val="9"/>
              <w:rPr>
                <w:rFonts w:hint="eastAsia" w:ascii="宋体" w:hAnsi="宋体" w:eastAsia="宋体" w:cs="宋体"/>
                <w:sz w:val="21"/>
                <w:szCs w:val="21"/>
              </w:rPr>
            </w:pPr>
            <w:r>
              <w:rPr>
                <w:rFonts w:hint="eastAsia" w:ascii="宋体" w:hAnsi="宋体" w:eastAsia="宋体" w:cs="宋体"/>
                <w:b w:val="0"/>
                <w:bCs w:val="0"/>
                <w:i w:val="0"/>
                <w:iCs w:val="0"/>
                <w:color w:val="auto"/>
                <w:kern w:val="2"/>
                <w:sz w:val="21"/>
                <w:szCs w:val="21"/>
                <w:u w:val="none"/>
              </w:rPr>
              <w:t xml:space="preserve">第三步 </w:t>
            </w:r>
          </w:p>
        </w:tc>
        <w:tc>
          <w:tcPr>
            <w:tcW w:w="3877" w:type="pct"/>
            <w:shd w:val="clear" w:color="auto" w:fill="auto"/>
            <w:tcMar>
              <w:top w:w="69" w:type="dxa"/>
              <w:left w:w="139" w:type="dxa"/>
              <w:bottom w:w="69" w:type="dxa"/>
              <w:right w:w="139" w:type="dxa"/>
            </w:tcMar>
            <w:vAlign w:val="center"/>
          </w:tcPr>
          <w:p w14:paraId="6A08B270">
            <w:pPr>
              <w:pStyle w:val="5"/>
              <w:keepNext w:val="0"/>
              <w:keepLines w:val="0"/>
              <w:pageBreakBefore w:val="0"/>
              <w:widowControl/>
              <w:suppressLineNumbers w:val="0"/>
              <w:kinsoku/>
              <w:wordWrap/>
              <w:overflowPunct/>
              <w:topLinePunct w:val="0"/>
              <w:bidi w:val="0"/>
              <w:snapToGrid/>
              <w:spacing w:before="0" w:beforeAutospacing="0" w:after="0" w:afterAutospacing="0" w:line="288" w:lineRule="auto"/>
              <w:ind w:left="0"/>
              <w:jc w:val="left"/>
              <w:textAlignment w:val="auto"/>
              <w:outlineLvl w:val="9"/>
              <w:rPr>
                <w:rFonts w:hint="eastAsia" w:ascii="宋体" w:hAnsi="宋体" w:eastAsia="宋体" w:cs="宋体"/>
                <w:sz w:val="21"/>
                <w:szCs w:val="21"/>
              </w:rPr>
            </w:pPr>
            <w:r>
              <w:rPr>
                <w:rFonts w:hint="eastAsia" w:ascii="宋体" w:hAnsi="宋体" w:eastAsia="宋体" w:cs="宋体"/>
                <w:b w:val="0"/>
                <w:bCs w:val="0"/>
                <w:i w:val="0"/>
                <w:iCs w:val="0"/>
                <w:color w:val="auto"/>
                <w:kern w:val="2"/>
                <w:sz w:val="21"/>
                <w:szCs w:val="21"/>
                <w:u w:val="none"/>
              </w:rPr>
              <w:t>确定交易价格</w:t>
            </w:r>
          </w:p>
        </w:tc>
        <w:tc>
          <w:tcPr>
            <w:tcW w:w="467" w:type="pct"/>
            <w:vMerge w:val="restart"/>
            <w:shd w:val="clear" w:color="auto" w:fill="auto"/>
            <w:tcMar>
              <w:top w:w="69" w:type="dxa"/>
              <w:left w:w="139" w:type="dxa"/>
              <w:bottom w:w="69" w:type="dxa"/>
              <w:right w:w="139" w:type="dxa"/>
            </w:tcMar>
            <w:vAlign w:val="center"/>
          </w:tcPr>
          <w:p w14:paraId="680E9B0E">
            <w:pPr>
              <w:pStyle w:val="5"/>
              <w:keepNext w:val="0"/>
              <w:keepLines w:val="0"/>
              <w:pageBreakBefore w:val="0"/>
              <w:widowControl/>
              <w:suppressLineNumbers w:val="0"/>
              <w:kinsoku/>
              <w:wordWrap/>
              <w:overflowPunct/>
              <w:topLinePunct w:val="0"/>
              <w:bidi w:val="0"/>
              <w:snapToGrid/>
              <w:spacing w:before="0" w:beforeAutospacing="0" w:after="0" w:afterAutospacing="0" w:line="288" w:lineRule="auto"/>
              <w:ind w:left="0"/>
              <w:jc w:val="center"/>
              <w:textAlignment w:val="auto"/>
              <w:outlineLvl w:val="9"/>
              <w:rPr>
                <w:rFonts w:hint="eastAsia" w:ascii="宋体" w:hAnsi="宋体" w:eastAsia="宋体" w:cs="宋体"/>
                <w:sz w:val="21"/>
                <w:szCs w:val="21"/>
              </w:rPr>
            </w:pPr>
            <w:r>
              <w:rPr>
                <w:rFonts w:hint="eastAsia" w:ascii="宋体" w:hAnsi="宋体" w:eastAsia="宋体" w:cs="宋体"/>
                <w:b w:val="0"/>
                <w:bCs w:val="0"/>
                <w:i w:val="0"/>
                <w:iCs w:val="0"/>
                <w:color w:val="auto"/>
                <w:kern w:val="2"/>
                <w:sz w:val="21"/>
                <w:szCs w:val="21"/>
                <w:u w:val="none"/>
              </w:rPr>
              <w:t>计量</w:t>
            </w:r>
          </w:p>
        </w:tc>
      </w:tr>
      <w:tr w14:paraId="3E418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655" w:type="pct"/>
            <w:shd w:val="clear" w:color="auto" w:fill="auto"/>
            <w:tcMar>
              <w:top w:w="69" w:type="dxa"/>
              <w:left w:w="139" w:type="dxa"/>
              <w:bottom w:w="69" w:type="dxa"/>
              <w:right w:w="139" w:type="dxa"/>
            </w:tcMar>
            <w:vAlign w:val="center"/>
          </w:tcPr>
          <w:p w14:paraId="6F9E82CE">
            <w:pPr>
              <w:pStyle w:val="5"/>
              <w:keepNext w:val="0"/>
              <w:keepLines w:val="0"/>
              <w:pageBreakBefore w:val="0"/>
              <w:widowControl/>
              <w:suppressLineNumbers w:val="0"/>
              <w:kinsoku/>
              <w:wordWrap/>
              <w:overflowPunct/>
              <w:topLinePunct w:val="0"/>
              <w:bidi w:val="0"/>
              <w:snapToGrid/>
              <w:spacing w:before="0" w:beforeAutospacing="0" w:after="0" w:afterAutospacing="0" w:line="288" w:lineRule="auto"/>
              <w:ind w:left="0"/>
              <w:jc w:val="center"/>
              <w:textAlignment w:val="auto"/>
              <w:outlineLvl w:val="9"/>
              <w:rPr>
                <w:rFonts w:hint="eastAsia" w:ascii="宋体" w:hAnsi="宋体" w:eastAsia="宋体" w:cs="宋体"/>
                <w:sz w:val="21"/>
                <w:szCs w:val="21"/>
              </w:rPr>
            </w:pPr>
            <w:r>
              <w:rPr>
                <w:rFonts w:hint="eastAsia" w:ascii="宋体" w:hAnsi="宋体" w:eastAsia="宋体" w:cs="宋体"/>
                <w:b w:val="0"/>
                <w:bCs w:val="0"/>
                <w:i w:val="0"/>
                <w:iCs w:val="0"/>
                <w:color w:val="auto"/>
                <w:kern w:val="2"/>
                <w:sz w:val="21"/>
                <w:szCs w:val="21"/>
                <w:u w:val="none"/>
              </w:rPr>
              <w:t xml:space="preserve">第四步 </w:t>
            </w:r>
          </w:p>
        </w:tc>
        <w:tc>
          <w:tcPr>
            <w:tcW w:w="3877" w:type="pct"/>
            <w:shd w:val="clear" w:color="auto" w:fill="auto"/>
            <w:tcMar>
              <w:top w:w="69" w:type="dxa"/>
              <w:left w:w="139" w:type="dxa"/>
              <w:bottom w:w="69" w:type="dxa"/>
              <w:right w:w="139" w:type="dxa"/>
            </w:tcMar>
            <w:vAlign w:val="center"/>
          </w:tcPr>
          <w:p w14:paraId="35DDED89">
            <w:pPr>
              <w:pStyle w:val="5"/>
              <w:keepNext w:val="0"/>
              <w:keepLines w:val="0"/>
              <w:pageBreakBefore w:val="0"/>
              <w:widowControl/>
              <w:suppressLineNumbers w:val="0"/>
              <w:kinsoku/>
              <w:wordWrap/>
              <w:overflowPunct/>
              <w:topLinePunct w:val="0"/>
              <w:bidi w:val="0"/>
              <w:snapToGrid/>
              <w:spacing w:before="0" w:beforeAutospacing="0" w:after="0" w:afterAutospacing="0" w:line="288" w:lineRule="auto"/>
              <w:ind w:left="0"/>
              <w:jc w:val="left"/>
              <w:textAlignment w:val="auto"/>
              <w:outlineLvl w:val="9"/>
              <w:rPr>
                <w:rFonts w:hint="eastAsia" w:ascii="宋体" w:hAnsi="宋体" w:eastAsia="宋体" w:cs="宋体"/>
                <w:sz w:val="21"/>
                <w:szCs w:val="21"/>
              </w:rPr>
            </w:pPr>
            <w:r>
              <w:rPr>
                <w:rFonts w:hint="eastAsia" w:ascii="宋体" w:hAnsi="宋体" w:eastAsia="宋体" w:cs="宋体"/>
                <w:b w:val="0"/>
                <w:bCs w:val="0"/>
                <w:i w:val="0"/>
                <w:iCs w:val="0"/>
                <w:color w:val="auto"/>
                <w:kern w:val="2"/>
                <w:sz w:val="21"/>
                <w:szCs w:val="21"/>
                <w:u w:val="none"/>
              </w:rPr>
              <w:t>将交易价格</w:t>
            </w:r>
            <w:r>
              <w:rPr>
                <w:rFonts w:hint="eastAsia" w:ascii="宋体" w:hAnsi="宋体" w:eastAsia="宋体" w:cs="宋体"/>
                <w:b w:val="0"/>
                <w:bCs w:val="0"/>
                <w:i w:val="0"/>
                <w:iCs w:val="0"/>
                <w:color w:val="FF0000"/>
                <w:kern w:val="2"/>
                <w:sz w:val="21"/>
                <w:szCs w:val="21"/>
                <w:u w:val="none"/>
              </w:rPr>
              <w:t>分摊至各单项履约义务</w:t>
            </w:r>
          </w:p>
        </w:tc>
        <w:tc>
          <w:tcPr>
            <w:tcW w:w="467" w:type="pct"/>
            <w:vMerge w:val="continue"/>
            <w:shd w:val="clear" w:color="auto" w:fill="auto"/>
            <w:tcMar>
              <w:top w:w="69" w:type="dxa"/>
              <w:left w:w="139" w:type="dxa"/>
              <w:bottom w:w="69" w:type="dxa"/>
              <w:right w:w="139" w:type="dxa"/>
            </w:tcMar>
            <w:vAlign w:val="center"/>
          </w:tcPr>
          <w:p w14:paraId="0B2BD954">
            <w:pPr>
              <w:keepNext w:val="0"/>
              <w:keepLines w:val="0"/>
              <w:pageBreakBefore w:val="0"/>
              <w:kinsoku/>
              <w:wordWrap/>
              <w:overflowPunct/>
              <w:topLinePunct w:val="0"/>
              <w:bidi w:val="0"/>
              <w:snapToGrid/>
              <w:spacing w:before="0" w:beforeLines="0" w:after="0" w:afterLines="0"/>
              <w:jc w:val="center"/>
              <w:textAlignment w:val="auto"/>
              <w:outlineLvl w:val="9"/>
              <w:rPr>
                <w:rFonts w:hint="eastAsia" w:ascii="宋体" w:hAnsi="宋体" w:eastAsia="宋体" w:cs="宋体"/>
                <w:i w:val="0"/>
                <w:iCs w:val="0"/>
                <w:color w:val="auto"/>
                <w:sz w:val="21"/>
                <w:szCs w:val="21"/>
                <w:u w:val="none"/>
              </w:rPr>
            </w:pPr>
          </w:p>
        </w:tc>
      </w:tr>
      <w:tr w14:paraId="755C2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655" w:type="pct"/>
            <w:shd w:val="clear" w:color="auto" w:fill="auto"/>
            <w:tcMar>
              <w:top w:w="69" w:type="dxa"/>
              <w:left w:w="139" w:type="dxa"/>
              <w:bottom w:w="69" w:type="dxa"/>
              <w:right w:w="139" w:type="dxa"/>
            </w:tcMar>
            <w:vAlign w:val="center"/>
          </w:tcPr>
          <w:p w14:paraId="42C28A32">
            <w:pPr>
              <w:pStyle w:val="5"/>
              <w:keepNext w:val="0"/>
              <w:keepLines w:val="0"/>
              <w:pageBreakBefore w:val="0"/>
              <w:widowControl/>
              <w:suppressLineNumbers w:val="0"/>
              <w:kinsoku/>
              <w:wordWrap/>
              <w:overflowPunct/>
              <w:topLinePunct w:val="0"/>
              <w:bidi w:val="0"/>
              <w:snapToGrid/>
              <w:spacing w:before="0" w:beforeAutospacing="0" w:after="0" w:afterAutospacing="0" w:line="288" w:lineRule="auto"/>
              <w:ind w:left="0"/>
              <w:jc w:val="center"/>
              <w:textAlignment w:val="auto"/>
              <w:outlineLvl w:val="9"/>
              <w:rPr>
                <w:rFonts w:hint="eastAsia" w:ascii="宋体" w:hAnsi="宋体" w:eastAsia="宋体" w:cs="宋体"/>
                <w:sz w:val="21"/>
                <w:szCs w:val="21"/>
              </w:rPr>
            </w:pPr>
            <w:r>
              <w:rPr>
                <w:rFonts w:hint="eastAsia" w:ascii="宋体" w:hAnsi="宋体" w:eastAsia="宋体" w:cs="宋体"/>
                <w:b w:val="0"/>
                <w:bCs w:val="0"/>
                <w:i w:val="0"/>
                <w:iCs w:val="0"/>
                <w:color w:val="auto"/>
                <w:kern w:val="2"/>
                <w:sz w:val="21"/>
                <w:szCs w:val="21"/>
                <w:u w:val="none"/>
              </w:rPr>
              <w:t xml:space="preserve">第五步 </w:t>
            </w:r>
          </w:p>
        </w:tc>
        <w:tc>
          <w:tcPr>
            <w:tcW w:w="3877" w:type="pct"/>
            <w:shd w:val="clear" w:color="auto" w:fill="auto"/>
            <w:tcMar>
              <w:top w:w="69" w:type="dxa"/>
              <w:left w:w="139" w:type="dxa"/>
              <w:bottom w:w="69" w:type="dxa"/>
              <w:right w:w="139" w:type="dxa"/>
            </w:tcMar>
            <w:vAlign w:val="center"/>
          </w:tcPr>
          <w:p w14:paraId="1438B8D7">
            <w:pPr>
              <w:pStyle w:val="5"/>
              <w:keepNext w:val="0"/>
              <w:keepLines w:val="0"/>
              <w:pageBreakBefore w:val="0"/>
              <w:widowControl/>
              <w:suppressLineNumbers w:val="0"/>
              <w:kinsoku/>
              <w:wordWrap/>
              <w:overflowPunct/>
              <w:topLinePunct w:val="0"/>
              <w:bidi w:val="0"/>
              <w:snapToGrid/>
              <w:spacing w:before="0" w:beforeAutospacing="0" w:after="0" w:afterAutospacing="0" w:line="288" w:lineRule="auto"/>
              <w:ind w:left="0"/>
              <w:jc w:val="left"/>
              <w:textAlignment w:val="auto"/>
              <w:outlineLvl w:val="9"/>
              <w:rPr>
                <w:rFonts w:hint="eastAsia" w:ascii="宋体" w:hAnsi="宋体" w:eastAsia="宋体" w:cs="宋体"/>
                <w:sz w:val="21"/>
                <w:szCs w:val="21"/>
              </w:rPr>
            </w:pPr>
            <w:r>
              <w:rPr>
                <w:rFonts w:hint="eastAsia" w:ascii="宋体" w:hAnsi="宋体" w:eastAsia="宋体" w:cs="宋体"/>
                <w:b w:val="0"/>
                <w:bCs w:val="0"/>
                <w:i w:val="0"/>
                <w:iCs w:val="0"/>
                <w:color w:val="auto"/>
                <w:kern w:val="2"/>
                <w:sz w:val="21"/>
                <w:szCs w:val="21"/>
                <w:u w:val="none"/>
              </w:rPr>
              <w:t>履行各单项履约义务时（点义务、段义务）</w:t>
            </w:r>
            <w:r>
              <w:rPr>
                <w:rFonts w:hint="eastAsia" w:ascii="宋体" w:hAnsi="宋体" w:eastAsia="宋体" w:cs="宋体"/>
                <w:b w:val="0"/>
                <w:bCs w:val="0"/>
                <w:i w:val="0"/>
                <w:iCs w:val="0"/>
                <w:color w:val="FF0000"/>
                <w:kern w:val="2"/>
                <w:sz w:val="21"/>
                <w:szCs w:val="21"/>
                <w:u w:val="none"/>
              </w:rPr>
              <w:t>确认收入</w:t>
            </w:r>
            <w:r>
              <w:rPr>
                <w:rFonts w:hint="eastAsia" w:ascii="宋体" w:hAnsi="宋体" w:eastAsia="宋体" w:cs="宋体"/>
                <w:b w:val="0"/>
                <w:bCs w:val="0"/>
                <w:i w:val="0"/>
                <w:iCs w:val="0"/>
                <w:color w:val="auto"/>
                <w:kern w:val="2"/>
                <w:sz w:val="21"/>
                <w:szCs w:val="21"/>
                <w:u w:val="none"/>
              </w:rPr>
              <w:t xml:space="preserve"> </w:t>
            </w:r>
          </w:p>
        </w:tc>
        <w:tc>
          <w:tcPr>
            <w:tcW w:w="467" w:type="pct"/>
            <w:shd w:val="clear" w:color="auto" w:fill="auto"/>
            <w:tcMar>
              <w:top w:w="69" w:type="dxa"/>
              <w:left w:w="139" w:type="dxa"/>
              <w:bottom w:w="69" w:type="dxa"/>
              <w:right w:w="139" w:type="dxa"/>
            </w:tcMar>
            <w:vAlign w:val="center"/>
          </w:tcPr>
          <w:p w14:paraId="0F2C9CD3">
            <w:pPr>
              <w:pStyle w:val="5"/>
              <w:keepNext w:val="0"/>
              <w:keepLines w:val="0"/>
              <w:pageBreakBefore w:val="0"/>
              <w:widowControl/>
              <w:suppressLineNumbers w:val="0"/>
              <w:kinsoku/>
              <w:wordWrap/>
              <w:overflowPunct/>
              <w:topLinePunct w:val="0"/>
              <w:bidi w:val="0"/>
              <w:snapToGrid/>
              <w:spacing w:before="0" w:beforeAutospacing="0" w:after="0" w:afterAutospacing="0" w:line="288" w:lineRule="auto"/>
              <w:ind w:left="0"/>
              <w:jc w:val="center"/>
              <w:textAlignment w:val="auto"/>
              <w:outlineLvl w:val="9"/>
              <w:rPr>
                <w:rFonts w:hint="eastAsia" w:ascii="宋体" w:hAnsi="宋体" w:eastAsia="宋体" w:cs="宋体"/>
                <w:sz w:val="21"/>
                <w:szCs w:val="21"/>
              </w:rPr>
            </w:pPr>
            <w:r>
              <w:rPr>
                <w:rFonts w:hint="eastAsia" w:ascii="宋体" w:hAnsi="宋体" w:eastAsia="宋体" w:cs="宋体"/>
                <w:b w:val="0"/>
                <w:bCs w:val="0"/>
                <w:i w:val="0"/>
                <w:iCs w:val="0"/>
                <w:color w:val="auto"/>
                <w:kern w:val="2"/>
                <w:sz w:val="21"/>
                <w:szCs w:val="21"/>
                <w:u w:val="none"/>
              </w:rPr>
              <w:t>确认</w:t>
            </w:r>
          </w:p>
        </w:tc>
      </w:tr>
    </w:tbl>
    <w:p w14:paraId="58191C7C">
      <w:pPr>
        <w:keepNext w:val="0"/>
        <w:keepLines w:val="0"/>
        <w:pageBreakBefore w:val="0"/>
        <w:widowControl w:val="0"/>
        <w:kinsoku/>
        <w:wordWrap/>
        <w:overflowPunct/>
        <w:topLinePunct w:val="0"/>
        <w:autoSpaceDE w:val="0"/>
        <w:autoSpaceDN w:val="0"/>
        <w:bidi w:val="0"/>
        <w:adjustRightInd w:val="0"/>
        <w:snapToGrid/>
        <w:spacing w:line="360" w:lineRule="auto"/>
        <w:ind w:left="0" w:firstLine="0"/>
        <w:textAlignment w:val="auto"/>
        <w:outlineLvl w:val="9"/>
        <w:rPr>
          <w:rFonts w:hint="eastAsia" w:ascii="宋体" w:hAnsi="宋体" w:eastAsia="宋体" w:cs="宋体"/>
          <w:color w:val="FF0000"/>
          <w:sz w:val="21"/>
          <w:szCs w:val="21"/>
          <w:lang w:eastAsia="zh-CN"/>
        </w:rPr>
      </w:pPr>
    </w:p>
    <w:p w14:paraId="17F2262B">
      <w:pPr>
        <w:keepNext w:val="0"/>
        <w:keepLines w:val="0"/>
        <w:pageBreakBefore w:val="0"/>
        <w:widowControl w:val="0"/>
        <w:kinsoku/>
        <w:wordWrap/>
        <w:overflowPunct/>
        <w:topLinePunct w:val="0"/>
        <w:autoSpaceDE w:val="0"/>
        <w:autoSpaceDN w:val="0"/>
        <w:bidi w:val="0"/>
        <w:adjustRightInd w:val="0"/>
        <w:snapToGrid/>
        <w:spacing w:line="360" w:lineRule="auto"/>
        <w:ind w:left="0" w:firstLine="0"/>
        <w:textAlignment w:val="auto"/>
        <w:outlineLvl w:val="9"/>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eastAsia="zh-CN"/>
        </w:rPr>
        <w:t>【考点】</w:t>
      </w:r>
      <w:r>
        <w:rPr>
          <w:rFonts w:hint="eastAsia" w:ascii="宋体" w:hAnsi="宋体" w:eastAsia="宋体" w:cs="宋体"/>
          <w:color w:val="FF0000"/>
          <w:sz w:val="21"/>
          <w:szCs w:val="21"/>
        </w:rPr>
        <w:t>（</w:t>
      </w:r>
      <w:r>
        <w:rPr>
          <w:rFonts w:hint="eastAsia" w:ascii="宋体" w:hAnsi="宋体" w:eastAsia="宋体" w:cs="宋体"/>
          <w:color w:val="FF0000"/>
          <w:sz w:val="21"/>
          <w:szCs w:val="21"/>
          <w:lang w:eastAsia="zh-CN"/>
        </w:rPr>
        <w:t>第一步</w:t>
      </w:r>
      <w:r>
        <w:rPr>
          <w:rFonts w:hint="eastAsia" w:ascii="宋体" w:hAnsi="宋体" w:eastAsia="宋体" w:cs="宋体"/>
          <w:color w:val="FF0000"/>
          <w:sz w:val="21"/>
          <w:szCs w:val="21"/>
        </w:rPr>
        <w:t>）</w:t>
      </w:r>
      <w:r>
        <w:rPr>
          <w:rFonts w:hint="eastAsia" w:ascii="宋体" w:hAnsi="宋体" w:eastAsia="宋体" w:cs="宋体"/>
          <w:color w:val="FF0000"/>
          <w:sz w:val="21"/>
          <w:szCs w:val="21"/>
          <w:lang w:eastAsia="zh-CN"/>
        </w:rPr>
        <w:t>识别与客户订立的合同</w:t>
      </w:r>
    </w:p>
    <w:p w14:paraId="4415E70E">
      <w:pPr>
        <w:keepNext w:val="0"/>
        <w:keepLines w:val="0"/>
        <w:pageBreakBefore w:val="0"/>
        <w:widowControl w:val="0"/>
        <w:kinsoku/>
        <w:wordWrap/>
        <w:overflowPunct/>
        <w:topLinePunct w:val="0"/>
        <w:autoSpaceDE w:val="0"/>
        <w:autoSpaceDN w:val="0"/>
        <w:bidi w:val="0"/>
        <w:adjustRightInd w:val="0"/>
        <w:snapToGrid/>
        <w:spacing w:line="360" w:lineRule="auto"/>
        <w:ind w:left="0" w:firstLine="0"/>
        <w:textAlignment w:val="auto"/>
        <w:outlineLvl w:val="9"/>
        <w:rPr>
          <w:rFonts w:hint="eastAsia" w:ascii="宋体" w:hAnsi="宋体" w:eastAsia="宋体" w:cs="宋体"/>
          <w:color w:val="FF0000"/>
          <w:sz w:val="21"/>
          <w:szCs w:val="21"/>
          <w:lang w:eastAsia="zh-CN"/>
        </w:rPr>
      </w:pPr>
      <w:r>
        <w:rPr>
          <w:rFonts w:hint="eastAsia" w:ascii="宋体" w:hAnsi="宋体" w:eastAsia="宋体" w:cs="宋体"/>
          <w:color w:val="FF0000"/>
          <w:sz w:val="21"/>
          <w:szCs w:val="21"/>
          <w:lang w:eastAsia="zh-CN"/>
        </w:rPr>
        <w:t>分为</w:t>
      </w:r>
      <w:r>
        <w:rPr>
          <w:rFonts w:hint="eastAsia" w:ascii="宋体" w:hAnsi="宋体" w:eastAsia="宋体" w:cs="宋体"/>
          <w:color w:val="FF0000"/>
          <w:sz w:val="21"/>
          <w:szCs w:val="21"/>
        </w:rPr>
        <w:t>：</w:t>
      </w:r>
      <w:r>
        <w:rPr>
          <w:rFonts w:hint="eastAsia" w:ascii="宋体" w:hAnsi="宋体" w:eastAsia="宋体" w:cs="宋体"/>
          <w:color w:val="FF0000"/>
          <w:sz w:val="21"/>
          <w:szCs w:val="21"/>
          <w:lang w:eastAsia="zh-CN"/>
        </w:rPr>
        <w:t>合同识别、合同合并和合同变更。</w:t>
      </w:r>
    </w:p>
    <w:p w14:paraId="1C117834">
      <w:pPr>
        <w:keepNext w:val="0"/>
        <w:keepLines w:val="0"/>
        <w:pageBreakBefore w:val="0"/>
        <w:widowControl w:val="0"/>
        <w:kinsoku/>
        <w:wordWrap/>
        <w:overflowPunct/>
        <w:topLinePunct w:val="0"/>
        <w:autoSpaceDE w:val="0"/>
        <w:autoSpaceDN w:val="0"/>
        <w:bidi w:val="0"/>
        <w:adjustRightInd w:val="0"/>
        <w:snapToGrid/>
        <w:spacing w:line="360" w:lineRule="auto"/>
        <w:ind w:left="0" w:firstLine="0"/>
        <w:textAlignment w:val="auto"/>
        <w:outlineLvl w:val="9"/>
        <w:rPr>
          <w:rFonts w:hint="eastAsia" w:ascii="宋体" w:hAnsi="宋体" w:eastAsia="宋体" w:cs="宋体"/>
          <w:color w:val="FF0000"/>
          <w:sz w:val="21"/>
          <w:szCs w:val="21"/>
        </w:rPr>
      </w:pPr>
      <w:r>
        <w:rPr>
          <w:rFonts w:hint="eastAsia" w:ascii="宋体" w:hAnsi="宋体" w:eastAsia="宋体" w:cs="宋体"/>
          <w:color w:val="FF0000"/>
          <w:sz w:val="21"/>
          <w:szCs w:val="21"/>
          <w:lang w:val="en-US" w:eastAsia="zh-CN"/>
        </w:rPr>
        <w:t>1.</w:t>
      </w:r>
      <w:r>
        <w:rPr>
          <w:rFonts w:hint="eastAsia" w:ascii="宋体" w:hAnsi="宋体" w:eastAsia="宋体" w:cs="宋体"/>
          <w:color w:val="FF0000"/>
          <w:sz w:val="21"/>
          <w:szCs w:val="21"/>
          <w:lang w:eastAsia="zh-CN"/>
        </w:rPr>
        <w:t>合同识别</w:t>
      </w:r>
      <w:r>
        <w:rPr>
          <w:rFonts w:hint="eastAsia" w:ascii="宋体" w:hAnsi="宋体" w:eastAsia="宋体" w:cs="宋体"/>
          <w:color w:val="FF0000"/>
          <w:sz w:val="21"/>
          <w:szCs w:val="21"/>
        </w:rPr>
        <w:t>（</w:t>
      </w:r>
      <w:r>
        <w:rPr>
          <w:rFonts w:hint="eastAsia" w:ascii="宋体" w:hAnsi="宋体" w:eastAsia="宋体" w:cs="宋体"/>
          <w:color w:val="FF0000"/>
          <w:sz w:val="21"/>
          <w:szCs w:val="21"/>
          <w:lang w:eastAsia="zh-CN"/>
        </w:rPr>
        <w:t>收入确认的条件</w:t>
      </w:r>
      <w:r>
        <w:rPr>
          <w:rFonts w:hint="eastAsia" w:ascii="宋体" w:hAnsi="宋体" w:eastAsia="宋体" w:cs="宋体"/>
          <w:color w:val="FF0000"/>
          <w:sz w:val="21"/>
          <w:szCs w:val="21"/>
        </w:rPr>
        <w:t>）</w:t>
      </w:r>
    </w:p>
    <w:tbl>
      <w:tblPr>
        <w:tblStyle w:val="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1336"/>
        <w:gridCol w:w="7909"/>
        <w:gridCol w:w="953"/>
      </w:tblGrid>
      <w:tr w14:paraId="57CC5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655" w:type="pct"/>
            <w:shd w:val="clear" w:color="auto" w:fill="auto"/>
            <w:tcMar>
              <w:top w:w="69" w:type="dxa"/>
              <w:left w:w="139" w:type="dxa"/>
              <w:bottom w:w="69" w:type="dxa"/>
              <w:right w:w="139" w:type="dxa"/>
            </w:tcMar>
            <w:vAlign w:val="center"/>
          </w:tcPr>
          <w:p w14:paraId="01747CF0">
            <w:pPr>
              <w:pStyle w:val="5"/>
              <w:keepNext w:val="0"/>
              <w:keepLines w:val="0"/>
              <w:pageBreakBefore w:val="0"/>
              <w:widowControl/>
              <w:suppressLineNumbers w:val="0"/>
              <w:kinsoku/>
              <w:wordWrap/>
              <w:overflowPunct/>
              <w:topLinePunct w:val="0"/>
              <w:bidi w:val="0"/>
              <w:snapToGrid/>
              <w:spacing w:before="0" w:beforeAutospacing="0" w:after="0" w:afterAutospacing="0" w:line="288" w:lineRule="auto"/>
              <w:ind w:left="0"/>
              <w:jc w:val="center"/>
              <w:textAlignment w:val="auto"/>
              <w:outlineLvl w:val="9"/>
              <w:rPr>
                <w:rFonts w:hint="eastAsia" w:ascii="宋体" w:hAnsi="宋体" w:eastAsia="宋体" w:cs="宋体"/>
                <w:sz w:val="21"/>
                <w:szCs w:val="21"/>
              </w:rPr>
            </w:pPr>
            <w:r>
              <w:rPr>
                <w:rFonts w:hint="eastAsia" w:ascii="宋体" w:hAnsi="宋体" w:eastAsia="宋体" w:cs="宋体"/>
                <w:b w:val="0"/>
                <w:bCs w:val="0"/>
                <w:i w:val="0"/>
                <w:iCs w:val="0"/>
                <w:color w:val="auto"/>
                <w:kern w:val="2"/>
                <w:sz w:val="21"/>
                <w:szCs w:val="21"/>
                <w:u w:val="none"/>
              </w:rPr>
              <w:t>第一步</w:t>
            </w:r>
          </w:p>
        </w:tc>
        <w:tc>
          <w:tcPr>
            <w:tcW w:w="3877" w:type="pct"/>
            <w:shd w:val="clear" w:color="auto" w:fill="auto"/>
            <w:tcMar>
              <w:top w:w="69" w:type="dxa"/>
              <w:left w:w="139" w:type="dxa"/>
              <w:bottom w:w="69" w:type="dxa"/>
              <w:right w:w="139" w:type="dxa"/>
            </w:tcMar>
            <w:vAlign w:val="center"/>
          </w:tcPr>
          <w:p w14:paraId="1E94BD04">
            <w:pPr>
              <w:pStyle w:val="5"/>
              <w:keepNext w:val="0"/>
              <w:keepLines w:val="0"/>
              <w:pageBreakBefore w:val="0"/>
              <w:widowControl/>
              <w:suppressLineNumbers w:val="0"/>
              <w:kinsoku/>
              <w:wordWrap/>
              <w:overflowPunct/>
              <w:topLinePunct w:val="0"/>
              <w:bidi w:val="0"/>
              <w:snapToGrid/>
              <w:spacing w:before="0" w:beforeAutospacing="0" w:after="0" w:afterAutospacing="0" w:line="288" w:lineRule="auto"/>
              <w:ind w:left="0"/>
              <w:jc w:val="left"/>
              <w:textAlignment w:val="auto"/>
              <w:outlineLvl w:val="9"/>
              <w:rPr>
                <w:rFonts w:hint="eastAsia" w:ascii="宋体" w:hAnsi="宋体" w:eastAsia="宋体" w:cs="宋体"/>
                <w:sz w:val="21"/>
                <w:szCs w:val="21"/>
              </w:rPr>
            </w:pPr>
            <w:r>
              <w:rPr>
                <w:rFonts w:hint="eastAsia" w:ascii="宋体" w:hAnsi="宋体" w:eastAsia="宋体" w:cs="宋体"/>
                <w:b w:val="0"/>
                <w:bCs w:val="0"/>
                <w:i w:val="0"/>
                <w:iCs w:val="0"/>
                <w:color w:val="auto"/>
                <w:kern w:val="2"/>
                <w:sz w:val="21"/>
                <w:szCs w:val="21"/>
                <w:u w:val="none"/>
              </w:rPr>
              <w:t>识别与客户订立的</w:t>
            </w:r>
            <w:r>
              <w:rPr>
                <w:rFonts w:hint="eastAsia" w:ascii="宋体" w:hAnsi="宋体" w:eastAsia="宋体" w:cs="宋体"/>
                <w:b w:val="0"/>
                <w:bCs w:val="0"/>
                <w:i w:val="0"/>
                <w:iCs w:val="0"/>
                <w:color w:val="FF0000"/>
                <w:kern w:val="2"/>
                <w:sz w:val="21"/>
                <w:szCs w:val="21"/>
                <w:u w:val="none"/>
              </w:rPr>
              <w:t>合同</w:t>
            </w:r>
          </w:p>
        </w:tc>
        <w:tc>
          <w:tcPr>
            <w:tcW w:w="467" w:type="pct"/>
            <w:vMerge w:val="restart"/>
            <w:shd w:val="clear" w:color="auto" w:fill="auto"/>
            <w:tcMar>
              <w:top w:w="69" w:type="dxa"/>
              <w:left w:w="139" w:type="dxa"/>
              <w:bottom w:w="69" w:type="dxa"/>
              <w:right w:w="139" w:type="dxa"/>
            </w:tcMar>
            <w:vAlign w:val="center"/>
          </w:tcPr>
          <w:p w14:paraId="0232BFF3">
            <w:pPr>
              <w:pStyle w:val="5"/>
              <w:keepNext w:val="0"/>
              <w:keepLines w:val="0"/>
              <w:pageBreakBefore w:val="0"/>
              <w:widowControl/>
              <w:suppressLineNumbers w:val="0"/>
              <w:kinsoku/>
              <w:wordWrap/>
              <w:overflowPunct/>
              <w:topLinePunct w:val="0"/>
              <w:bidi w:val="0"/>
              <w:snapToGrid/>
              <w:spacing w:before="0" w:beforeAutospacing="0" w:after="0" w:afterAutospacing="0" w:line="288" w:lineRule="auto"/>
              <w:ind w:left="0"/>
              <w:jc w:val="center"/>
              <w:textAlignment w:val="auto"/>
              <w:outlineLvl w:val="9"/>
              <w:rPr>
                <w:rFonts w:hint="eastAsia" w:ascii="宋体" w:hAnsi="宋体" w:eastAsia="宋体" w:cs="宋体"/>
                <w:sz w:val="21"/>
                <w:szCs w:val="21"/>
              </w:rPr>
            </w:pPr>
            <w:r>
              <w:rPr>
                <w:rFonts w:hint="eastAsia" w:ascii="宋体" w:hAnsi="宋体" w:eastAsia="宋体" w:cs="宋体"/>
                <w:b w:val="0"/>
                <w:bCs w:val="0"/>
                <w:i w:val="0"/>
                <w:iCs w:val="0"/>
                <w:color w:val="auto"/>
                <w:kern w:val="2"/>
                <w:sz w:val="21"/>
                <w:szCs w:val="21"/>
                <w:u w:val="none"/>
              </w:rPr>
              <w:t>确认</w:t>
            </w:r>
          </w:p>
        </w:tc>
      </w:tr>
      <w:tr w14:paraId="7659E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655" w:type="pct"/>
            <w:shd w:val="clear" w:color="auto" w:fill="auto"/>
            <w:tcMar>
              <w:top w:w="69" w:type="dxa"/>
              <w:left w:w="139" w:type="dxa"/>
              <w:bottom w:w="69" w:type="dxa"/>
              <w:right w:w="139" w:type="dxa"/>
            </w:tcMar>
            <w:vAlign w:val="center"/>
          </w:tcPr>
          <w:p w14:paraId="547630AF">
            <w:pPr>
              <w:pStyle w:val="5"/>
              <w:keepNext w:val="0"/>
              <w:keepLines w:val="0"/>
              <w:pageBreakBefore w:val="0"/>
              <w:widowControl/>
              <w:suppressLineNumbers w:val="0"/>
              <w:kinsoku/>
              <w:wordWrap/>
              <w:overflowPunct/>
              <w:topLinePunct w:val="0"/>
              <w:bidi w:val="0"/>
              <w:snapToGrid/>
              <w:spacing w:before="0" w:beforeAutospacing="0" w:after="0" w:afterAutospacing="0" w:line="288" w:lineRule="auto"/>
              <w:ind w:left="0"/>
              <w:jc w:val="center"/>
              <w:textAlignment w:val="auto"/>
              <w:outlineLvl w:val="9"/>
              <w:rPr>
                <w:rFonts w:hint="eastAsia" w:ascii="宋体" w:hAnsi="宋体" w:eastAsia="宋体" w:cs="宋体"/>
                <w:sz w:val="21"/>
                <w:szCs w:val="21"/>
              </w:rPr>
            </w:pPr>
            <w:r>
              <w:rPr>
                <w:rFonts w:hint="eastAsia" w:ascii="宋体" w:hAnsi="宋体" w:eastAsia="宋体" w:cs="宋体"/>
                <w:b w:val="0"/>
                <w:bCs w:val="0"/>
                <w:i w:val="0"/>
                <w:iCs w:val="0"/>
                <w:color w:val="auto"/>
                <w:kern w:val="2"/>
                <w:sz w:val="21"/>
                <w:szCs w:val="21"/>
                <w:u w:val="none"/>
              </w:rPr>
              <w:t xml:space="preserve">第二步 </w:t>
            </w:r>
          </w:p>
        </w:tc>
        <w:tc>
          <w:tcPr>
            <w:tcW w:w="3877" w:type="pct"/>
            <w:shd w:val="clear" w:color="auto" w:fill="auto"/>
            <w:tcMar>
              <w:top w:w="69" w:type="dxa"/>
              <w:left w:w="139" w:type="dxa"/>
              <w:bottom w:w="69" w:type="dxa"/>
              <w:right w:w="139" w:type="dxa"/>
            </w:tcMar>
            <w:vAlign w:val="center"/>
          </w:tcPr>
          <w:p w14:paraId="423B8624">
            <w:pPr>
              <w:pStyle w:val="5"/>
              <w:keepNext w:val="0"/>
              <w:keepLines w:val="0"/>
              <w:pageBreakBefore w:val="0"/>
              <w:widowControl/>
              <w:suppressLineNumbers w:val="0"/>
              <w:kinsoku/>
              <w:wordWrap/>
              <w:overflowPunct/>
              <w:topLinePunct w:val="0"/>
              <w:bidi w:val="0"/>
              <w:snapToGrid/>
              <w:spacing w:before="0" w:beforeAutospacing="0" w:after="0" w:afterAutospacing="0" w:line="288" w:lineRule="auto"/>
              <w:ind w:left="0"/>
              <w:jc w:val="left"/>
              <w:textAlignment w:val="auto"/>
              <w:outlineLvl w:val="9"/>
              <w:rPr>
                <w:rFonts w:hint="eastAsia" w:ascii="宋体" w:hAnsi="宋体" w:eastAsia="宋体" w:cs="宋体"/>
                <w:sz w:val="21"/>
                <w:szCs w:val="21"/>
              </w:rPr>
            </w:pPr>
            <w:r>
              <w:rPr>
                <w:rFonts w:hint="eastAsia" w:ascii="宋体" w:hAnsi="宋体" w:eastAsia="宋体" w:cs="宋体"/>
                <w:b w:val="0"/>
                <w:bCs w:val="0"/>
                <w:i w:val="0"/>
                <w:iCs w:val="0"/>
                <w:color w:val="auto"/>
                <w:kern w:val="2"/>
                <w:sz w:val="21"/>
                <w:szCs w:val="21"/>
                <w:u w:val="none"/>
              </w:rPr>
              <w:t>识别合同中的</w:t>
            </w:r>
            <w:r>
              <w:rPr>
                <w:rFonts w:hint="eastAsia" w:ascii="宋体" w:hAnsi="宋体" w:eastAsia="宋体" w:cs="宋体"/>
                <w:b w:val="0"/>
                <w:bCs w:val="0"/>
                <w:i w:val="0"/>
                <w:iCs w:val="0"/>
                <w:color w:val="FF0000"/>
                <w:kern w:val="2"/>
                <w:sz w:val="21"/>
                <w:szCs w:val="21"/>
                <w:u w:val="none"/>
              </w:rPr>
              <w:t>单项履约义务</w:t>
            </w:r>
          </w:p>
        </w:tc>
        <w:tc>
          <w:tcPr>
            <w:tcW w:w="467" w:type="pct"/>
            <w:vMerge w:val="continue"/>
            <w:shd w:val="clear" w:color="auto" w:fill="auto"/>
            <w:tcMar>
              <w:top w:w="69" w:type="dxa"/>
              <w:left w:w="139" w:type="dxa"/>
              <w:bottom w:w="69" w:type="dxa"/>
              <w:right w:w="139" w:type="dxa"/>
            </w:tcMar>
            <w:vAlign w:val="center"/>
          </w:tcPr>
          <w:p w14:paraId="7AFF775A">
            <w:pPr>
              <w:keepNext w:val="0"/>
              <w:keepLines w:val="0"/>
              <w:pageBreakBefore w:val="0"/>
              <w:kinsoku/>
              <w:wordWrap/>
              <w:overflowPunct/>
              <w:topLinePunct w:val="0"/>
              <w:bidi w:val="0"/>
              <w:snapToGrid/>
              <w:spacing w:before="0" w:beforeLines="0" w:after="0" w:afterLines="0"/>
              <w:jc w:val="center"/>
              <w:textAlignment w:val="auto"/>
              <w:outlineLvl w:val="9"/>
              <w:rPr>
                <w:rFonts w:hint="eastAsia" w:ascii="宋体" w:hAnsi="宋体" w:eastAsia="宋体" w:cs="宋体"/>
                <w:i w:val="0"/>
                <w:iCs w:val="0"/>
                <w:color w:val="auto"/>
                <w:sz w:val="21"/>
                <w:szCs w:val="21"/>
                <w:u w:val="none"/>
              </w:rPr>
            </w:pPr>
          </w:p>
        </w:tc>
      </w:tr>
      <w:tr w14:paraId="5783D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655" w:type="pct"/>
            <w:shd w:val="clear" w:color="auto" w:fill="auto"/>
            <w:tcMar>
              <w:top w:w="69" w:type="dxa"/>
              <w:left w:w="139" w:type="dxa"/>
              <w:bottom w:w="69" w:type="dxa"/>
              <w:right w:w="139" w:type="dxa"/>
            </w:tcMar>
            <w:vAlign w:val="center"/>
          </w:tcPr>
          <w:p w14:paraId="164758AB">
            <w:pPr>
              <w:pStyle w:val="5"/>
              <w:keepNext w:val="0"/>
              <w:keepLines w:val="0"/>
              <w:pageBreakBefore w:val="0"/>
              <w:widowControl/>
              <w:suppressLineNumbers w:val="0"/>
              <w:kinsoku/>
              <w:wordWrap/>
              <w:overflowPunct/>
              <w:topLinePunct w:val="0"/>
              <w:bidi w:val="0"/>
              <w:snapToGrid/>
              <w:spacing w:before="0" w:beforeAutospacing="0" w:after="0" w:afterAutospacing="0" w:line="288" w:lineRule="auto"/>
              <w:ind w:left="0"/>
              <w:jc w:val="center"/>
              <w:textAlignment w:val="auto"/>
              <w:outlineLvl w:val="9"/>
              <w:rPr>
                <w:rFonts w:hint="eastAsia" w:ascii="宋体" w:hAnsi="宋体" w:eastAsia="宋体" w:cs="宋体"/>
                <w:sz w:val="21"/>
                <w:szCs w:val="21"/>
              </w:rPr>
            </w:pPr>
            <w:r>
              <w:rPr>
                <w:rFonts w:hint="eastAsia" w:ascii="宋体" w:hAnsi="宋体" w:eastAsia="宋体" w:cs="宋体"/>
                <w:b w:val="0"/>
                <w:bCs w:val="0"/>
                <w:i w:val="0"/>
                <w:iCs w:val="0"/>
                <w:color w:val="auto"/>
                <w:kern w:val="2"/>
                <w:sz w:val="21"/>
                <w:szCs w:val="21"/>
                <w:u w:val="none"/>
              </w:rPr>
              <w:t xml:space="preserve">第三步 </w:t>
            </w:r>
          </w:p>
        </w:tc>
        <w:tc>
          <w:tcPr>
            <w:tcW w:w="3877" w:type="pct"/>
            <w:shd w:val="clear" w:color="auto" w:fill="auto"/>
            <w:tcMar>
              <w:top w:w="69" w:type="dxa"/>
              <w:left w:w="139" w:type="dxa"/>
              <w:bottom w:w="69" w:type="dxa"/>
              <w:right w:w="139" w:type="dxa"/>
            </w:tcMar>
            <w:vAlign w:val="center"/>
          </w:tcPr>
          <w:p w14:paraId="49C71E41">
            <w:pPr>
              <w:pStyle w:val="5"/>
              <w:keepNext w:val="0"/>
              <w:keepLines w:val="0"/>
              <w:pageBreakBefore w:val="0"/>
              <w:widowControl/>
              <w:suppressLineNumbers w:val="0"/>
              <w:kinsoku/>
              <w:wordWrap/>
              <w:overflowPunct/>
              <w:topLinePunct w:val="0"/>
              <w:bidi w:val="0"/>
              <w:snapToGrid/>
              <w:spacing w:before="0" w:beforeAutospacing="0" w:after="0" w:afterAutospacing="0" w:line="288" w:lineRule="auto"/>
              <w:ind w:left="0"/>
              <w:jc w:val="left"/>
              <w:textAlignment w:val="auto"/>
              <w:outlineLvl w:val="9"/>
              <w:rPr>
                <w:rFonts w:hint="eastAsia" w:ascii="宋体" w:hAnsi="宋体" w:eastAsia="宋体" w:cs="宋体"/>
                <w:sz w:val="21"/>
                <w:szCs w:val="21"/>
              </w:rPr>
            </w:pPr>
            <w:r>
              <w:rPr>
                <w:rFonts w:hint="eastAsia" w:ascii="宋体" w:hAnsi="宋体" w:eastAsia="宋体" w:cs="宋体"/>
                <w:b w:val="0"/>
                <w:bCs w:val="0"/>
                <w:i w:val="0"/>
                <w:iCs w:val="0"/>
                <w:color w:val="auto"/>
                <w:kern w:val="2"/>
                <w:sz w:val="21"/>
                <w:szCs w:val="21"/>
                <w:u w:val="none"/>
              </w:rPr>
              <w:t>确定交易价格</w:t>
            </w:r>
          </w:p>
        </w:tc>
        <w:tc>
          <w:tcPr>
            <w:tcW w:w="467" w:type="pct"/>
            <w:vMerge w:val="restart"/>
            <w:shd w:val="clear" w:color="auto" w:fill="auto"/>
            <w:tcMar>
              <w:top w:w="69" w:type="dxa"/>
              <w:left w:w="139" w:type="dxa"/>
              <w:bottom w:w="69" w:type="dxa"/>
              <w:right w:w="139" w:type="dxa"/>
            </w:tcMar>
            <w:vAlign w:val="center"/>
          </w:tcPr>
          <w:p w14:paraId="02654D26">
            <w:pPr>
              <w:pStyle w:val="5"/>
              <w:keepNext w:val="0"/>
              <w:keepLines w:val="0"/>
              <w:pageBreakBefore w:val="0"/>
              <w:widowControl/>
              <w:suppressLineNumbers w:val="0"/>
              <w:kinsoku/>
              <w:wordWrap/>
              <w:overflowPunct/>
              <w:topLinePunct w:val="0"/>
              <w:bidi w:val="0"/>
              <w:snapToGrid/>
              <w:spacing w:before="0" w:beforeAutospacing="0" w:after="0" w:afterAutospacing="0" w:line="288" w:lineRule="auto"/>
              <w:ind w:left="0"/>
              <w:jc w:val="center"/>
              <w:textAlignment w:val="auto"/>
              <w:outlineLvl w:val="9"/>
              <w:rPr>
                <w:rFonts w:hint="eastAsia" w:ascii="宋体" w:hAnsi="宋体" w:eastAsia="宋体" w:cs="宋体"/>
                <w:sz w:val="21"/>
                <w:szCs w:val="21"/>
              </w:rPr>
            </w:pPr>
            <w:r>
              <w:rPr>
                <w:rFonts w:hint="eastAsia" w:ascii="宋体" w:hAnsi="宋体" w:eastAsia="宋体" w:cs="宋体"/>
                <w:b w:val="0"/>
                <w:bCs w:val="0"/>
                <w:i w:val="0"/>
                <w:iCs w:val="0"/>
                <w:color w:val="auto"/>
                <w:kern w:val="2"/>
                <w:sz w:val="21"/>
                <w:szCs w:val="21"/>
                <w:u w:val="none"/>
              </w:rPr>
              <w:t>计量</w:t>
            </w:r>
          </w:p>
        </w:tc>
      </w:tr>
      <w:tr w14:paraId="37771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655" w:type="pct"/>
            <w:shd w:val="clear" w:color="auto" w:fill="auto"/>
            <w:tcMar>
              <w:top w:w="69" w:type="dxa"/>
              <w:left w:w="139" w:type="dxa"/>
              <w:bottom w:w="69" w:type="dxa"/>
              <w:right w:w="139" w:type="dxa"/>
            </w:tcMar>
            <w:vAlign w:val="center"/>
          </w:tcPr>
          <w:p w14:paraId="10B9C755">
            <w:pPr>
              <w:pStyle w:val="5"/>
              <w:keepNext w:val="0"/>
              <w:keepLines w:val="0"/>
              <w:pageBreakBefore w:val="0"/>
              <w:widowControl/>
              <w:suppressLineNumbers w:val="0"/>
              <w:kinsoku/>
              <w:wordWrap/>
              <w:overflowPunct/>
              <w:topLinePunct w:val="0"/>
              <w:bidi w:val="0"/>
              <w:snapToGrid/>
              <w:spacing w:before="0" w:beforeAutospacing="0" w:after="0" w:afterAutospacing="0" w:line="288" w:lineRule="auto"/>
              <w:ind w:left="0"/>
              <w:jc w:val="center"/>
              <w:textAlignment w:val="auto"/>
              <w:outlineLvl w:val="9"/>
              <w:rPr>
                <w:rFonts w:hint="eastAsia" w:ascii="宋体" w:hAnsi="宋体" w:eastAsia="宋体" w:cs="宋体"/>
                <w:sz w:val="21"/>
                <w:szCs w:val="21"/>
              </w:rPr>
            </w:pPr>
            <w:r>
              <w:rPr>
                <w:rFonts w:hint="eastAsia" w:ascii="宋体" w:hAnsi="宋体" w:eastAsia="宋体" w:cs="宋体"/>
                <w:b w:val="0"/>
                <w:bCs w:val="0"/>
                <w:i w:val="0"/>
                <w:iCs w:val="0"/>
                <w:color w:val="auto"/>
                <w:kern w:val="2"/>
                <w:sz w:val="21"/>
                <w:szCs w:val="21"/>
                <w:u w:val="none"/>
              </w:rPr>
              <w:t xml:space="preserve">第四步 </w:t>
            </w:r>
          </w:p>
        </w:tc>
        <w:tc>
          <w:tcPr>
            <w:tcW w:w="3877" w:type="pct"/>
            <w:shd w:val="clear" w:color="auto" w:fill="auto"/>
            <w:tcMar>
              <w:top w:w="69" w:type="dxa"/>
              <w:left w:w="139" w:type="dxa"/>
              <w:bottom w:w="69" w:type="dxa"/>
              <w:right w:w="139" w:type="dxa"/>
            </w:tcMar>
            <w:vAlign w:val="center"/>
          </w:tcPr>
          <w:p w14:paraId="4424CA25">
            <w:pPr>
              <w:pStyle w:val="5"/>
              <w:keepNext w:val="0"/>
              <w:keepLines w:val="0"/>
              <w:pageBreakBefore w:val="0"/>
              <w:widowControl/>
              <w:suppressLineNumbers w:val="0"/>
              <w:kinsoku/>
              <w:wordWrap/>
              <w:overflowPunct/>
              <w:topLinePunct w:val="0"/>
              <w:bidi w:val="0"/>
              <w:snapToGrid/>
              <w:spacing w:before="0" w:beforeAutospacing="0" w:after="0" w:afterAutospacing="0" w:line="288" w:lineRule="auto"/>
              <w:ind w:left="0"/>
              <w:jc w:val="left"/>
              <w:textAlignment w:val="auto"/>
              <w:outlineLvl w:val="9"/>
              <w:rPr>
                <w:rFonts w:hint="eastAsia" w:ascii="宋体" w:hAnsi="宋体" w:eastAsia="宋体" w:cs="宋体"/>
                <w:sz w:val="21"/>
                <w:szCs w:val="21"/>
              </w:rPr>
            </w:pPr>
            <w:r>
              <w:rPr>
                <w:rFonts w:hint="eastAsia" w:ascii="宋体" w:hAnsi="宋体" w:eastAsia="宋体" w:cs="宋体"/>
                <w:b w:val="0"/>
                <w:bCs w:val="0"/>
                <w:i w:val="0"/>
                <w:iCs w:val="0"/>
                <w:color w:val="auto"/>
                <w:kern w:val="2"/>
                <w:sz w:val="21"/>
                <w:szCs w:val="21"/>
                <w:u w:val="none"/>
              </w:rPr>
              <w:t>将交易价格</w:t>
            </w:r>
            <w:r>
              <w:rPr>
                <w:rFonts w:hint="eastAsia" w:ascii="宋体" w:hAnsi="宋体" w:eastAsia="宋体" w:cs="宋体"/>
                <w:b w:val="0"/>
                <w:bCs w:val="0"/>
                <w:i w:val="0"/>
                <w:iCs w:val="0"/>
                <w:color w:val="FF0000"/>
                <w:kern w:val="2"/>
                <w:sz w:val="21"/>
                <w:szCs w:val="21"/>
                <w:u w:val="none"/>
              </w:rPr>
              <w:t>分摊至各单项履约义务</w:t>
            </w:r>
          </w:p>
        </w:tc>
        <w:tc>
          <w:tcPr>
            <w:tcW w:w="467" w:type="pct"/>
            <w:vMerge w:val="continue"/>
            <w:shd w:val="clear" w:color="auto" w:fill="auto"/>
            <w:tcMar>
              <w:top w:w="69" w:type="dxa"/>
              <w:left w:w="139" w:type="dxa"/>
              <w:bottom w:w="69" w:type="dxa"/>
              <w:right w:w="139" w:type="dxa"/>
            </w:tcMar>
            <w:vAlign w:val="center"/>
          </w:tcPr>
          <w:p w14:paraId="7304A9B8">
            <w:pPr>
              <w:keepNext w:val="0"/>
              <w:keepLines w:val="0"/>
              <w:pageBreakBefore w:val="0"/>
              <w:kinsoku/>
              <w:wordWrap/>
              <w:overflowPunct/>
              <w:topLinePunct w:val="0"/>
              <w:bidi w:val="0"/>
              <w:snapToGrid/>
              <w:spacing w:before="0" w:beforeLines="0" w:after="0" w:afterLines="0"/>
              <w:jc w:val="center"/>
              <w:textAlignment w:val="auto"/>
              <w:outlineLvl w:val="9"/>
              <w:rPr>
                <w:rFonts w:hint="eastAsia" w:ascii="宋体" w:hAnsi="宋体" w:eastAsia="宋体" w:cs="宋体"/>
                <w:i w:val="0"/>
                <w:iCs w:val="0"/>
                <w:color w:val="auto"/>
                <w:sz w:val="21"/>
                <w:szCs w:val="21"/>
                <w:u w:val="none"/>
              </w:rPr>
            </w:pPr>
          </w:p>
        </w:tc>
      </w:tr>
      <w:tr w14:paraId="46EB7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655" w:type="pct"/>
            <w:shd w:val="clear" w:color="auto" w:fill="auto"/>
            <w:tcMar>
              <w:top w:w="69" w:type="dxa"/>
              <w:left w:w="139" w:type="dxa"/>
              <w:bottom w:w="69" w:type="dxa"/>
              <w:right w:w="139" w:type="dxa"/>
            </w:tcMar>
            <w:vAlign w:val="center"/>
          </w:tcPr>
          <w:p w14:paraId="481119C9">
            <w:pPr>
              <w:pStyle w:val="5"/>
              <w:keepNext w:val="0"/>
              <w:keepLines w:val="0"/>
              <w:pageBreakBefore w:val="0"/>
              <w:widowControl/>
              <w:suppressLineNumbers w:val="0"/>
              <w:kinsoku/>
              <w:wordWrap/>
              <w:overflowPunct/>
              <w:topLinePunct w:val="0"/>
              <w:bidi w:val="0"/>
              <w:snapToGrid/>
              <w:spacing w:before="0" w:beforeAutospacing="0" w:after="0" w:afterAutospacing="0" w:line="288" w:lineRule="auto"/>
              <w:ind w:left="0"/>
              <w:jc w:val="center"/>
              <w:textAlignment w:val="auto"/>
              <w:outlineLvl w:val="9"/>
              <w:rPr>
                <w:rFonts w:hint="eastAsia" w:ascii="宋体" w:hAnsi="宋体" w:eastAsia="宋体" w:cs="宋体"/>
                <w:sz w:val="21"/>
                <w:szCs w:val="21"/>
              </w:rPr>
            </w:pPr>
            <w:r>
              <w:rPr>
                <w:rFonts w:hint="eastAsia" w:ascii="宋体" w:hAnsi="宋体" w:eastAsia="宋体" w:cs="宋体"/>
                <w:b w:val="0"/>
                <w:bCs w:val="0"/>
                <w:i w:val="0"/>
                <w:iCs w:val="0"/>
                <w:color w:val="auto"/>
                <w:kern w:val="2"/>
                <w:sz w:val="21"/>
                <w:szCs w:val="21"/>
                <w:u w:val="none"/>
              </w:rPr>
              <w:t xml:space="preserve">第五步 </w:t>
            </w:r>
          </w:p>
        </w:tc>
        <w:tc>
          <w:tcPr>
            <w:tcW w:w="3877" w:type="pct"/>
            <w:shd w:val="clear" w:color="auto" w:fill="auto"/>
            <w:tcMar>
              <w:top w:w="69" w:type="dxa"/>
              <w:left w:w="139" w:type="dxa"/>
              <w:bottom w:w="69" w:type="dxa"/>
              <w:right w:w="139" w:type="dxa"/>
            </w:tcMar>
            <w:vAlign w:val="center"/>
          </w:tcPr>
          <w:p w14:paraId="0CFDAC31">
            <w:pPr>
              <w:pStyle w:val="5"/>
              <w:keepNext w:val="0"/>
              <w:keepLines w:val="0"/>
              <w:pageBreakBefore w:val="0"/>
              <w:widowControl/>
              <w:suppressLineNumbers w:val="0"/>
              <w:kinsoku/>
              <w:wordWrap/>
              <w:overflowPunct/>
              <w:topLinePunct w:val="0"/>
              <w:bidi w:val="0"/>
              <w:snapToGrid/>
              <w:spacing w:before="0" w:beforeAutospacing="0" w:after="0" w:afterAutospacing="0" w:line="288" w:lineRule="auto"/>
              <w:ind w:left="0"/>
              <w:jc w:val="left"/>
              <w:textAlignment w:val="auto"/>
              <w:outlineLvl w:val="9"/>
              <w:rPr>
                <w:rFonts w:hint="eastAsia" w:ascii="宋体" w:hAnsi="宋体" w:eastAsia="宋体" w:cs="宋体"/>
                <w:sz w:val="21"/>
                <w:szCs w:val="21"/>
              </w:rPr>
            </w:pPr>
            <w:r>
              <w:rPr>
                <w:rFonts w:hint="eastAsia" w:ascii="宋体" w:hAnsi="宋体" w:eastAsia="宋体" w:cs="宋体"/>
                <w:b w:val="0"/>
                <w:bCs w:val="0"/>
                <w:i w:val="0"/>
                <w:iCs w:val="0"/>
                <w:color w:val="auto"/>
                <w:kern w:val="2"/>
                <w:sz w:val="21"/>
                <w:szCs w:val="21"/>
                <w:u w:val="none"/>
              </w:rPr>
              <w:t>履行各单项履约义务时（点义务、段义务）</w:t>
            </w:r>
            <w:r>
              <w:rPr>
                <w:rFonts w:hint="eastAsia" w:ascii="宋体" w:hAnsi="宋体" w:eastAsia="宋体" w:cs="宋体"/>
                <w:b w:val="0"/>
                <w:bCs w:val="0"/>
                <w:i w:val="0"/>
                <w:iCs w:val="0"/>
                <w:color w:val="FF0000"/>
                <w:kern w:val="2"/>
                <w:sz w:val="21"/>
                <w:szCs w:val="21"/>
                <w:u w:val="none"/>
              </w:rPr>
              <w:t>确认收入</w:t>
            </w:r>
            <w:r>
              <w:rPr>
                <w:rFonts w:hint="eastAsia" w:ascii="宋体" w:hAnsi="宋体" w:eastAsia="宋体" w:cs="宋体"/>
                <w:b w:val="0"/>
                <w:bCs w:val="0"/>
                <w:i w:val="0"/>
                <w:iCs w:val="0"/>
                <w:color w:val="auto"/>
                <w:kern w:val="2"/>
                <w:sz w:val="21"/>
                <w:szCs w:val="21"/>
                <w:u w:val="none"/>
              </w:rPr>
              <w:t xml:space="preserve"> </w:t>
            </w:r>
          </w:p>
        </w:tc>
        <w:tc>
          <w:tcPr>
            <w:tcW w:w="467" w:type="pct"/>
            <w:shd w:val="clear" w:color="auto" w:fill="auto"/>
            <w:tcMar>
              <w:top w:w="69" w:type="dxa"/>
              <w:left w:w="139" w:type="dxa"/>
              <w:bottom w:w="69" w:type="dxa"/>
              <w:right w:w="139" w:type="dxa"/>
            </w:tcMar>
            <w:vAlign w:val="center"/>
          </w:tcPr>
          <w:p w14:paraId="5BD37485">
            <w:pPr>
              <w:pStyle w:val="5"/>
              <w:keepNext w:val="0"/>
              <w:keepLines w:val="0"/>
              <w:pageBreakBefore w:val="0"/>
              <w:widowControl/>
              <w:suppressLineNumbers w:val="0"/>
              <w:kinsoku/>
              <w:wordWrap/>
              <w:overflowPunct/>
              <w:topLinePunct w:val="0"/>
              <w:bidi w:val="0"/>
              <w:snapToGrid/>
              <w:spacing w:before="0" w:beforeAutospacing="0" w:after="0" w:afterAutospacing="0" w:line="288" w:lineRule="auto"/>
              <w:ind w:left="0"/>
              <w:jc w:val="center"/>
              <w:textAlignment w:val="auto"/>
              <w:outlineLvl w:val="9"/>
              <w:rPr>
                <w:rFonts w:hint="eastAsia" w:ascii="宋体" w:hAnsi="宋体" w:eastAsia="宋体" w:cs="宋体"/>
                <w:sz w:val="21"/>
                <w:szCs w:val="21"/>
              </w:rPr>
            </w:pPr>
            <w:r>
              <w:rPr>
                <w:rFonts w:hint="eastAsia" w:ascii="宋体" w:hAnsi="宋体" w:eastAsia="宋体" w:cs="宋体"/>
                <w:b w:val="0"/>
                <w:bCs w:val="0"/>
                <w:i w:val="0"/>
                <w:iCs w:val="0"/>
                <w:color w:val="auto"/>
                <w:kern w:val="2"/>
                <w:sz w:val="21"/>
                <w:szCs w:val="21"/>
                <w:u w:val="none"/>
              </w:rPr>
              <w:t>确认</w:t>
            </w:r>
          </w:p>
        </w:tc>
      </w:tr>
    </w:tbl>
    <w:p w14:paraId="3D7533B7">
      <w:pPr>
        <w:keepNext w:val="0"/>
        <w:keepLines w:val="0"/>
        <w:pageBreakBefore w:val="0"/>
        <w:widowControl w:val="0"/>
        <w:kinsoku/>
        <w:wordWrap/>
        <w:overflowPunct/>
        <w:topLinePunct w:val="0"/>
        <w:autoSpaceDE w:val="0"/>
        <w:autoSpaceDN w:val="0"/>
        <w:bidi w:val="0"/>
        <w:adjustRightInd w:val="0"/>
        <w:snapToGrid/>
        <w:spacing w:line="360" w:lineRule="auto"/>
        <w:ind w:left="0" w:firstLine="0"/>
        <w:textAlignment w:val="auto"/>
        <w:outlineLvl w:val="9"/>
        <w:rPr>
          <w:rFonts w:hint="eastAsia" w:ascii="宋体" w:hAnsi="宋体" w:eastAsia="宋体" w:cs="宋体"/>
          <w:color w:val="FF0000"/>
          <w:sz w:val="21"/>
          <w:szCs w:val="21"/>
          <w:lang w:eastAsia="zh-CN"/>
        </w:rPr>
      </w:pPr>
    </w:p>
    <w:p w14:paraId="3DC1A5B1">
      <w:pPr>
        <w:keepNext w:val="0"/>
        <w:keepLines w:val="0"/>
        <w:pageBreakBefore w:val="0"/>
        <w:widowControl w:val="0"/>
        <w:kinsoku/>
        <w:wordWrap/>
        <w:overflowPunct/>
        <w:topLinePunct w:val="0"/>
        <w:autoSpaceDE w:val="0"/>
        <w:autoSpaceDN w:val="0"/>
        <w:bidi w:val="0"/>
        <w:adjustRightInd w:val="0"/>
        <w:snapToGrid/>
        <w:spacing w:line="360" w:lineRule="auto"/>
        <w:ind w:left="0" w:firstLine="0"/>
        <w:textAlignment w:val="auto"/>
        <w:outlineLvl w:val="9"/>
        <w:rPr>
          <w:rFonts w:hint="eastAsia" w:ascii="宋体" w:hAnsi="宋体" w:eastAsia="宋体" w:cs="宋体"/>
          <w:color w:val="FF0000"/>
          <w:sz w:val="21"/>
          <w:szCs w:val="21"/>
          <w:lang w:eastAsia="zh-CN"/>
        </w:rPr>
      </w:pPr>
      <w:r>
        <w:rPr>
          <w:rFonts w:hint="eastAsia" w:ascii="宋体" w:hAnsi="宋体" w:eastAsia="宋体" w:cs="宋体"/>
          <w:color w:val="FF0000"/>
          <w:sz w:val="21"/>
          <w:szCs w:val="21"/>
          <w:lang w:val="en-US" w:eastAsia="zh-CN"/>
        </w:rPr>
        <w:t>2.</w:t>
      </w:r>
      <w:r>
        <w:rPr>
          <w:rFonts w:hint="eastAsia" w:ascii="宋体" w:hAnsi="宋体" w:eastAsia="宋体" w:cs="宋体"/>
          <w:color w:val="FF0000"/>
          <w:sz w:val="21"/>
          <w:szCs w:val="21"/>
          <w:lang w:eastAsia="zh-CN"/>
        </w:rPr>
        <w:t>★★★合同变更</w:t>
      </w:r>
    </w:p>
    <w:tbl>
      <w:tblPr>
        <w:tblStyle w:val="6"/>
        <w:tblW w:w="49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949"/>
        <w:gridCol w:w="9235"/>
      </w:tblGrid>
      <w:tr w14:paraId="23B68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45" w:hRule="atLeast"/>
        </w:trPr>
        <w:tc>
          <w:tcPr>
            <w:tcW w:w="466" w:type="pct"/>
            <w:vMerge w:val="restart"/>
            <w:shd w:val="clear" w:color="auto" w:fill="auto"/>
            <w:tcMar>
              <w:top w:w="69" w:type="dxa"/>
              <w:left w:w="139" w:type="dxa"/>
              <w:bottom w:w="69" w:type="dxa"/>
              <w:right w:w="139" w:type="dxa"/>
            </w:tcMar>
            <w:vAlign w:val="center"/>
          </w:tcPr>
          <w:p w14:paraId="7024DA69">
            <w:pPr>
              <w:pStyle w:val="5"/>
              <w:keepNext w:val="0"/>
              <w:keepLines w:val="0"/>
              <w:pageBreakBefore w:val="0"/>
              <w:widowControl/>
              <w:suppressLineNumbers w:val="0"/>
              <w:kinsoku/>
              <w:wordWrap/>
              <w:overflowPunct/>
              <w:topLinePunct w:val="0"/>
              <w:bidi w:val="0"/>
              <w:snapToGrid/>
              <w:spacing w:before="0" w:beforeAutospacing="0" w:after="0" w:afterAutospacing="0" w:line="288" w:lineRule="auto"/>
              <w:ind w:left="0"/>
              <w:jc w:val="center"/>
              <w:textAlignment w:val="auto"/>
              <w:outlineLvl w:val="9"/>
              <w:rPr>
                <w:rFonts w:hint="eastAsia" w:ascii="宋体" w:hAnsi="宋体" w:eastAsia="宋体" w:cs="宋体"/>
                <w:sz w:val="21"/>
                <w:szCs w:val="21"/>
              </w:rPr>
            </w:pPr>
            <w:r>
              <w:rPr>
                <w:rFonts w:hint="eastAsia" w:ascii="宋体" w:hAnsi="宋体" w:eastAsia="宋体" w:cs="宋体"/>
                <w:b w:val="0"/>
                <w:bCs w:val="0"/>
                <w:i w:val="0"/>
                <w:iCs w:val="0"/>
                <w:color w:val="auto"/>
                <w:kern w:val="2"/>
                <w:sz w:val="21"/>
                <w:szCs w:val="21"/>
                <w:u w:val="none"/>
              </w:rPr>
              <w:t>（1）</w:t>
            </w:r>
          </w:p>
        </w:tc>
        <w:tc>
          <w:tcPr>
            <w:tcW w:w="4533" w:type="pct"/>
            <w:shd w:val="clear" w:color="auto" w:fill="auto"/>
            <w:tcMar>
              <w:top w:w="69" w:type="dxa"/>
              <w:left w:w="139" w:type="dxa"/>
              <w:bottom w:w="69" w:type="dxa"/>
              <w:right w:w="139" w:type="dxa"/>
            </w:tcMar>
            <w:vAlign w:val="center"/>
          </w:tcPr>
          <w:p w14:paraId="1682AD39">
            <w:pPr>
              <w:pStyle w:val="5"/>
              <w:keepNext w:val="0"/>
              <w:keepLines w:val="0"/>
              <w:pageBreakBefore w:val="0"/>
              <w:widowControl/>
              <w:suppressLineNumbers w:val="0"/>
              <w:kinsoku/>
              <w:wordWrap/>
              <w:overflowPunct/>
              <w:topLinePunct w:val="0"/>
              <w:bidi w:val="0"/>
              <w:snapToGrid/>
              <w:spacing w:before="0" w:beforeAutospacing="0" w:after="0" w:afterAutospacing="0" w:line="288" w:lineRule="auto"/>
              <w:ind w:left="0"/>
              <w:jc w:val="left"/>
              <w:textAlignment w:val="auto"/>
              <w:outlineLvl w:val="9"/>
              <w:rPr>
                <w:rFonts w:hint="eastAsia" w:ascii="宋体" w:hAnsi="宋体" w:eastAsia="宋体" w:cs="宋体"/>
                <w:sz w:val="21"/>
                <w:szCs w:val="21"/>
              </w:rPr>
            </w:pPr>
            <w:r>
              <w:rPr>
                <w:rFonts w:hint="eastAsia" w:ascii="宋体" w:hAnsi="宋体" w:eastAsia="宋体" w:cs="宋体"/>
                <w:b w:val="0"/>
                <w:bCs w:val="0"/>
                <w:i w:val="0"/>
                <w:iCs w:val="0"/>
                <w:color w:val="auto"/>
                <w:kern w:val="2"/>
                <w:sz w:val="21"/>
                <w:szCs w:val="21"/>
                <w:u w:val="none"/>
              </w:rPr>
              <w:t>合同变更部分作为单独合同</w:t>
            </w:r>
            <w:r>
              <w:rPr>
                <w:rFonts w:hint="eastAsia" w:ascii="宋体" w:hAnsi="宋体" w:eastAsia="宋体" w:cs="宋体"/>
                <w:b w:val="0"/>
                <w:bCs w:val="0"/>
                <w:i w:val="0"/>
                <w:iCs w:val="0"/>
                <w:color w:val="FF0000"/>
                <w:kern w:val="2"/>
                <w:sz w:val="21"/>
                <w:szCs w:val="21"/>
                <w:u w:val="none"/>
              </w:rPr>
              <w:t>（老合同+新合同：新老并存）</w:t>
            </w:r>
          </w:p>
        </w:tc>
      </w:tr>
      <w:tr w14:paraId="63CB8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51" w:hRule="atLeast"/>
        </w:trPr>
        <w:tc>
          <w:tcPr>
            <w:tcW w:w="466" w:type="pct"/>
            <w:vMerge w:val="continue"/>
            <w:shd w:val="clear" w:color="auto" w:fill="auto"/>
            <w:tcMar>
              <w:top w:w="69" w:type="dxa"/>
              <w:left w:w="139" w:type="dxa"/>
              <w:bottom w:w="69" w:type="dxa"/>
              <w:right w:w="139" w:type="dxa"/>
            </w:tcMar>
            <w:vAlign w:val="center"/>
          </w:tcPr>
          <w:p w14:paraId="79B555BD">
            <w:pPr>
              <w:keepNext w:val="0"/>
              <w:keepLines w:val="0"/>
              <w:pageBreakBefore w:val="0"/>
              <w:kinsoku/>
              <w:wordWrap/>
              <w:overflowPunct/>
              <w:topLinePunct w:val="0"/>
              <w:bidi w:val="0"/>
              <w:snapToGrid/>
              <w:spacing w:before="0" w:beforeLines="0" w:after="0" w:afterLines="0"/>
              <w:jc w:val="center"/>
              <w:textAlignment w:val="auto"/>
              <w:outlineLvl w:val="9"/>
              <w:rPr>
                <w:rFonts w:hint="eastAsia" w:ascii="宋体" w:hAnsi="宋体" w:eastAsia="宋体" w:cs="宋体"/>
                <w:i w:val="0"/>
                <w:iCs w:val="0"/>
                <w:color w:val="auto"/>
                <w:sz w:val="21"/>
                <w:szCs w:val="21"/>
                <w:u w:val="none"/>
              </w:rPr>
            </w:pPr>
          </w:p>
        </w:tc>
        <w:tc>
          <w:tcPr>
            <w:tcW w:w="4533" w:type="pct"/>
            <w:shd w:val="clear" w:color="auto" w:fill="auto"/>
            <w:tcMar>
              <w:top w:w="69" w:type="dxa"/>
              <w:left w:w="139" w:type="dxa"/>
              <w:bottom w:w="69" w:type="dxa"/>
              <w:right w:w="139" w:type="dxa"/>
            </w:tcMar>
            <w:vAlign w:val="center"/>
          </w:tcPr>
          <w:p w14:paraId="22BFBCB9">
            <w:pPr>
              <w:pStyle w:val="5"/>
              <w:keepNext w:val="0"/>
              <w:keepLines w:val="0"/>
              <w:pageBreakBefore w:val="0"/>
              <w:widowControl/>
              <w:suppressLineNumbers w:val="0"/>
              <w:kinsoku/>
              <w:wordWrap/>
              <w:overflowPunct/>
              <w:topLinePunct w:val="0"/>
              <w:bidi w:val="0"/>
              <w:snapToGrid/>
              <w:spacing w:before="0" w:beforeAutospacing="0" w:after="0" w:afterAutospacing="0" w:line="288" w:lineRule="auto"/>
              <w:ind w:left="0"/>
              <w:jc w:val="left"/>
              <w:textAlignment w:val="auto"/>
              <w:outlineLvl w:val="9"/>
              <w:rPr>
                <w:rFonts w:hint="eastAsia" w:ascii="宋体" w:hAnsi="宋体" w:eastAsia="宋体" w:cs="宋体"/>
                <w:sz w:val="21"/>
                <w:szCs w:val="21"/>
              </w:rPr>
            </w:pPr>
            <w:r>
              <w:rPr>
                <w:rFonts w:hint="eastAsia" w:ascii="宋体" w:hAnsi="宋体" w:eastAsia="宋体" w:cs="宋体"/>
                <w:b w:val="0"/>
                <w:bCs w:val="0"/>
                <w:i w:val="0"/>
                <w:iCs w:val="0"/>
                <w:color w:val="FF0000"/>
                <w:kern w:val="2"/>
                <w:sz w:val="21"/>
                <w:szCs w:val="21"/>
                <w:u w:val="none"/>
              </w:rPr>
              <w:t>合同变更增加了可明确区分的商品及合同价款</w:t>
            </w:r>
          </w:p>
        </w:tc>
      </w:tr>
      <w:tr w14:paraId="1FCF5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51" w:hRule="atLeast"/>
        </w:trPr>
        <w:tc>
          <w:tcPr>
            <w:tcW w:w="466" w:type="pct"/>
            <w:vMerge w:val="restart"/>
            <w:shd w:val="clear" w:color="auto" w:fill="auto"/>
            <w:tcMar>
              <w:top w:w="69" w:type="dxa"/>
              <w:left w:w="139" w:type="dxa"/>
              <w:bottom w:w="69" w:type="dxa"/>
              <w:right w:w="139" w:type="dxa"/>
            </w:tcMar>
            <w:vAlign w:val="center"/>
          </w:tcPr>
          <w:p w14:paraId="3600E6AC">
            <w:pPr>
              <w:pStyle w:val="5"/>
              <w:keepNext w:val="0"/>
              <w:keepLines w:val="0"/>
              <w:pageBreakBefore w:val="0"/>
              <w:widowControl/>
              <w:suppressLineNumbers w:val="0"/>
              <w:kinsoku/>
              <w:wordWrap/>
              <w:overflowPunct/>
              <w:topLinePunct w:val="0"/>
              <w:bidi w:val="0"/>
              <w:snapToGrid/>
              <w:spacing w:before="0" w:beforeAutospacing="0" w:after="0" w:afterAutospacing="0" w:line="288" w:lineRule="auto"/>
              <w:ind w:left="0"/>
              <w:jc w:val="center"/>
              <w:textAlignment w:val="auto"/>
              <w:outlineLvl w:val="9"/>
              <w:rPr>
                <w:rFonts w:hint="eastAsia" w:ascii="宋体" w:hAnsi="宋体" w:eastAsia="宋体" w:cs="宋体"/>
                <w:sz w:val="21"/>
                <w:szCs w:val="21"/>
              </w:rPr>
            </w:pPr>
            <w:r>
              <w:rPr>
                <w:rFonts w:hint="eastAsia" w:ascii="宋体" w:hAnsi="宋体" w:eastAsia="宋体" w:cs="宋体"/>
                <w:b w:val="0"/>
                <w:bCs w:val="0"/>
                <w:i w:val="0"/>
                <w:iCs w:val="0"/>
                <w:color w:val="auto"/>
                <w:kern w:val="2"/>
                <w:sz w:val="21"/>
                <w:szCs w:val="21"/>
                <w:u w:val="none"/>
              </w:rPr>
              <w:t>（2）</w:t>
            </w:r>
          </w:p>
        </w:tc>
        <w:tc>
          <w:tcPr>
            <w:tcW w:w="4533" w:type="pct"/>
            <w:shd w:val="clear" w:color="auto" w:fill="auto"/>
            <w:tcMar>
              <w:top w:w="69" w:type="dxa"/>
              <w:left w:w="139" w:type="dxa"/>
              <w:bottom w:w="69" w:type="dxa"/>
              <w:right w:w="139" w:type="dxa"/>
            </w:tcMar>
            <w:vAlign w:val="center"/>
          </w:tcPr>
          <w:p w14:paraId="5BB1E59D">
            <w:pPr>
              <w:pStyle w:val="5"/>
              <w:keepNext w:val="0"/>
              <w:keepLines w:val="0"/>
              <w:pageBreakBefore w:val="0"/>
              <w:widowControl/>
              <w:suppressLineNumbers w:val="0"/>
              <w:kinsoku/>
              <w:wordWrap/>
              <w:overflowPunct/>
              <w:topLinePunct w:val="0"/>
              <w:bidi w:val="0"/>
              <w:snapToGrid/>
              <w:spacing w:before="0" w:beforeAutospacing="0" w:after="0" w:afterAutospacing="0" w:line="288" w:lineRule="auto"/>
              <w:ind w:left="0"/>
              <w:jc w:val="left"/>
              <w:textAlignment w:val="auto"/>
              <w:outlineLvl w:val="9"/>
              <w:rPr>
                <w:rFonts w:hint="eastAsia" w:ascii="宋体" w:hAnsi="宋体" w:eastAsia="宋体" w:cs="宋体"/>
                <w:sz w:val="21"/>
                <w:szCs w:val="21"/>
              </w:rPr>
            </w:pPr>
            <w:r>
              <w:rPr>
                <w:rFonts w:hint="eastAsia" w:ascii="宋体" w:hAnsi="宋体" w:eastAsia="宋体" w:cs="宋体"/>
                <w:b w:val="0"/>
                <w:bCs w:val="0"/>
                <w:i w:val="0"/>
                <w:iCs w:val="0"/>
                <w:color w:val="auto"/>
                <w:kern w:val="2"/>
                <w:sz w:val="21"/>
                <w:szCs w:val="21"/>
                <w:u w:val="none"/>
              </w:rPr>
              <w:t>合同变更作为原合同终止及新合同订立</w:t>
            </w:r>
            <w:r>
              <w:rPr>
                <w:rFonts w:hint="eastAsia" w:ascii="宋体" w:hAnsi="宋体" w:eastAsia="宋体" w:cs="宋体"/>
                <w:b w:val="0"/>
                <w:bCs w:val="0"/>
                <w:i w:val="0"/>
                <w:iCs w:val="0"/>
                <w:color w:val="FF0000"/>
                <w:kern w:val="2"/>
                <w:sz w:val="21"/>
                <w:szCs w:val="21"/>
                <w:u w:val="none"/>
              </w:rPr>
              <w:t>（老合同终止，新合同订立：废老立新）</w:t>
            </w:r>
          </w:p>
        </w:tc>
      </w:tr>
      <w:tr w14:paraId="5A6BD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51" w:hRule="atLeast"/>
        </w:trPr>
        <w:tc>
          <w:tcPr>
            <w:tcW w:w="466" w:type="pct"/>
            <w:vMerge w:val="continue"/>
            <w:shd w:val="clear" w:color="auto" w:fill="auto"/>
            <w:tcMar>
              <w:top w:w="69" w:type="dxa"/>
              <w:left w:w="139" w:type="dxa"/>
              <w:bottom w:w="69" w:type="dxa"/>
              <w:right w:w="139" w:type="dxa"/>
            </w:tcMar>
            <w:vAlign w:val="center"/>
          </w:tcPr>
          <w:p w14:paraId="6026F96D">
            <w:pPr>
              <w:keepNext w:val="0"/>
              <w:keepLines w:val="0"/>
              <w:pageBreakBefore w:val="0"/>
              <w:kinsoku/>
              <w:wordWrap/>
              <w:overflowPunct/>
              <w:topLinePunct w:val="0"/>
              <w:bidi w:val="0"/>
              <w:snapToGrid/>
              <w:spacing w:before="0" w:beforeLines="0" w:after="0" w:afterLines="0"/>
              <w:jc w:val="center"/>
              <w:textAlignment w:val="auto"/>
              <w:outlineLvl w:val="9"/>
              <w:rPr>
                <w:rFonts w:hint="eastAsia" w:ascii="宋体" w:hAnsi="宋体" w:eastAsia="宋体" w:cs="宋体"/>
                <w:i w:val="0"/>
                <w:iCs w:val="0"/>
                <w:color w:val="auto"/>
                <w:sz w:val="21"/>
                <w:szCs w:val="21"/>
                <w:u w:val="none"/>
              </w:rPr>
            </w:pPr>
          </w:p>
        </w:tc>
        <w:tc>
          <w:tcPr>
            <w:tcW w:w="4533" w:type="pct"/>
            <w:shd w:val="clear" w:color="auto" w:fill="auto"/>
            <w:tcMar>
              <w:top w:w="69" w:type="dxa"/>
              <w:left w:w="139" w:type="dxa"/>
              <w:bottom w:w="69" w:type="dxa"/>
              <w:right w:w="139" w:type="dxa"/>
            </w:tcMar>
            <w:vAlign w:val="center"/>
          </w:tcPr>
          <w:p w14:paraId="0D3FCBB8">
            <w:pPr>
              <w:pStyle w:val="5"/>
              <w:keepNext w:val="0"/>
              <w:keepLines w:val="0"/>
              <w:pageBreakBefore w:val="0"/>
              <w:widowControl/>
              <w:suppressLineNumbers w:val="0"/>
              <w:kinsoku/>
              <w:wordWrap/>
              <w:overflowPunct/>
              <w:topLinePunct w:val="0"/>
              <w:bidi w:val="0"/>
              <w:snapToGrid/>
              <w:spacing w:before="0" w:beforeAutospacing="0" w:after="0" w:afterAutospacing="0" w:line="288" w:lineRule="auto"/>
              <w:ind w:left="0"/>
              <w:jc w:val="left"/>
              <w:textAlignment w:val="auto"/>
              <w:outlineLvl w:val="9"/>
              <w:rPr>
                <w:rFonts w:hint="eastAsia" w:ascii="宋体" w:hAnsi="宋体" w:eastAsia="宋体" w:cs="宋体"/>
                <w:sz w:val="21"/>
                <w:szCs w:val="21"/>
              </w:rPr>
            </w:pPr>
            <w:r>
              <w:rPr>
                <w:rFonts w:hint="eastAsia" w:ascii="宋体" w:hAnsi="宋体" w:eastAsia="宋体" w:cs="宋体"/>
                <w:b w:val="0"/>
                <w:bCs w:val="0"/>
                <w:i w:val="0"/>
                <w:iCs w:val="0"/>
                <w:color w:val="FF0000"/>
                <w:kern w:val="2"/>
                <w:sz w:val="21"/>
                <w:szCs w:val="21"/>
                <w:u w:val="none"/>
              </w:rPr>
              <w:t>在合同变更日已转让的商品与未转让的商品之间可明确区分的</w:t>
            </w:r>
          </w:p>
        </w:tc>
      </w:tr>
      <w:tr w14:paraId="197FE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51" w:hRule="atLeast"/>
        </w:trPr>
        <w:tc>
          <w:tcPr>
            <w:tcW w:w="466" w:type="pct"/>
            <w:vMerge w:val="restart"/>
            <w:shd w:val="clear" w:color="auto" w:fill="auto"/>
            <w:tcMar>
              <w:top w:w="69" w:type="dxa"/>
              <w:left w:w="139" w:type="dxa"/>
              <w:bottom w:w="69" w:type="dxa"/>
              <w:right w:w="139" w:type="dxa"/>
            </w:tcMar>
            <w:vAlign w:val="center"/>
          </w:tcPr>
          <w:p w14:paraId="0035D696">
            <w:pPr>
              <w:pStyle w:val="5"/>
              <w:keepNext w:val="0"/>
              <w:keepLines w:val="0"/>
              <w:pageBreakBefore w:val="0"/>
              <w:widowControl/>
              <w:suppressLineNumbers w:val="0"/>
              <w:kinsoku/>
              <w:wordWrap/>
              <w:overflowPunct/>
              <w:topLinePunct w:val="0"/>
              <w:bidi w:val="0"/>
              <w:snapToGrid/>
              <w:spacing w:before="0" w:beforeAutospacing="0" w:after="0" w:afterAutospacing="0" w:line="288" w:lineRule="auto"/>
              <w:ind w:left="0"/>
              <w:jc w:val="center"/>
              <w:textAlignment w:val="auto"/>
              <w:outlineLvl w:val="9"/>
              <w:rPr>
                <w:rFonts w:hint="eastAsia" w:ascii="宋体" w:hAnsi="宋体" w:eastAsia="宋体" w:cs="宋体"/>
                <w:sz w:val="21"/>
                <w:szCs w:val="21"/>
              </w:rPr>
            </w:pPr>
            <w:r>
              <w:rPr>
                <w:rFonts w:hint="eastAsia" w:ascii="宋体" w:hAnsi="宋体" w:eastAsia="宋体" w:cs="宋体"/>
                <w:b w:val="0"/>
                <w:bCs w:val="0"/>
                <w:i w:val="0"/>
                <w:iCs w:val="0"/>
                <w:color w:val="auto"/>
                <w:kern w:val="2"/>
                <w:sz w:val="21"/>
                <w:szCs w:val="21"/>
                <w:u w:val="none"/>
              </w:rPr>
              <w:t>（3）</w:t>
            </w:r>
          </w:p>
        </w:tc>
        <w:tc>
          <w:tcPr>
            <w:tcW w:w="4533" w:type="pct"/>
            <w:shd w:val="clear" w:color="auto" w:fill="auto"/>
            <w:tcMar>
              <w:top w:w="69" w:type="dxa"/>
              <w:left w:w="139" w:type="dxa"/>
              <w:bottom w:w="69" w:type="dxa"/>
              <w:right w:w="139" w:type="dxa"/>
            </w:tcMar>
            <w:vAlign w:val="center"/>
          </w:tcPr>
          <w:p w14:paraId="7D02A681">
            <w:pPr>
              <w:pStyle w:val="5"/>
              <w:keepNext w:val="0"/>
              <w:keepLines w:val="0"/>
              <w:pageBreakBefore w:val="0"/>
              <w:widowControl/>
              <w:suppressLineNumbers w:val="0"/>
              <w:kinsoku/>
              <w:wordWrap/>
              <w:overflowPunct/>
              <w:topLinePunct w:val="0"/>
              <w:bidi w:val="0"/>
              <w:snapToGrid/>
              <w:spacing w:before="0" w:beforeAutospacing="0" w:after="0" w:afterAutospacing="0" w:line="288" w:lineRule="auto"/>
              <w:ind w:left="0"/>
              <w:jc w:val="left"/>
              <w:textAlignment w:val="auto"/>
              <w:outlineLvl w:val="9"/>
              <w:rPr>
                <w:rFonts w:hint="eastAsia" w:ascii="宋体" w:hAnsi="宋体" w:eastAsia="宋体" w:cs="宋体"/>
                <w:sz w:val="21"/>
                <w:szCs w:val="21"/>
              </w:rPr>
            </w:pPr>
            <w:r>
              <w:rPr>
                <w:rFonts w:hint="eastAsia" w:ascii="宋体" w:hAnsi="宋体" w:eastAsia="宋体" w:cs="宋体"/>
                <w:b w:val="0"/>
                <w:bCs w:val="0"/>
                <w:i w:val="0"/>
                <w:iCs w:val="0"/>
                <w:color w:val="auto"/>
                <w:kern w:val="2"/>
                <w:sz w:val="21"/>
                <w:szCs w:val="21"/>
                <w:u w:val="none"/>
              </w:rPr>
              <w:t>合同变更部分作为原合同的组成部分</w:t>
            </w:r>
            <w:r>
              <w:rPr>
                <w:rFonts w:hint="eastAsia" w:ascii="宋体" w:hAnsi="宋体" w:eastAsia="宋体" w:cs="宋体"/>
                <w:b w:val="0"/>
                <w:bCs w:val="0"/>
                <w:i w:val="0"/>
                <w:iCs w:val="0"/>
                <w:color w:val="FF0000"/>
                <w:kern w:val="2"/>
                <w:sz w:val="21"/>
                <w:szCs w:val="21"/>
                <w:u w:val="none"/>
              </w:rPr>
              <w:t>（老合同继续，内容新增：以新充老）</w:t>
            </w:r>
          </w:p>
        </w:tc>
      </w:tr>
      <w:tr w14:paraId="69115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69" w:hRule="atLeast"/>
        </w:trPr>
        <w:tc>
          <w:tcPr>
            <w:tcW w:w="466" w:type="pct"/>
            <w:vMerge w:val="continue"/>
            <w:shd w:val="clear" w:color="auto" w:fill="auto"/>
            <w:tcMar>
              <w:top w:w="69" w:type="dxa"/>
              <w:left w:w="139" w:type="dxa"/>
              <w:bottom w:w="69" w:type="dxa"/>
              <w:right w:w="139" w:type="dxa"/>
            </w:tcMar>
            <w:vAlign w:val="center"/>
          </w:tcPr>
          <w:p w14:paraId="283DB763">
            <w:pPr>
              <w:keepNext w:val="0"/>
              <w:keepLines w:val="0"/>
              <w:pageBreakBefore w:val="0"/>
              <w:kinsoku/>
              <w:wordWrap/>
              <w:overflowPunct/>
              <w:topLinePunct w:val="0"/>
              <w:bidi w:val="0"/>
              <w:snapToGrid/>
              <w:spacing w:before="0" w:beforeLines="0" w:after="0" w:afterLines="0"/>
              <w:jc w:val="center"/>
              <w:textAlignment w:val="auto"/>
              <w:outlineLvl w:val="9"/>
              <w:rPr>
                <w:rFonts w:hint="eastAsia" w:ascii="宋体" w:hAnsi="宋体" w:eastAsia="宋体" w:cs="宋体"/>
                <w:i w:val="0"/>
                <w:iCs w:val="0"/>
                <w:color w:val="auto"/>
                <w:sz w:val="21"/>
                <w:szCs w:val="21"/>
                <w:u w:val="none"/>
              </w:rPr>
            </w:pPr>
          </w:p>
        </w:tc>
        <w:tc>
          <w:tcPr>
            <w:tcW w:w="4533" w:type="pct"/>
            <w:shd w:val="clear" w:color="auto" w:fill="auto"/>
            <w:tcMar>
              <w:top w:w="69" w:type="dxa"/>
              <w:left w:w="139" w:type="dxa"/>
              <w:bottom w:w="69" w:type="dxa"/>
              <w:right w:w="139" w:type="dxa"/>
            </w:tcMar>
            <w:vAlign w:val="center"/>
          </w:tcPr>
          <w:p w14:paraId="4899F993">
            <w:pPr>
              <w:pStyle w:val="5"/>
              <w:keepNext w:val="0"/>
              <w:keepLines w:val="0"/>
              <w:pageBreakBefore w:val="0"/>
              <w:widowControl/>
              <w:suppressLineNumbers w:val="0"/>
              <w:kinsoku/>
              <w:wordWrap/>
              <w:overflowPunct/>
              <w:topLinePunct w:val="0"/>
              <w:bidi w:val="0"/>
              <w:snapToGrid/>
              <w:spacing w:before="0" w:beforeAutospacing="0" w:after="0" w:afterAutospacing="0" w:line="288" w:lineRule="auto"/>
              <w:ind w:left="0"/>
              <w:jc w:val="left"/>
              <w:textAlignment w:val="auto"/>
              <w:outlineLvl w:val="9"/>
              <w:rPr>
                <w:rFonts w:hint="eastAsia" w:ascii="宋体" w:hAnsi="宋体" w:eastAsia="宋体" w:cs="宋体"/>
                <w:sz w:val="21"/>
                <w:szCs w:val="21"/>
              </w:rPr>
            </w:pPr>
            <w:r>
              <w:rPr>
                <w:rFonts w:hint="eastAsia" w:ascii="宋体" w:hAnsi="宋体" w:eastAsia="宋体" w:cs="宋体"/>
                <w:b w:val="0"/>
                <w:bCs w:val="0"/>
                <w:i w:val="0"/>
                <w:iCs w:val="0"/>
                <w:color w:val="auto"/>
                <w:kern w:val="2"/>
                <w:sz w:val="21"/>
                <w:szCs w:val="21"/>
                <w:u w:val="none"/>
              </w:rPr>
              <w:t>在合同变更日已转让的商品与未转让的商品之间不可明确区分的，应当将该合同变更部分作为原合同的组成部分，在合同变更日重新计算履约进度，并调整当期收入和相应成本等。</w:t>
            </w:r>
          </w:p>
        </w:tc>
      </w:tr>
    </w:tbl>
    <w:p w14:paraId="4E39162E">
      <w:pPr>
        <w:keepNext w:val="0"/>
        <w:keepLines w:val="0"/>
        <w:pageBreakBefore w:val="0"/>
        <w:widowControl w:val="0"/>
        <w:kinsoku/>
        <w:wordWrap/>
        <w:overflowPunct/>
        <w:topLinePunct w:val="0"/>
        <w:autoSpaceDE w:val="0"/>
        <w:autoSpaceDN w:val="0"/>
        <w:bidi w:val="0"/>
        <w:adjustRightInd w:val="0"/>
        <w:snapToGrid/>
        <w:spacing w:line="360" w:lineRule="auto"/>
        <w:ind w:left="0" w:firstLine="0"/>
        <w:textAlignment w:val="auto"/>
        <w:outlineLvl w:val="9"/>
        <w:rPr>
          <w:rFonts w:hint="eastAsia" w:ascii="宋体" w:hAnsi="宋体" w:eastAsia="宋体" w:cs="宋体"/>
          <w:color w:val="FF0000"/>
          <w:sz w:val="21"/>
          <w:szCs w:val="21"/>
          <w:lang w:eastAsia="zh-CN"/>
        </w:rPr>
      </w:pPr>
    </w:p>
    <w:p w14:paraId="39052937">
      <w:pPr>
        <w:keepNext w:val="0"/>
        <w:keepLines w:val="0"/>
        <w:pageBreakBefore w:val="0"/>
        <w:widowControl w:val="0"/>
        <w:kinsoku/>
        <w:wordWrap/>
        <w:overflowPunct/>
        <w:topLinePunct w:val="0"/>
        <w:autoSpaceDE w:val="0"/>
        <w:autoSpaceDN w:val="0"/>
        <w:bidi w:val="0"/>
        <w:adjustRightInd w:val="0"/>
        <w:snapToGrid/>
        <w:spacing w:line="360" w:lineRule="auto"/>
        <w:ind w:left="0" w:firstLine="0"/>
        <w:textAlignment w:val="auto"/>
        <w:outlineLvl w:val="9"/>
        <w:rPr>
          <w:rFonts w:hint="eastAsia" w:ascii="宋体" w:hAnsi="宋体" w:eastAsia="宋体" w:cs="宋体"/>
          <w:color w:val="FF0000"/>
          <w:sz w:val="21"/>
          <w:szCs w:val="21"/>
          <w:lang w:eastAsia="zh-CN"/>
        </w:rPr>
      </w:pPr>
      <w:r>
        <w:rPr>
          <w:rFonts w:hint="eastAsia" w:ascii="宋体" w:hAnsi="宋体" w:eastAsia="宋体" w:cs="宋体"/>
          <w:color w:val="FF0000"/>
          <w:sz w:val="21"/>
          <w:szCs w:val="21"/>
          <w:lang w:eastAsia="zh-CN"/>
        </w:rPr>
        <w:t>【考点】★</w:t>
      </w:r>
      <w:r>
        <w:rPr>
          <w:rFonts w:hint="eastAsia" w:ascii="宋体" w:hAnsi="宋体" w:eastAsia="宋体" w:cs="宋体"/>
          <w:color w:val="FF0000"/>
          <w:sz w:val="21"/>
          <w:szCs w:val="21"/>
        </w:rPr>
        <w:t>（</w:t>
      </w:r>
      <w:r>
        <w:rPr>
          <w:rFonts w:hint="eastAsia" w:ascii="宋体" w:hAnsi="宋体" w:eastAsia="宋体" w:cs="宋体"/>
          <w:color w:val="FF0000"/>
          <w:sz w:val="21"/>
          <w:szCs w:val="21"/>
          <w:lang w:eastAsia="zh-CN"/>
        </w:rPr>
        <w:t>第二步</w:t>
      </w:r>
      <w:r>
        <w:rPr>
          <w:rFonts w:hint="eastAsia" w:ascii="宋体" w:hAnsi="宋体" w:eastAsia="宋体" w:cs="宋体"/>
          <w:color w:val="FF0000"/>
          <w:sz w:val="21"/>
          <w:szCs w:val="21"/>
        </w:rPr>
        <w:t>）</w:t>
      </w:r>
      <w:r>
        <w:rPr>
          <w:rFonts w:hint="eastAsia" w:ascii="宋体" w:hAnsi="宋体" w:eastAsia="宋体" w:cs="宋体"/>
          <w:color w:val="FF0000"/>
          <w:sz w:val="21"/>
          <w:szCs w:val="21"/>
          <w:lang w:eastAsia="zh-CN"/>
        </w:rPr>
        <w:t>识别合同中的单项履约义务</w:t>
      </w:r>
    </w:p>
    <w:tbl>
      <w:tblPr>
        <w:tblStyle w:val="6"/>
        <w:tblW w:w="502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698"/>
        <w:gridCol w:w="1394"/>
        <w:gridCol w:w="3306"/>
        <w:gridCol w:w="3787"/>
        <w:gridCol w:w="55"/>
      </w:tblGrid>
      <w:tr w14:paraId="02F4F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26" w:type="pct"/>
          <w:trHeight w:val="134" w:hRule="atLeast"/>
        </w:trPr>
        <w:tc>
          <w:tcPr>
            <w:tcW w:w="829" w:type="pct"/>
            <w:vMerge w:val="restart"/>
            <w:shd w:val="clear" w:color="auto" w:fill="auto"/>
            <w:tcMar>
              <w:top w:w="69" w:type="dxa"/>
              <w:left w:w="139" w:type="dxa"/>
              <w:bottom w:w="69" w:type="dxa"/>
              <w:right w:w="139" w:type="dxa"/>
            </w:tcMar>
            <w:vAlign w:val="center"/>
          </w:tcPr>
          <w:p w14:paraId="5710C2A5">
            <w:pPr>
              <w:keepNext w:val="0"/>
              <w:keepLines w:val="0"/>
              <w:pageBreakBefore w:val="0"/>
              <w:widowControl w:val="0"/>
              <w:kinsoku/>
              <w:wordWrap/>
              <w:overflowPunct/>
              <w:topLinePunct w:val="0"/>
              <w:autoSpaceDE w:val="0"/>
              <w:autoSpaceDN w:val="0"/>
              <w:bidi w:val="0"/>
              <w:adjustRightInd w:val="0"/>
              <w:snapToGrid/>
              <w:spacing w:line="360" w:lineRule="auto"/>
              <w:ind w:left="0" w:firstLine="0"/>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（一）企业向客户转让可明确区分商品的承诺 ，满足条件</w:t>
            </w:r>
          </w:p>
        </w:tc>
        <w:tc>
          <w:tcPr>
            <w:tcW w:w="4143" w:type="pct"/>
            <w:gridSpan w:val="3"/>
            <w:shd w:val="clear" w:color="auto" w:fill="auto"/>
            <w:tcMar>
              <w:top w:w="69" w:type="dxa"/>
              <w:left w:w="139" w:type="dxa"/>
              <w:bottom w:w="69" w:type="dxa"/>
              <w:right w:w="139" w:type="dxa"/>
            </w:tcMar>
            <w:vAlign w:val="center"/>
          </w:tcPr>
          <w:p w14:paraId="32830BED">
            <w:pPr>
              <w:keepNext w:val="0"/>
              <w:keepLines w:val="0"/>
              <w:pageBreakBefore w:val="0"/>
              <w:widowControl w:val="0"/>
              <w:kinsoku/>
              <w:wordWrap/>
              <w:overflowPunct/>
              <w:topLinePunct w:val="0"/>
              <w:autoSpaceDE w:val="0"/>
              <w:autoSpaceDN w:val="0"/>
              <w:bidi w:val="0"/>
              <w:adjustRightInd w:val="0"/>
              <w:snapToGrid/>
              <w:spacing w:line="360" w:lineRule="auto"/>
              <w:ind w:left="0" w:firstLine="0"/>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1.客户能够从该商品本身或者从该商品与其他易于获得的资源一起使用中受益</w:t>
            </w:r>
          </w:p>
        </w:tc>
      </w:tr>
      <w:tr w14:paraId="1600F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9" w:hRule="atLeast"/>
        </w:trPr>
        <w:tc>
          <w:tcPr>
            <w:tcW w:w="829" w:type="pct"/>
            <w:vMerge w:val="continue"/>
            <w:shd w:val="clear" w:color="auto" w:fill="auto"/>
            <w:tcMar>
              <w:top w:w="69" w:type="dxa"/>
              <w:left w:w="139" w:type="dxa"/>
              <w:bottom w:w="69" w:type="dxa"/>
              <w:right w:w="139" w:type="dxa"/>
            </w:tcMar>
            <w:vAlign w:val="center"/>
          </w:tcPr>
          <w:p w14:paraId="4544DCAE">
            <w:pPr>
              <w:keepNext w:val="0"/>
              <w:keepLines w:val="0"/>
              <w:pageBreakBefore w:val="0"/>
              <w:widowControl w:val="0"/>
              <w:kinsoku/>
              <w:wordWrap/>
              <w:overflowPunct/>
              <w:topLinePunct w:val="0"/>
              <w:autoSpaceDE w:val="0"/>
              <w:autoSpaceDN w:val="0"/>
              <w:bidi w:val="0"/>
              <w:adjustRightInd w:val="0"/>
              <w:snapToGrid/>
              <w:spacing w:line="360" w:lineRule="auto"/>
              <w:ind w:left="0" w:firstLine="0"/>
              <w:textAlignment w:val="auto"/>
              <w:outlineLvl w:val="9"/>
              <w:rPr>
                <w:rFonts w:hint="eastAsia" w:ascii="宋体" w:hAnsi="宋体" w:eastAsia="宋体" w:cs="宋体"/>
                <w:color w:val="auto"/>
                <w:sz w:val="21"/>
                <w:szCs w:val="21"/>
                <w:lang w:eastAsia="zh-CN"/>
              </w:rPr>
            </w:pPr>
          </w:p>
        </w:tc>
        <w:tc>
          <w:tcPr>
            <w:tcW w:w="680" w:type="pct"/>
            <w:vMerge w:val="restart"/>
            <w:shd w:val="clear" w:color="auto" w:fill="auto"/>
            <w:tcMar>
              <w:top w:w="69" w:type="dxa"/>
              <w:left w:w="139" w:type="dxa"/>
              <w:bottom w:w="69" w:type="dxa"/>
              <w:right w:w="139" w:type="dxa"/>
            </w:tcMar>
            <w:vAlign w:val="center"/>
          </w:tcPr>
          <w:p w14:paraId="60F64E2B">
            <w:pPr>
              <w:keepNext w:val="0"/>
              <w:keepLines w:val="0"/>
              <w:pageBreakBefore w:val="0"/>
              <w:widowControl w:val="0"/>
              <w:kinsoku/>
              <w:wordWrap/>
              <w:overflowPunct/>
              <w:topLinePunct w:val="0"/>
              <w:autoSpaceDE w:val="0"/>
              <w:autoSpaceDN w:val="0"/>
              <w:bidi w:val="0"/>
              <w:adjustRightInd w:val="0"/>
              <w:snapToGrid/>
              <w:spacing w:line="360" w:lineRule="auto"/>
              <w:ind w:left="0" w:firstLine="0"/>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2.企业向客户转让该商品的承诺与合同中其他承诺可单独区分</w:t>
            </w:r>
          </w:p>
        </w:tc>
        <w:tc>
          <w:tcPr>
            <w:tcW w:w="3490" w:type="pct"/>
            <w:gridSpan w:val="3"/>
            <w:shd w:val="clear" w:color="auto" w:fill="auto"/>
            <w:tcMar>
              <w:top w:w="69" w:type="dxa"/>
              <w:left w:w="139" w:type="dxa"/>
              <w:bottom w:w="69" w:type="dxa"/>
              <w:right w:w="139" w:type="dxa"/>
            </w:tcMar>
            <w:vAlign w:val="center"/>
          </w:tcPr>
          <w:p w14:paraId="3675FA5D">
            <w:pPr>
              <w:keepNext w:val="0"/>
              <w:keepLines w:val="0"/>
              <w:pageBreakBefore w:val="0"/>
              <w:widowControl w:val="0"/>
              <w:kinsoku/>
              <w:wordWrap/>
              <w:overflowPunct/>
              <w:topLinePunct w:val="0"/>
              <w:autoSpaceDE w:val="0"/>
              <w:autoSpaceDN w:val="0"/>
              <w:bidi w:val="0"/>
              <w:adjustRightInd w:val="0"/>
              <w:snapToGrid/>
              <w:spacing w:line="360" w:lineRule="auto"/>
              <w:ind w:left="0" w:firstLine="0"/>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不可明确区分商品的情形：</w:t>
            </w:r>
          </w:p>
        </w:tc>
      </w:tr>
      <w:tr w14:paraId="029F3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92" w:hRule="atLeast"/>
        </w:trPr>
        <w:tc>
          <w:tcPr>
            <w:tcW w:w="829" w:type="pct"/>
            <w:vMerge w:val="continue"/>
            <w:shd w:val="clear" w:color="auto" w:fill="auto"/>
            <w:tcMar>
              <w:top w:w="69" w:type="dxa"/>
              <w:left w:w="139" w:type="dxa"/>
              <w:bottom w:w="69" w:type="dxa"/>
              <w:right w:w="139" w:type="dxa"/>
            </w:tcMar>
            <w:vAlign w:val="center"/>
          </w:tcPr>
          <w:p w14:paraId="574EBEE7">
            <w:pPr>
              <w:keepNext w:val="0"/>
              <w:keepLines w:val="0"/>
              <w:pageBreakBefore w:val="0"/>
              <w:widowControl w:val="0"/>
              <w:kinsoku/>
              <w:wordWrap/>
              <w:overflowPunct/>
              <w:topLinePunct w:val="0"/>
              <w:autoSpaceDE w:val="0"/>
              <w:autoSpaceDN w:val="0"/>
              <w:bidi w:val="0"/>
              <w:adjustRightInd w:val="0"/>
              <w:snapToGrid/>
              <w:spacing w:line="360" w:lineRule="auto"/>
              <w:ind w:left="0" w:firstLine="0"/>
              <w:textAlignment w:val="auto"/>
              <w:outlineLvl w:val="9"/>
              <w:rPr>
                <w:rFonts w:hint="eastAsia" w:ascii="宋体" w:hAnsi="宋体" w:eastAsia="宋体" w:cs="宋体"/>
                <w:color w:val="auto"/>
                <w:sz w:val="21"/>
                <w:szCs w:val="21"/>
                <w:lang w:eastAsia="zh-CN"/>
              </w:rPr>
            </w:pPr>
          </w:p>
        </w:tc>
        <w:tc>
          <w:tcPr>
            <w:tcW w:w="680" w:type="pct"/>
            <w:vMerge w:val="continue"/>
            <w:shd w:val="clear" w:color="auto" w:fill="auto"/>
            <w:tcMar>
              <w:top w:w="69" w:type="dxa"/>
              <w:left w:w="139" w:type="dxa"/>
              <w:bottom w:w="69" w:type="dxa"/>
              <w:right w:w="139" w:type="dxa"/>
            </w:tcMar>
            <w:vAlign w:val="center"/>
          </w:tcPr>
          <w:p w14:paraId="165E122D">
            <w:pPr>
              <w:keepNext w:val="0"/>
              <w:keepLines w:val="0"/>
              <w:pageBreakBefore w:val="0"/>
              <w:widowControl w:val="0"/>
              <w:kinsoku/>
              <w:wordWrap/>
              <w:overflowPunct/>
              <w:topLinePunct w:val="0"/>
              <w:autoSpaceDE w:val="0"/>
              <w:autoSpaceDN w:val="0"/>
              <w:bidi w:val="0"/>
              <w:adjustRightInd w:val="0"/>
              <w:snapToGrid/>
              <w:spacing w:line="360" w:lineRule="auto"/>
              <w:ind w:left="0" w:firstLine="0"/>
              <w:textAlignment w:val="auto"/>
              <w:outlineLvl w:val="9"/>
              <w:rPr>
                <w:rFonts w:hint="eastAsia" w:ascii="宋体" w:hAnsi="宋体" w:eastAsia="宋体" w:cs="宋体"/>
                <w:color w:val="auto"/>
                <w:sz w:val="21"/>
                <w:szCs w:val="21"/>
                <w:lang w:eastAsia="zh-CN"/>
              </w:rPr>
            </w:pPr>
          </w:p>
        </w:tc>
        <w:tc>
          <w:tcPr>
            <w:tcW w:w="1614" w:type="pct"/>
            <w:shd w:val="clear" w:color="auto" w:fill="auto"/>
            <w:tcMar>
              <w:top w:w="69" w:type="dxa"/>
              <w:left w:w="139" w:type="dxa"/>
              <w:bottom w:w="69" w:type="dxa"/>
              <w:right w:w="139" w:type="dxa"/>
            </w:tcMar>
            <w:vAlign w:val="center"/>
          </w:tcPr>
          <w:p w14:paraId="46DA3D99">
            <w:pPr>
              <w:keepNext w:val="0"/>
              <w:keepLines w:val="0"/>
              <w:pageBreakBefore w:val="0"/>
              <w:widowControl w:val="0"/>
              <w:kinsoku/>
              <w:wordWrap/>
              <w:overflowPunct/>
              <w:topLinePunct w:val="0"/>
              <w:autoSpaceDE w:val="0"/>
              <w:autoSpaceDN w:val="0"/>
              <w:bidi w:val="0"/>
              <w:adjustRightInd w:val="0"/>
              <w:snapToGrid/>
              <w:spacing w:line="360" w:lineRule="auto"/>
              <w:ind w:left="0" w:firstLine="0"/>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（1）服务以合同约定的某个组合产出转让给客户。</w:t>
            </w:r>
          </w:p>
        </w:tc>
        <w:tc>
          <w:tcPr>
            <w:tcW w:w="1876" w:type="pct"/>
            <w:gridSpan w:val="2"/>
            <w:shd w:val="clear" w:color="auto" w:fill="auto"/>
            <w:tcMar>
              <w:top w:w="69" w:type="dxa"/>
              <w:left w:w="139" w:type="dxa"/>
              <w:bottom w:w="69" w:type="dxa"/>
              <w:right w:w="139" w:type="dxa"/>
            </w:tcMar>
            <w:vAlign w:val="center"/>
          </w:tcPr>
          <w:p w14:paraId="13408AEC">
            <w:pPr>
              <w:keepNext w:val="0"/>
              <w:keepLines w:val="0"/>
              <w:pageBreakBefore w:val="0"/>
              <w:widowControl w:val="0"/>
              <w:kinsoku/>
              <w:wordWrap/>
              <w:overflowPunct/>
              <w:topLinePunct w:val="0"/>
              <w:autoSpaceDE w:val="0"/>
              <w:autoSpaceDN w:val="0"/>
              <w:bidi w:val="0"/>
              <w:adjustRightInd w:val="0"/>
              <w:snapToGrid/>
              <w:spacing w:line="360" w:lineRule="auto"/>
              <w:ind w:left="0" w:firstLine="0"/>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例如：建造一栋写字楼（砖头、水泥和人工不能单独区分）。</w:t>
            </w:r>
          </w:p>
        </w:tc>
      </w:tr>
      <w:tr w14:paraId="377BB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34" w:hRule="atLeast"/>
        </w:trPr>
        <w:tc>
          <w:tcPr>
            <w:tcW w:w="829" w:type="pct"/>
            <w:vMerge w:val="continue"/>
            <w:shd w:val="clear" w:color="auto" w:fill="auto"/>
            <w:tcMar>
              <w:top w:w="69" w:type="dxa"/>
              <w:left w:w="139" w:type="dxa"/>
              <w:bottom w:w="69" w:type="dxa"/>
              <w:right w:w="139" w:type="dxa"/>
            </w:tcMar>
            <w:vAlign w:val="center"/>
          </w:tcPr>
          <w:p w14:paraId="4C808788">
            <w:pPr>
              <w:keepNext w:val="0"/>
              <w:keepLines w:val="0"/>
              <w:pageBreakBefore w:val="0"/>
              <w:widowControl w:val="0"/>
              <w:kinsoku/>
              <w:wordWrap/>
              <w:overflowPunct/>
              <w:topLinePunct w:val="0"/>
              <w:autoSpaceDE w:val="0"/>
              <w:autoSpaceDN w:val="0"/>
              <w:bidi w:val="0"/>
              <w:adjustRightInd w:val="0"/>
              <w:snapToGrid/>
              <w:spacing w:line="360" w:lineRule="auto"/>
              <w:ind w:left="0" w:firstLine="0"/>
              <w:textAlignment w:val="auto"/>
              <w:outlineLvl w:val="9"/>
              <w:rPr>
                <w:rFonts w:hint="eastAsia" w:ascii="宋体" w:hAnsi="宋体" w:eastAsia="宋体" w:cs="宋体"/>
                <w:color w:val="auto"/>
                <w:sz w:val="21"/>
                <w:szCs w:val="21"/>
                <w:lang w:eastAsia="zh-CN"/>
              </w:rPr>
            </w:pPr>
          </w:p>
        </w:tc>
        <w:tc>
          <w:tcPr>
            <w:tcW w:w="680" w:type="pct"/>
            <w:vMerge w:val="continue"/>
            <w:shd w:val="clear" w:color="auto" w:fill="auto"/>
            <w:tcMar>
              <w:top w:w="69" w:type="dxa"/>
              <w:left w:w="139" w:type="dxa"/>
              <w:bottom w:w="69" w:type="dxa"/>
              <w:right w:w="139" w:type="dxa"/>
            </w:tcMar>
            <w:vAlign w:val="center"/>
          </w:tcPr>
          <w:p w14:paraId="365B2CBF">
            <w:pPr>
              <w:keepNext w:val="0"/>
              <w:keepLines w:val="0"/>
              <w:pageBreakBefore w:val="0"/>
              <w:widowControl w:val="0"/>
              <w:kinsoku/>
              <w:wordWrap/>
              <w:overflowPunct/>
              <w:topLinePunct w:val="0"/>
              <w:autoSpaceDE w:val="0"/>
              <w:autoSpaceDN w:val="0"/>
              <w:bidi w:val="0"/>
              <w:adjustRightInd w:val="0"/>
              <w:snapToGrid/>
              <w:spacing w:line="360" w:lineRule="auto"/>
              <w:ind w:left="0" w:firstLine="0"/>
              <w:textAlignment w:val="auto"/>
              <w:outlineLvl w:val="9"/>
              <w:rPr>
                <w:rFonts w:hint="eastAsia" w:ascii="宋体" w:hAnsi="宋体" w:eastAsia="宋体" w:cs="宋体"/>
                <w:color w:val="auto"/>
                <w:sz w:val="21"/>
                <w:szCs w:val="21"/>
                <w:lang w:eastAsia="zh-CN"/>
              </w:rPr>
            </w:pPr>
          </w:p>
        </w:tc>
        <w:tc>
          <w:tcPr>
            <w:tcW w:w="1614" w:type="pct"/>
            <w:shd w:val="clear" w:color="auto" w:fill="auto"/>
            <w:tcMar>
              <w:top w:w="69" w:type="dxa"/>
              <w:left w:w="139" w:type="dxa"/>
              <w:bottom w:w="69" w:type="dxa"/>
              <w:right w:w="139" w:type="dxa"/>
            </w:tcMar>
            <w:vAlign w:val="center"/>
          </w:tcPr>
          <w:p w14:paraId="71052EA3">
            <w:pPr>
              <w:keepNext w:val="0"/>
              <w:keepLines w:val="0"/>
              <w:pageBreakBefore w:val="0"/>
              <w:widowControl w:val="0"/>
              <w:kinsoku/>
              <w:wordWrap/>
              <w:overflowPunct/>
              <w:topLinePunct w:val="0"/>
              <w:autoSpaceDE w:val="0"/>
              <w:autoSpaceDN w:val="0"/>
              <w:bidi w:val="0"/>
              <w:adjustRightInd w:val="0"/>
              <w:snapToGrid/>
              <w:spacing w:line="360" w:lineRule="auto"/>
              <w:ind w:left="0" w:firstLine="0"/>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（2）予以重大修改或定制。</w:t>
            </w:r>
          </w:p>
        </w:tc>
        <w:tc>
          <w:tcPr>
            <w:tcW w:w="1876" w:type="pct"/>
            <w:gridSpan w:val="2"/>
            <w:shd w:val="clear" w:color="auto" w:fill="auto"/>
            <w:tcMar>
              <w:top w:w="69" w:type="dxa"/>
              <w:left w:w="139" w:type="dxa"/>
              <w:bottom w:w="69" w:type="dxa"/>
              <w:right w:w="139" w:type="dxa"/>
            </w:tcMar>
            <w:vAlign w:val="center"/>
          </w:tcPr>
          <w:p w14:paraId="177DA75A">
            <w:pPr>
              <w:keepNext w:val="0"/>
              <w:keepLines w:val="0"/>
              <w:pageBreakBefore w:val="0"/>
              <w:widowControl w:val="0"/>
              <w:kinsoku/>
              <w:wordWrap/>
              <w:overflowPunct/>
              <w:topLinePunct w:val="0"/>
              <w:autoSpaceDE w:val="0"/>
              <w:autoSpaceDN w:val="0"/>
              <w:bidi w:val="0"/>
              <w:adjustRightInd w:val="0"/>
              <w:snapToGrid/>
              <w:spacing w:line="360" w:lineRule="auto"/>
              <w:ind w:left="0" w:firstLine="0"/>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软件，并提供安装服务。 </w:t>
            </w:r>
          </w:p>
        </w:tc>
      </w:tr>
      <w:tr w14:paraId="21EF4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36" w:hRule="atLeast"/>
        </w:trPr>
        <w:tc>
          <w:tcPr>
            <w:tcW w:w="829" w:type="pct"/>
            <w:vMerge w:val="continue"/>
            <w:shd w:val="clear" w:color="auto" w:fill="auto"/>
            <w:tcMar>
              <w:top w:w="69" w:type="dxa"/>
              <w:left w:w="139" w:type="dxa"/>
              <w:bottom w:w="69" w:type="dxa"/>
              <w:right w:w="139" w:type="dxa"/>
            </w:tcMar>
            <w:vAlign w:val="center"/>
          </w:tcPr>
          <w:p w14:paraId="12002524">
            <w:pPr>
              <w:keepNext w:val="0"/>
              <w:keepLines w:val="0"/>
              <w:pageBreakBefore w:val="0"/>
              <w:widowControl w:val="0"/>
              <w:kinsoku/>
              <w:wordWrap/>
              <w:overflowPunct/>
              <w:topLinePunct w:val="0"/>
              <w:autoSpaceDE w:val="0"/>
              <w:autoSpaceDN w:val="0"/>
              <w:bidi w:val="0"/>
              <w:adjustRightInd w:val="0"/>
              <w:snapToGrid/>
              <w:spacing w:line="360" w:lineRule="auto"/>
              <w:ind w:left="0" w:firstLine="0"/>
              <w:textAlignment w:val="auto"/>
              <w:outlineLvl w:val="9"/>
              <w:rPr>
                <w:rFonts w:hint="eastAsia" w:ascii="宋体" w:hAnsi="宋体" w:eastAsia="宋体" w:cs="宋体"/>
                <w:color w:val="auto"/>
                <w:sz w:val="21"/>
                <w:szCs w:val="21"/>
                <w:lang w:eastAsia="zh-CN"/>
              </w:rPr>
            </w:pPr>
          </w:p>
        </w:tc>
        <w:tc>
          <w:tcPr>
            <w:tcW w:w="680" w:type="pct"/>
            <w:vMerge w:val="continue"/>
            <w:shd w:val="clear" w:color="auto" w:fill="auto"/>
            <w:tcMar>
              <w:top w:w="69" w:type="dxa"/>
              <w:left w:w="139" w:type="dxa"/>
              <w:bottom w:w="69" w:type="dxa"/>
              <w:right w:w="139" w:type="dxa"/>
            </w:tcMar>
            <w:vAlign w:val="center"/>
          </w:tcPr>
          <w:p w14:paraId="192D856A">
            <w:pPr>
              <w:keepNext w:val="0"/>
              <w:keepLines w:val="0"/>
              <w:pageBreakBefore w:val="0"/>
              <w:widowControl w:val="0"/>
              <w:kinsoku/>
              <w:wordWrap/>
              <w:overflowPunct/>
              <w:topLinePunct w:val="0"/>
              <w:autoSpaceDE w:val="0"/>
              <w:autoSpaceDN w:val="0"/>
              <w:bidi w:val="0"/>
              <w:adjustRightInd w:val="0"/>
              <w:snapToGrid/>
              <w:spacing w:line="360" w:lineRule="auto"/>
              <w:ind w:left="0" w:firstLine="0"/>
              <w:textAlignment w:val="auto"/>
              <w:outlineLvl w:val="9"/>
              <w:rPr>
                <w:rFonts w:hint="eastAsia" w:ascii="宋体" w:hAnsi="宋体" w:eastAsia="宋体" w:cs="宋体"/>
                <w:color w:val="auto"/>
                <w:sz w:val="21"/>
                <w:szCs w:val="21"/>
                <w:lang w:eastAsia="zh-CN"/>
              </w:rPr>
            </w:pPr>
          </w:p>
        </w:tc>
        <w:tc>
          <w:tcPr>
            <w:tcW w:w="1614" w:type="pct"/>
            <w:shd w:val="clear" w:color="auto" w:fill="auto"/>
            <w:tcMar>
              <w:top w:w="69" w:type="dxa"/>
              <w:left w:w="139" w:type="dxa"/>
              <w:bottom w:w="69" w:type="dxa"/>
              <w:right w:w="139" w:type="dxa"/>
            </w:tcMar>
            <w:vAlign w:val="center"/>
          </w:tcPr>
          <w:p w14:paraId="30D858E7">
            <w:pPr>
              <w:keepNext w:val="0"/>
              <w:keepLines w:val="0"/>
              <w:pageBreakBefore w:val="0"/>
              <w:widowControl w:val="0"/>
              <w:kinsoku/>
              <w:wordWrap/>
              <w:overflowPunct/>
              <w:topLinePunct w:val="0"/>
              <w:autoSpaceDE w:val="0"/>
              <w:autoSpaceDN w:val="0"/>
              <w:bidi w:val="0"/>
              <w:adjustRightInd w:val="0"/>
              <w:snapToGrid/>
              <w:spacing w:line="360" w:lineRule="auto"/>
              <w:ind w:left="0" w:firstLine="0"/>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（3）与其他商品具有高度关联性。</w:t>
            </w:r>
          </w:p>
        </w:tc>
        <w:tc>
          <w:tcPr>
            <w:tcW w:w="1876" w:type="pct"/>
            <w:gridSpan w:val="2"/>
            <w:shd w:val="clear" w:color="auto" w:fill="auto"/>
            <w:tcMar>
              <w:top w:w="69" w:type="dxa"/>
              <w:left w:w="139" w:type="dxa"/>
              <w:bottom w:w="69" w:type="dxa"/>
              <w:right w:w="139" w:type="dxa"/>
            </w:tcMar>
            <w:vAlign w:val="center"/>
          </w:tcPr>
          <w:p w14:paraId="2B4A4366">
            <w:pPr>
              <w:keepNext w:val="0"/>
              <w:keepLines w:val="0"/>
              <w:pageBreakBefore w:val="0"/>
              <w:widowControl w:val="0"/>
              <w:kinsoku/>
              <w:wordWrap/>
              <w:overflowPunct/>
              <w:topLinePunct w:val="0"/>
              <w:autoSpaceDE w:val="0"/>
              <w:autoSpaceDN w:val="0"/>
              <w:bidi w:val="0"/>
              <w:adjustRightInd w:val="0"/>
              <w:snapToGrid/>
              <w:spacing w:line="360" w:lineRule="auto"/>
              <w:ind w:left="0" w:firstLine="0"/>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设计服务和生产样品的服务。</w:t>
            </w:r>
          </w:p>
        </w:tc>
      </w:tr>
    </w:tbl>
    <w:p w14:paraId="2B53E225">
      <w:pPr>
        <w:keepNext w:val="0"/>
        <w:keepLines w:val="0"/>
        <w:pageBreakBefore w:val="0"/>
        <w:widowControl w:val="0"/>
        <w:kinsoku/>
        <w:wordWrap/>
        <w:overflowPunct/>
        <w:topLinePunct w:val="0"/>
        <w:autoSpaceDE w:val="0"/>
        <w:autoSpaceDN w:val="0"/>
        <w:bidi w:val="0"/>
        <w:adjustRightInd w:val="0"/>
        <w:snapToGrid/>
        <w:spacing w:line="360" w:lineRule="auto"/>
        <w:ind w:left="0" w:firstLine="0"/>
        <w:textAlignment w:val="auto"/>
        <w:outlineLvl w:val="9"/>
        <w:rPr>
          <w:rFonts w:hint="eastAsia" w:ascii="宋体" w:hAnsi="宋体" w:eastAsia="宋体" w:cs="宋体"/>
          <w:color w:val="FF0000"/>
          <w:sz w:val="21"/>
          <w:szCs w:val="21"/>
          <w:lang w:eastAsia="zh-CN"/>
        </w:rPr>
      </w:pPr>
    </w:p>
    <w:tbl>
      <w:tblPr>
        <w:tblStyle w:val="6"/>
        <w:tblW w:w="502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3978"/>
        <w:gridCol w:w="2103"/>
        <w:gridCol w:w="4162"/>
      </w:tblGrid>
      <w:tr w14:paraId="1EBC0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78" w:hRule="atLeast"/>
        </w:trPr>
        <w:tc>
          <w:tcPr>
            <w:tcW w:w="1941" w:type="pct"/>
            <w:vMerge w:val="restart"/>
            <w:shd w:val="clear" w:color="auto" w:fill="auto"/>
            <w:tcMar>
              <w:top w:w="69" w:type="dxa"/>
              <w:left w:w="139" w:type="dxa"/>
              <w:bottom w:w="69" w:type="dxa"/>
              <w:right w:w="139" w:type="dxa"/>
            </w:tcMar>
            <w:vAlign w:val="center"/>
          </w:tcPr>
          <w:p w14:paraId="29CFB969">
            <w:pPr>
              <w:keepNext w:val="0"/>
              <w:keepLines w:val="0"/>
              <w:pageBreakBefore w:val="0"/>
              <w:widowControl w:val="0"/>
              <w:kinsoku/>
              <w:wordWrap/>
              <w:overflowPunct/>
              <w:topLinePunct w:val="0"/>
              <w:autoSpaceDE w:val="0"/>
              <w:autoSpaceDN w:val="0"/>
              <w:bidi w:val="0"/>
              <w:adjustRightInd w:val="0"/>
              <w:snapToGrid/>
              <w:spacing w:line="360" w:lineRule="auto"/>
              <w:ind w:left="0" w:firstLine="0"/>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（二）一系列实质相同且转让模式相同的、可明确区分的商品 </w:t>
            </w:r>
          </w:p>
        </w:tc>
        <w:tc>
          <w:tcPr>
            <w:tcW w:w="3058" w:type="pct"/>
            <w:gridSpan w:val="2"/>
            <w:shd w:val="clear" w:color="auto" w:fill="auto"/>
            <w:tcMar>
              <w:top w:w="69" w:type="dxa"/>
              <w:left w:w="139" w:type="dxa"/>
              <w:bottom w:w="69" w:type="dxa"/>
              <w:right w:w="139" w:type="dxa"/>
            </w:tcMar>
            <w:vAlign w:val="center"/>
          </w:tcPr>
          <w:p w14:paraId="72952132">
            <w:pPr>
              <w:keepNext w:val="0"/>
              <w:keepLines w:val="0"/>
              <w:pageBreakBefore w:val="0"/>
              <w:widowControl w:val="0"/>
              <w:kinsoku/>
              <w:wordWrap/>
              <w:overflowPunct/>
              <w:topLinePunct w:val="0"/>
              <w:autoSpaceDE w:val="0"/>
              <w:autoSpaceDN w:val="0"/>
              <w:bidi w:val="0"/>
              <w:adjustRightInd w:val="0"/>
              <w:snapToGrid/>
              <w:spacing w:line="360" w:lineRule="auto"/>
              <w:ind w:left="0" w:firstLine="0"/>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1.转让模式相同</w:t>
            </w:r>
          </w:p>
        </w:tc>
      </w:tr>
      <w:tr w14:paraId="4A7FD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94" w:hRule="atLeast"/>
        </w:trPr>
        <w:tc>
          <w:tcPr>
            <w:tcW w:w="1941" w:type="pct"/>
            <w:vMerge w:val="continue"/>
            <w:shd w:val="clear" w:color="auto" w:fill="auto"/>
            <w:tcMar>
              <w:top w:w="69" w:type="dxa"/>
              <w:left w:w="139" w:type="dxa"/>
              <w:bottom w:w="69" w:type="dxa"/>
              <w:right w:w="139" w:type="dxa"/>
            </w:tcMar>
            <w:vAlign w:val="center"/>
          </w:tcPr>
          <w:p w14:paraId="71E37708">
            <w:pPr>
              <w:keepNext w:val="0"/>
              <w:keepLines w:val="0"/>
              <w:pageBreakBefore w:val="0"/>
              <w:widowControl w:val="0"/>
              <w:kinsoku/>
              <w:wordWrap/>
              <w:overflowPunct/>
              <w:topLinePunct w:val="0"/>
              <w:autoSpaceDE w:val="0"/>
              <w:autoSpaceDN w:val="0"/>
              <w:bidi w:val="0"/>
              <w:adjustRightInd w:val="0"/>
              <w:snapToGrid/>
              <w:spacing w:line="360" w:lineRule="auto"/>
              <w:ind w:left="0" w:firstLine="0"/>
              <w:textAlignment w:val="auto"/>
              <w:outlineLvl w:val="9"/>
              <w:rPr>
                <w:rFonts w:hint="eastAsia" w:ascii="宋体" w:hAnsi="宋体" w:eastAsia="宋体" w:cs="宋体"/>
                <w:color w:val="auto"/>
                <w:sz w:val="21"/>
                <w:szCs w:val="21"/>
                <w:lang w:eastAsia="zh-CN"/>
              </w:rPr>
            </w:pPr>
          </w:p>
        </w:tc>
        <w:tc>
          <w:tcPr>
            <w:tcW w:w="1026" w:type="pct"/>
            <w:shd w:val="clear" w:color="auto" w:fill="auto"/>
            <w:tcMar>
              <w:top w:w="69" w:type="dxa"/>
              <w:left w:w="139" w:type="dxa"/>
              <w:bottom w:w="69" w:type="dxa"/>
              <w:right w:w="139" w:type="dxa"/>
            </w:tcMar>
            <w:vAlign w:val="center"/>
          </w:tcPr>
          <w:p w14:paraId="433D2AB9">
            <w:pPr>
              <w:keepNext w:val="0"/>
              <w:keepLines w:val="0"/>
              <w:pageBreakBefore w:val="0"/>
              <w:widowControl w:val="0"/>
              <w:kinsoku/>
              <w:wordWrap/>
              <w:overflowPunct/>
              <w:topLinePunct w:val="0"/>
              <w:autoSpaceDE w:val="0"/>
              <w:autoSpaceDN w:val="0"/>
              <w:bidi w:val="0"/>
              <w:adjustRightInd w:val="0"/>
              <w:snapToGrid/>
              <w:spacing w:line="360" w:lineRule="auto"/>
              <w:ind w:left="0" w:firstLine="0"/>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2.实质相同</w:t>
            </w:r>
          </w:p>
        </w:tc>
        <w:tc>
          <w:tcPr>
            <w:tcW w:w="2031" w:type="pct"/>
            <w:shd w:val="clear" w:color="auto" w:fill="auto"/>
            <w:tcMar>
              <w:top w:w="69" w:type="dxa"/>
              <w:left w:w="139" w:type="dxa"/>
              <w:bottom w:w="69" w:type="dxa"/>
              <w:right w:w="139" w:type="dxa"/>
            </w:tcMar>
            <w:vAlign w:val="center"/>
          </w:tcPr>
          <w:p w14:paraId="564C715A">
            <w:pPr>
              <w:keepNext w:val="0"/>
              <w:keepLines w:val="0"/>
              <w:pageBreakBefore w:val="0"/>
              <w:widowControl w:val="0"/>
              <w:kinsoku/>
              <w:wordWrap/>
              <w:overflowPunct/>
              <w:topLinePunct w:val="0"/>
              <w:autoSpaceDE w:val="0"/>
              <w:autoSpaceDN w:val="0"/>
              <w:bidi w:val="0"/>
              <w:adjustRightInd w:val="0"/>
              <w:snapToGrid/>
              <w:spacing w:line="360" w:lineRule="auto"/>
              <w:ind w:left="0" w:firstLine="0"/>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例如，酒店管理服务（保洁、维修、安保等）</w:t>
            </w:r>
          </w:p>
        </w:tc>
      </w:tr>
    </w:tbl>
    <w:p w14:paraId="7678B6B5">
      <w:pPr>
        <w:keepNext w:val="0"/>
        <w:keepLines w:val="0"/>
        <w:pageBreakBefore w:val="0"/>
        <w:widowControl w:val="0"/>
        <w:kinsoku/>
        <w:wordWrap/>
        <w:overflowPunct/>
        <w:topLinePunct w:val="0"/>
        <w:autoSpaceDE w:val="0"/>
        <w:autoSpaceDN w:val="0"/>
        <w:bidi w:val="0"/>
        <w:adjustRightInd w:val="0"/>
        <w:snapToGrid/>
        <w:spacing w:line="360" w:lineRule="auto"/>
        <w:ind w:left="0" w:firstLine="0"/>
        <w:textAlignment w:val="auto"/>
        <w:outlineLvl w:val="9"/>
        <w:rPr>
          <w:rFonts w:hint="eastAsia" w:ascii="宋体" w:hAnsi="宋体" w:eastAsia="宋体" w:cs="宋体"/>
          <w:color w:val="auto"/>
          <w:sz w:val="21"/>
          <w:szCs w:val="21"/>
        </w:rPr>
      </w:pPr>
    </w:p>
    <w:p w14:paraId="404377A8">
      <w:pPr>
        <w:keepNext w:val="0"/>
        <w:keepLines w:val="0"/>
        <w:pageBreakBefore w:val="0"/>
        <w:widowControl w:val="0"/>
        <w:kinsoku/>
        <w:wordWrap/>
        <w:overflowPunct/>
        <w:topLinePunct w:val="0"/>
        <w:autoSpaceDE w:val="0"/>
        <w:autoSpaceDN w:val="0"/>
        <w:bidi w:val="0"/>
        <w:adjustRightInd w:val="0"/>
        <w:snapToGrid/>
        <w:spacing w:line="360" w:lineRule="auto"/>
        <w:ind w:left="0" w:firstLine="0"/>
        <w:textAlignment w:val="auto"/>
        <w:outlineLvl w:val="9"/>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rPr>
        <w:t>第十三章  收入</w:t>
      </w:r>
      <w:r>
        <w:rPr>
          <w:rFonts w:hint="eastAsia" w:ascii="宋体" w:hAnsi="宋体" w:eastAsia="宋体" w:cs="宋体"/>
          <w:b/>
          <w:color w:val="auto"/>
          <w:sz w:val="21"/>
          <w:szCs w:val="21"/>
          <w:lang w:val="en-US" w:eastAsia="zh-CN"/>
        </w:rPr>
        <w:t xml:space="preserve">  </w:t>
      </w:r>
    </w:p>
    <w:p w14:paraId="73878305">
      <w:pPr>
        <w:keepNext w:val="0"/>
        <w:keepLines w:val="0"/>
        <w:pageBreakBefore w:val="0"/>
        <w:widowControl w:val="0"/>
        <w:kinsoku/>
        <w:wordWrap/>
        <w:overflowPunct/>
        <w:topLinePunct w:val="0"/>
        <w:autoSpaceDE w:val="0"/>
        <w:autoSpaceDN w:val="0"/>
        <w:bidi w:val="0"/>
        <w:adjustRightInd w:val="0"/>
        <w:snapToGrid/>
        <w:spacing w:line="360" w:lineRule="auto"/>
        <w:ind w:left="0" w:firstLine="0"/>
        <w:textAlignment w:val="auto"/>
        <w:outlineLvl w:val="9"/>
        <w:rPr>
          <w:rFonts w:hint="eastAsia" w:ascii="宋体" w:hAnsi="宋体" w:eastAsia="宋体" w:cs="宋体"/>
          <w:color w:val="FF0000"/>
          <w:sz w:val="21"/>
          <w:szCs w:val="21"/>
          <w:lang w:eastAsia="zh-CN"/>
        </w:rPr>
      </w:pPr>
      <w:r>
        <w:rPr>
          <w:rFonts w:hint="eastAsia" w:ascii="宋体" w:hAnsi="宋体" w:eastAsia="宋体" w:cs="宋体"/>
          <w:color w:val="FF0000"/>
          <w:sz w:val="21"/>
          <w:szCs w:val="21"/>
          <w:lang w:eastAsia="zh-CN"/>
        </w:rPr>
        <w:t>【考点】</w:t>
      </w:r>
      <w:r>
        <w:rPr>
          <w:rFonts w:hint="eastAsia" w:ascii="宋体" w:hAnsi="宋体" w:eastAsia="宋体" w:cs="宋体"/>
          <w:color w:val="FF0000"/>
          <w:sz w:val="21"/>
          <w:szCs w:val="21"/>
        </w:rPr>
        <w:t>（</w:t>
      </w:r>
      <w:r>
        <w:rPr>
          <w:rFonts w:hint="eastAsia" w:ascii="宋体" w:hAnsi="宋体" w:eastAsia="宋体" w:cs="宋体"/>
          <w:color w:val="FF0000"/>
          <w:sz w:val="21"/>
          <w:szCs w:val="21"/>
          <w:lang w:eastAsia="zh-CN"/>
        </w:rPr>
        <w:t>第三步</w:t>
      </w:r>
      <w:r>
        <w:rPr>
          <w:rFonts w:hint="eastAsia" w:ascii="宋体" w:hAnsi="宋体" w:eastAsia="宋体" w:cs="宋体"/>
          <w:color w:val="FF0000"/>
          <w:sz w:val="21"/>
          <w:szCs w:val="21"/>
        </w:rPr>
        <w:t>）</w:t>
      </w:r>
      <w:r>
        <w:rPr>
          <w:rFonts w:hint="eastAsia" w:ascii="宋体" w:hAnsi="宋体" w:eastAsia="宋体" w:cs="宋体"/>
          <w:color w:val="FF0000"/>
          <w:sz w:val="21"/>
          <w:szCs w:val="21"/>
          <w:lang w:eastAsia="zh-CN"/>
        </w:rPr>
        <w:t>确定交易价格</w:t>
      </w:r>
    </w:p>
    <w:p w14:paraId="59F30352">
      <w:pPr>
        <w:keepNext w:val="0"/>
        <w:keepLines w:val="0"/>
        <w:pageBreakBefore w:val="0"/>
        <w:widowControl w:val="0"/>
        <w:kinsoku/>
        <w:wordWrap/>
        <w:overflowPunct/>
        <w:topLinePunct w:val="0"/>
        <w:autoSpaceDE w:val="0"/>
        <w:autoSpaceDN w:val="0"/>
        <w:bidi w:val="0"/>
        <w:adjustRightInd w:val="0"/>
        <w:snapToGrid/>
        <w:spacing w:line="360" w:lineRule="auto"/>
        <w:ind w:left="0" w:firstLine="0"/>
        <w:textAlignment w:val="auto"/>
        <w:outlineLvl w:val="9"/>
        <w:rPr>
          <w:rFonts w:hint="eastAsia" w:ascii="宋体" w:hAnsi="宋体" w:eastAsia="宋体" w:cs="宋体"/>
          <w:color w:val="FF0000"/>
          <w:sz w:val="21"/>
          <w:szCs w:val="21"/>
          <w:lang w:eastAsia="zh-CN"/>
        </w:rPr>
      </w:pPr>
      <w:r>
        <w:rPr>
          <w:rFonts w:hint="eastAsia" w:ascii="宋体" w:hAnsi="宋体" w:eastAsia="宋体" w:cs="宋体"/>
          <w:color w:val="FF0000"/>
          <w:sz w:val="21"/>
          <w:szCs w:val="21"/>
          <w:lang w:val="en-US" w:eastAsia="zh-CN"/>
        </w:rPr>
        <w:t>1.</w:t>
      </w:r>
      <w:r>
        <w:rPr>
          <w:rFonts w:hint="eastAsia" w:ascii="宋体" w:hAnsi="宋体" w:eastAsia="宋体" w:cs="宋体"/>
          <w:color w:val="FF0000"/>
          <w:sz w:val="21"/>
          <w:szCs w:val="21"/>
          <w:lang w:eastAsia="zh-CN"/>
        </w:rPr>
        <w:t>★★★可变对价</w:t>
      </w:r>
    </w:p>
    <w:tbl>
      <w:tblPr>
        <w:tblStyle w:val="6"/>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1787"/>
        <w:gridCol w:w="8399"/>
      </w:tblGrid>
      <w:tr w14:paraId="12B6E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25" w:hRule="atLeast"/>
        </w:trPr>
        <w:tc>
          <w:tcPr>
            <w:tcW w:w="5000" w:type="pct"/>
            <w:gridSpan w:val="2"/>
            <w:shd w:val="clear" w:color="auto" w:fill="auto"/>
            <w:tcMar>
              <w:top w:w="69" w:type="dxa"/>
              <w:left w:w="139" w:type="dxa"/>
              <w:bottom w:w="69" w:type="dxa"/>
              <w:right w:w="139" w:type="dxa"/>
            </w:tcMar>
            <w:vAlign w:val="center"/>
          </w:tcPr>
          <w:p w14:paraId="03AB7534">
            <w:pPr>
              <w:pStyle w:val="5"/>
              <w:keepNext w:val="0"/>
              <w:keepLines w:val="0"/>
              <w:pageBreakBefore w:val="0"/>
              <w:widowControl/>
              <w:suppressLineNumbers w:val="0"/>
              <w:kinsoku/>
              <w:wordWrap/>
              <w:overflowPunct/>
              <w:topLinePunct w:val="0"/>
              <w:bidi w:val="0"/>
              <w:snapToGrid/>
              <w:spacing w:before="0" w:beforeAutospacing="0" w:after="0" w:afterAutospacing="0" w:line="288" w:lineRule="auto"/>
              <w:ind w:left="0"/>
              <w:jc w:val="left"/>
              <w:textAlignment w:val="auto"/>
              <w:rPr>
                <w:rFonts w:hint="eastAsia" w:ascii="宋体" w:hAnsi="宋体" w:eastAsia="宋体" w:cs="宋体"/>
                <w:sz w:val="21"/>
                <w:szCs w:val="21"/>
              </w:rPr>
            </w:pPr>
            <w:r>
              <w:rPr>
                <w:rFonts w:hint="eastAsia" w:ascii="宋体" w:hAnsi="宋体" w:eastAsia="宋体" w:cs="宋体"/>
                <w:b w:val="0"/>
                <w:bCs w:val="0"/>
                <w:i w:val="0"/>
                <w:iCs w:val="0"/>
                <w:color w:val="auto"/>
                <w:kern w:val="2"/>
                <w:sz w:val="21"/>
                <w:szCs w:val="21"/>
                <w:u w:val="none"/>
              </w:rPr>
              <w:t>对价金额</w:t>
            </w:r>
            <w:r>
              <w:rPr>
                <w:rFonts w:hint="eastAsia" w:ascii="宋体" w:hAnsi="宋体" w:eastAsia="宋体" w:cs="宋体"/>
                <w:b w:val="0"/>
                <w:bCs w:val="0"/>
                <w:i w:val="0"/>
                <w:iCs w:val="0"/>
                <w:color w:val="FF0000"/>
                <w:kern w:val="2"/>
                <w:sz w:val="21"/>
                <w:szCs w:val="21"/>
                <w:u w:val="none"/>
              </w:rPr>
              <w:t>可能会因折扣、价格折让</w:t>
            </w:r>
            <w:r>
              <w:rPr>
                <w:rFonts w:hint="eastAsia" w:ascii="宋体" w:hAnsi="宋体" w:eastAsia="宋体" w:cs="宋体"/>
                <w:b w:val="0"/>
                <w:bCs w:val="0"/>
                <w:i w:val="0"/>
                <w:iCs w:val="0"/>
                <w:color w:val="auto"/>
                <w:kern w:val="2"/>
                <w:sz w:val="21"/>
                <w:szCs w:val="21"/>
                <w:u w:val="none"/>
              </w:rPr>
              <w:t>、返利</w:t>
            </w:r>
            <w:r>
              <w:rPr>
                <w:rFonts w:hint="eastAsia" w:ascii="宋体" w:hAnsi="宋体" w:eastAsia="宋体" w:cs="宋体"/>
                <w:b w:val="0"/>
                <w:bCs w:val="0"/>
                <w:i w:val="0"/>
                <w:iCs w:val="0"/>
                <w:color w:val="FF0000"/>
                <w:kern w:val="2"/>
                <w:sz w:val="21"/>
                <w:szCs w:val="21"/>
                <w:u w:val="none"/>
              </w:rPr>
              <w:t>等因素而变化</w:t>
            </w:r>
          </w:p>
        </w:tc>
      </w:tr>
      <w:tr w14:paraId="36423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78" w:hRule="atLeast"/>
        </w:trPr>
        <w:tc>
          <w:tcPr>
            <w:tcW w:w="877" w:type="pct"/>
            <w:vMerge w:val="restart"/>
            <w:shd w:val="clear" w:color="auto" w:fill="auto"/>
            <w:tcMar>
              <w:top w:w="69" w:type="dxa"/>
              <w:left w:w="139" w:type="dxa"/>
              <w:bottom w:w="69" w:type="dxa"/>
              <w:right w:w="139" w:type="dxa"/>
            </w:tcMar>
            <w:vAlign w:val="center"/>
          </w:tcPr>
          <w:p w14:paraId="1A69D2AD">
            <w:pPr>
              <w:pStyle w:val="5"/>
              <w:keepNext w:val="0"/>
              <w:keepLines w:val="0"/>
              <w:pageBreakBefore w:val="0"/>
              <w:widowControl/>
              <w:suppressLineNumbers w:val="0"/>
              <w:kinsoku/>
              <w:wordWrap/>
              <w:overflowPunct/>
              <w:topLinePunct w:val="0"/>
              <w:bidi w:val="0"/>
              <w:snapToGrid/>
              <w:spacing w:before="0" w:beforeAutospacing="0" w:after="0" w:afterAutospacing="0" w:line="288" w:lineRule="auto"/>
              <w:ind w:left="0"/>
              <w:jc w:val="left"/>
              <w:textAlignment w:val="auto"/>
              <w:rPr>
                <w:rFonts w:hint="eastAsia" w:ascii="宋体" w:hAnsi="宋体" w:eastAsia="宋体" w:cs="宋体"/>
                <w:sz w:val="21"/>
                <w:szCs w:val="21"/>
              </w:rPr>
            </w:pPr>
            <w:r>
              <w:rPr>
                <w:rFonts w:hint="eastAsia" w:ascii="宋体" w:hAnsi="宋体" w:eastAsia="宋体" w:cs="宋体"/>
                <w:b w:val="0"/>
                <w:bCs w:val="0"/>
                <w:i w:val="0"/>
                <w:iCs w:val="0"/>
                <w:color w:val="FF0000"/>
                <w:kern w:val="2"/>
                <w:sz w:val="21"/>
                <w:szCs w:val="21"/>
                <w:u w:val="none"/>
              </w:rPr>
              <w:t>（1）可变对价最佳估计数</w:t>
            </w:r>
          </w:p>
        </w:tc>
        <w:tc>
          <w:tcPr>
            <w:tcW w:w="4122" w:type="pct"/>
            <w:shd w:val="clear" w:color="auto" w:fill="auto"/>
            <w:tcMar>
              <w:top w:w="69" w:type="dxa"/>
              <w:left w:w="139" w:type="dxa"/>
              <w:bottom w:w="69" w:type="dxa"/>
              <w:right w:w="139" w:type="dxa"/>
            </w:tcMar>
            <w:vAlign w:val="center"/>
          </w:tcPr>
          <w:p w14:paraId="5323190F">
            <w:pPr>
              <w:pStyle w:val="5"/>
              <w:keepNext w:val="0"/>
              <w:keepLines w:val="0"/>
              <w:pageBreakBefore w:val="0"/>
              <w:widowControl/>
              <w:suppressLineNumbers w:val="0"/>
              <w:kinsoku/>
              <w:wordWrap/>
              <w:overflowPunct/>
              <w:topLinePunct w:val="0"/>
              <w:bidi w:val="0"/>
              <w:snapToGrid/>
              <w:spacing w:before="0" w:beforeAutospacing="0" w:after="0" w:afterAutospacing="0" w:line="288" w:lineRule="auto"/>
              <w:ind w:left="0"/>
              <w:jc w:val="left"/>
              <w:textAlignment w:val="auto"/>
              <w:rPr>
                <w:rFonts w:hint="eastAsia" w:ascii="宋体" w:hAnsi="宋体" w:eastAsia="宋体" w:cs="宋体"/>
                <w:sz w:val="21"/>
                <w:szCs w:val="21"/>
              </w:rPr>
            </w:pPr>
            <w:r>
              <w:rPr>
                <w:rFonts w:hint="eastAsia" w:ascii="宋体" w:hAnsi="宋体" w:eastAsia="宋体" w:cs="宋体"/>
                <w:b w:val="0"/>
                <w:bCs w:val="0"/>
                <w:i w:val="0"/>
                <w:iCs w:val="0"/>
                <w:color w:val="FF0000"/>
                <w:kern w:val="2"/>
                <w:sz w:val="21"/>
                <w:szCs w:val="21"/>
                <w:u w:val="none"/>
              </w:rPr>
              <w:t>①期望值：</w:t>
            </w:r>
          </w:p>
        </w:tc>
      </w:tr>
      <w:tr w14:paraId="54B88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25" w:hRule="atLeast"/>
        </w:trPr>
        <w:tc>
          <w:tcPr>
            <w:tcW w:w="877" w:type="pct"/>
            <w:vMerge w:val="continue"/>
            <w:shd w:val="clear" w:color="auto" w:fill="auto"/>
            <w:tcMar>
              <w:top w:w="69" w:type="dxa"/>
              <w:left w:w="139" w:type="dxa"/>
              <w:bottom w:w="69" w:type="dxa"/>
              <w:right w:w="139" w:type="dxa"/>
            </w:tcMar>
            <w:vAlign w:val="center"/>
          </w:tcPr>
          <w:p w14:paraId="1633AF34">
            <w:pPr>
              <w:keepNext w:val="0"/>
              <w:keepLines w:val="0"/>
              <w:pageBreakBefore w:val="0"/>
              <w:kinsoku/>
              <w:wordWrap/>
              <w:overflowPunct/>
              <w:topLinePunct w:val="0"/>
              <w:bidi w:val="0"/>
              <w:snapToGrid/>
              <w:spacing w:before="0" w:beforeLines="0" w:after="0" w:afterLines="0"/>
              <w:textAlignment w:val="auto"/>
              <w:rPr>
                <w:rFonts w:hint="eastAsia" w:ascii="宋体" w:hAnsi="宋体" w:eastAsia="宋体" w:cs="宋体"/>
                <w:i w:val="0"/>
                <w:iCs w:val="0"/>
                <w:color w:val="auto"/>
                <w:sz w:val="21"/>
                <w:szCs w:val="21"/>
                <w:u w:val="none"/>
              </w:rPr>
            </w:pPr>
          </w:p>
        </w:tc>
        <w:tc>
          <w:tcPr>
            <w:tcW w:w="4122" w:type="pct"/>
            <w:shd w:val="clear" w:color="auto" w:fill="auto"/>
            <w:tcMar>
              <w:top w:w="69" w:type="dxa"/>
              <w:left w:w="139" w:type="dxa"/>
              <w:bottom w:w="69" w:type="dxa"/>
              <w:right w:w="139" w:type="dxa"/>
            </w:tcMar>
            <w:vAlign w:val="center"/>
          </w:tcPr>
          <w:p w14:paraId="55B3DB2E">
            <w:pPr>
              <w:pStyle w:val="5"/>
              <w:keepNext w:val="0"/>
              <w:keepLines w:val="0"/>
              <w:pageBreakBefore w:val="0"/>
              <w:widowControl/>
              <w:suppressLineNumbers w:val="0"/>
              <w:kinsoku/>
              <w:wordWrap/>
              <w:overflowPunct/>
              <w:topLinePunct w:val="0"/>
              <w:bidi w:val="0"/>
              <w:snapToGrid/>
              <w:spacing w:before="0" w:beforeAutospacing="0" w:after="0" w:afterAutospacing="0" w:line="288" w:lineRule="auto"/>
              <w:ind w:left="0"/>
              <w:jc w:val="left"/>
              <w:textAlignment w:val="auto"/>
              <w:rPr>
                <w:rFonts w:hint="eastAsia" w:ascii="宋体" w:hAnsi="宋体" w:eastAsia="宋体" w:cs="宋体"/>
                <w:sz w:val="21"/>
                <w:szCs w:val="21"/>
              </w:rPr>
            </w:pPr>
            <w:r>
              <w:rPr>
                <w:rFonts w:hint="eastAsia" w:ascii="宋体" w:hAnsi="宋体" w:eastAsia="宋体" w:cs="宋体"/>
                <w:b w:val="0"/>
                <w:bCs w:val="0"/>
                <w:i w:val="0"/>
                <w:iCs w:val="0"/>
                <w:color w:val="FF0000"/>
                <w:kern w:val="2"/>
                <w:sz w:val="21"/>
                <w:szCs w:val="21"/>
                <w:u w:val="none"/>
              </w:rPr>
              <w:t>②最可能发生金额（同或有事项）</w:t>
            </w:r>
          </w:p>
        </w:tc>
      </w:tr>
      <w:tr w14:paraId="2FD7A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80" w:hRule="atLeast"/>
        </w:trPr>
        <w:tc>
          <w:tcPr>
            <w:tcW w:w="877" w:type="pct"/>
            <w:vMerge w:val="continue"/>
            <w:shd w:val="clear" w:color="auto" w:fill="auto"/>
            <w:tcMar>
              <w:top w:w="69" w:type="dxa"/>
              <w:left w:w="139" w:type="dxa"/>
              <w:bottom w:w="69" w:type="dxa"/>
              <w:right w:w="139" w:type="dxa"/>
            </w:tcMar>
            <w:vAlign w:val="center"/>
          </w:tcPr>
          <w:p w14:paraId="2DB488E5">
            <w:pPr>
              <w:keepNext w:val="0"/>
              <w:keepLines w:val="0"/>
              <w:pageBreakBefore w:val="0"/>
              <w:kinsoku/>
              <w:wordWrap/>
              <w:overflowPunct/>
              <w:topLinePunct w:val="0"/>
              <w:bidi w:val="0"/>
              <w:snapToGrid/>
              <w:spacing w:before="0" w:beforeLines="0" w:after="0" w:afterLines="0"/>
              <w:textAlignment w:val="auto"/>
              <w:rPr>
                <w:rFonts w:hint="eastAsia" w:ascii="宋体" w:hAnsi="宋体" w:eastAsia="宋体" w:cs="宋体"/>
                <w:i w:val="0"/>
                <w:iCs w:val="0"/>
                <w:color w:val="auto"/>
                <w:sz w:val="21"/>
                <w:szCs w:val="21"/>
                <w:u w:val="none"/>
              </w:rPr>
            </w:pPr>
          </w:p>
        </w:tc>
        <w:tc>
          <w:tcPr>
            <w:tcW w:w="4122" w:type="pct"/>
            <w:shd w:val="clear" w:color="auto" w:fill="auto"/>
            <w:tcMar>
              <w:top w:w="69" w:type="dxa"/>
              <w:left w:w="139" w:type="dxa"/>
              <w:bottom w:w="69" w:type="dxa"/>
              <w:right w:w="139" w:type="dxa"/>
            </w:tcMar>
            <w:vAlign w:val="center"/>
          </w:tcPr>
          <w:p w14:paraId="03F39A00">
            <w:pPr>
              <w:pStyle w:val="5"/>
              <w:keepNext w:val="0"/>
              <w:keepLines w:val="0"/>
              <w:pageBreakBefore w:val="0"/>
              <w:widowControl/>
              <w:suppressLineNumbers w:val="0"/>
              <w:kinsoku/>
              <w:wordWrap/>
              <w:overflowPunct/>
              <w:topLinePunct w:val="0"/>
              <w:bidi w:val="0"/>
              <w:snapToGrid/>
              <w:spacing w:before="0" w:beforeAutospacing="0" w:after="0" w:afterAutospacing="0" w:line="288" w:lineRule="auto"/>
              <w:ind w:left="0"/>
              <w:jc w:val="left"/>
              <w:textAlignment w:val="auto"/>
              <w:rPr>
                <w:rFonts w:hint="eastAsia" w:ascii="宋体" w:hAnsi="宋体" w:eastAsia="宋体" w:cs="宋体"/>
                <w:sz w:val="21"/>
                <w:szCs w:val="21"/>
              </w:rPr>
            </w:pPr>
            <w:r>
              <w:rPr>
                <w:rFonts w:hint="eastAsia" w:ascii="宋体" w:hAnsi="宋体" w:eastAsia="宋体" w:cs="宋体"/>
                <w:b w:val="0"/>
                <w:bCs w:val="0"/>
                <w:i w:val="0"/>
                <w:iCs w:val="0"/>
                <w:color w:val="auto"/>
                <w:kern w:val="2"/>
                <w:sz w:val="21"/>
                <w:szCs w:val="21"/>
                <w:u w:val="none"/>
              </w:rPr>
              <w:t>企业估计可变对价时，</w:t>
            </w:r>
            <w:r>
              <w:rPr>
                <w:rFonts w:hint="eastAsia" w:ascii="宋体" w:hAnsi="宋体" w:eastAsia="宋体" w:cs="宋体"/>
                <w:b w:val="0"/>
                <w:bCs w:val="0"/>
                <w:i w:val="0"/>
                <w:iCs w:val="0"/>
                <w:color w:val="FF0000"/>
                <w:kern w:val="2"/>
                <w:sz w:val="21"/>
                <w:szCs w:val="21"/>
                <w:u w:val="none"/>
              </w:rPr>
              <w:t>应当选择能够更好地预测其有权收取的对价金额的方法</w:t>
            </w:r>
            <w:r>
              <w:rPr>
                <w:rFonts w:hint="eastAsia" w:ascii="宋体" w:hAnsi="宋体" w:eastAsia="宋体" w:cs="宋体"/>
                <w:b w:val="0"/>
                <w:bCs w:val="0"/>
                <w:i w:val="0"/>
                <w:iCs w:val="0"/>
                <w:color w:val="auto"/>
                <w:kern w:val="2"/>
                <w:sz w:val="21"/>
                <w:szCs w:val="21"/>
                <w:u w:val="none"/>
              </w:rPr>
              <w:t>，</w:t>
            </w:r>
            <w:r>
              <w:rPr>
                <w:rFonts w:hint="eastAsia" w:ascii="宋体" w:hAnsi="宋体" w:eastAsia="宋体" w:cs="宋体"/>
                <w:b w:val="0"/>
                <w:bCs w:val="0"/>
                <w:i w:val="0"/>
                <w:iCs w:val="0"/>
                <w:color w:val="FF0000"/>
                <w:kern w:val="2"/>
                <w:sz w:val="21"/>
                <w:szCs w:val="21"/>
                <w:u w:val="none"/>
              </w:rPr>
              <w:t>不能在两种方法之间随意选择</w:t>
            </w:r>
            <w:r>
              <w:rPr>
                <w:rFonts w:hint="eastAsia" w:ascii="宋体" w:hAnsi="宋体" w:eastAsia="宋体" w:cs="宋体"/>
                <w:b w:val="0"/>
                <w:bCs w:val="0"/>
                <w:i w:val="0"/>
                <w:iCs w:val="0"/>
                <w:color w:val="auto"/>
                <w:kern w:val="2"/>
                <w:sz w:val="21"/>
                <w:szCs w:val="21"/>
                <w:u w:val="none"/>
              </w:rPr>
              <w:t>。</w:t>
            </w:r>
          </w:p>
        </w:tc>
      </w:tr>
    </w:tbl>
    <w:p w14:paraId="37233AA6">
      <w:pPr>
        <w:keepNext w:val="0"/>
        <w:keepLines w:val="0"/>
        <w:pageBreakBefore w:val="0"/>
        <w:widowControl w:val="0"/>
        <w:kinsoku/>
        <w:wordWrap/>
        <w:overflowPunct/>
        <w:topLinePunct w:val="0"/>
        <w:autoSpaceDE w:val="0"/>
        <w:autoSpaceDN w:val="0"/>
        <w:bidi w:val="0"/>
        <w:adjustRightInd w:val="0"/>
        <w:snapToGrid/>
        <w:spacing w:line="360" w:lineRule="auto"/>
        <w:ind w:left="0" w:firstLine="0"/>
        <w:textAlignment w:val="auto"/>
        <w:outlineLvl w:val="9"/>
        <w:rPr>
          <w:rFonts w:hint="eastAsia" w:ascii="宋体" w:hAnsi="宋体" w:eastAsia="宋体" w:cs="宋体"/>
          <w:color w:val="FF0000"/>
          <w:sz w:val="21"/>
          <w:szCs w:val="21"/>
          <w:lang w:eastAsia="zh-CN"/>
        </w:rPr>
      </w:pPr>
    </w:p>
    <w:tbl>
      <w:tblPr>
        <w:tblStyle w:val="6"/>
        <w:tblW w:w="500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1857"/>
        <w:gridCol w:w="8347"/>
      </w:tblGrid>
      <w:tr w14:paraId="52E23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8" w:hRule="atLeast"/>
        </w:trPr>
        <w:tc>
          <w:tcPr>
            <w:tcW w:w="910" w:type="pct"/>
            <w:shd w:val="clear" w:color="auto" w:fill="auto"/>
            <w:tcMar>
              <w:top w:w="69" w:type="dxa"/>
              <w:left w:w="139" w:type="dxa"/>
              <w:bottom w:w="69" w:type="dxa"/>
              <w:right w:w="139" w:type="dxa"/>
            </w:tcMar>
            <w:vAlign w:val="center"/>
          </w:tcPr>
          <w:p w14:paraId="48B139E2">
            <w:pPr>
              <w:pStyle w:val="5"/>
              <w:keepNext w:val="0"/>
              <w:keepLines w:val="0"/>
              <w:pageBreakBefore w:val="0"/>
              <w:widowControl/>
              <w:suppressLineNumbers w:val="0"/>
              <w:kinsoku/>
              <w:wordWrap/>
              <w:overflowPunct/>
              <w:topLinePunct w:val="0"/>
              <w:bidi w:val="0"/>
              <w:snapToGrid/>
              <w:spacing w:before="0" w:beforeAutospacing="0" w:after="0" w:afterAutospacing="0" w:line="288" w:lineRule="auto"/>
              <w:ind w:left="0"/>
              <w:jc w:val="left"/>
              <w:textAlignment w:val="auto"/>
              <w:rPr>
                <w:rFonts w:hint="eastAsia" w:ascii="宋体" w:hAnsi="宋体" w:eastAsia="宋体" w:cs="宋体"/>
                <w:sz w:val="21"/>
                <w:szCs w:val="21"/>
              </w:rPr>
            </w:pPr>
            <w:r>
              <w:rPr>
                <w:rFonts w:hint="eastAsia" w:ascii="宋体" w:hAnsi="宋体" w:eastAsia="宋体" w:cs="宋体"/>
                <w:b w:val="0"/>
                <w:bCs w:val="0"/>
                <w:i w:val="0"/>
                <w:iCs w:val="0"/>
                <w:color w:val="FF0000"/>
                <w:kern w:val="2"/>
                <w:sz w:val="21"/>
                <w:szCs w:val="21"/>
                <w:u w:val="none"/>
              </w:rPr>
              <w:t>（2）计入交易价格的可变对价金额的限制</w:t>
            </w:r>
          </w:p>
        </w:tc>
        <w:tc>
          <w:tcPr>
            <w:tcW w:w="4089" w:type="pct"/>
            <w:shd w:val="clear" w:color="auto" w:fill="auto"/>
            <w:tcMar>
              <w:top w:w="69" w:type="dxa"/>
              <w:left w:w="139" w:type="dxa"/>
              <w:bottom w:w="69" w:type="dxa"/>
              <w:right w:w="139" w:type="dxa"/>
            </w:tcMar>
            <w:vAlign w:val="center"/>
          </w:tcPr>
          <w:p w14:paraId="79D9CEBF">
            <w:pPr>
              <w:pStyle w:val="5"/>
              <w:keepNext w:val="0"/>
              <w:keepLines w:val="0"/>
              <w:pageBreakBefore w:val="0"/>
              <w:widowControl/>
              <w:suppressLineNumbers w:val="0"/>
              <w:kinsoku/>
              <w:wordWrap/>
              <w:overflowPunct/>
              <w:topLinePunct w:val="0"/>
              <w:bidi w:val="0"/>
              <w:snapToGrid/>
              <w:spacing w:before="0" w:beforeAutospacing="0" w:after="0" w:afterAutospacing="0" w:line="288" w:lineRule="auto"/>
              <w:ind w:left="0"/>
              <w:jc w:val="left"/>
              <w:textAlignment w:val="auto"/>
              <w:rPr>
                <w:rFonts w:hint="eastAsia" w:ascii="宋体" w:hAnsi="宋体" w:eastAsia="宋体" w:cs="宋体"/>
                <w:sz w:val="21"/>
                <w:szCs w:val="21"/>
              </w:rPr>
            </w:pPr>
            <w:r>
              <w:rPr>
                <w:rFonts w:hint="eastAsia" w:ascii="宋体" w:hAnsi="宋体" w:eastAsia="宋体" w:cs="宋体"/>
                <w:b w:val="0"/>
                <w:bCs w:val="0"/>
                <w:i w:val="0"/>
                <w:iCs w:val="0"/>
                <w:color w:val="auto"/>
                <w:kern w:val="2"/>
                <w:sz w:val="21"/>
                <w:szCs w:val="21"/>
                <w:u w:val="none"/>
              </w:rPr>
              <w:t>包含可变对价的交易价格，</w:t>
            </w:r>
            <w:r>
              <w:rPr>
                <w:rFonts w:hint="eastAsia" w:ascii="宋体" w:hAnsi="宋体" w:eastAsia="宋体" w:cs="宋体"/>
                <w:b w:val="0"/>
                <w:bCs w:val="0"/>
                <w:i w:val="0"/>
                <w:iCs w:val="0"/>
                <w:color w:val="FF0000"/>
                <w:kern w:val="2"/>
                <w:sz w:val="21"/>
                <w:szCs w:val="21"/>
                <w:u w:val="none"/>
              </w:rPr>
              <w:t>应当不超过在相关不确定性消除时，累计已确认的收入极可能不会发生重大转回的金额</w:t>
            </w:r>
            <w:r>
              <w:rPr>
                <w:rFonts w:hint="eastAsia" w:ascii="宋体" w:hAnsi="宋体" w:eastAsia="宋体" w:cs="宋体"/>
                <w:b w:val="0"/>
                <w:bCs w:val="0"/>
                <w:i w:val="0"/>
                <w:iCs w:val="0"/>
                <w:color w:val="auto"/>
                <w:kern w:val="2"/>
                <w:sz w:val="21"/>
                <w:szCs w:val="21"/>
                <w:u w:val="none"/>
              </w:rPr>
              <w:t>。</w:t>
            </w:r>
          </w:p>
          <w:p w14:paraId="626F6D89">
            <w:pPr>
              <w:pStyle w:val="5"/>
              <w:keepNext w:val="0"/>
              <w:keepLines w:val="0"/>
              <w:pageBreakBefore w:val="0"/>
              <w:widowControl/>
              <w:suppressLineNumbers w:val="0"/>
              <w:kinsoku/>
              <w:wordWrap/>
              <w:overflowPunct/>
              <w:topLinePunct w:val="0"/>
              <w:bidi w:val="0"/>
              <w:snapToGrid/>
              <w:spacing w:before="0" w:beforeAutospacing="0" w:after="0" w:afterAutospacing="0" w:line="288" w:lineRule="auto"/>
              <w:ind w:left="0"/>
              <w:jc w:val="left"/>
              <w:textAlignment w:val="auto"/>
              <w:rPr>
                <w:rFonts w:hint="eastAsia" w:ascii="宋体" w:hAnsi="宋体" w:eastAsia="宋体" w:cs="宋体"/>
                <w:sz w:val="21"/>
                <w:szCs w:val="21"/>
              </w:rPr>
            </w:pPr>
            <w:r>
              <w:rPr>
                <w:rFonts w:hint="eastAsia" w:ascii="宋体" w:hAnsi="宋体" w:eastAsia="宋体" w:cs="宋体"/>
                <w:b w:val="0"/>
                <w:bCs w:val="0"/>
                <w:i w:val="0"/>
                <w:iCs w:val="0"/>
                <w:color w:val="auto"/>
                <w:kern w:val="2"/>
                <w:sz w:val="21"/>
                <w:szCs w:val="21"/>
                <w:u w:val="none"/>
              </w:rPr>
              <w:t xml:space="preserve">“极可能”远高于“很可能（50%）”但未达到“基本确定（95%）”。 </w:t>
            </w:r>
          </w:p>
        </w:tc>
      </w:tr>
    </w:tbl>
    <w:p w14:paraId="2E9E9EA9">
      <w:pPr>
        <w:keepNext w:val="0"/>
        <w:keepLines w:val="0"/>
        <w:pageBreakBefore w:val="0"/>
        <w:widowControl w:val="0"/>
        <w:kinsoku/>
        <w:wordWrap/>
        <w:overflowPunct/>
        <w:topLinePunct w:val="0"/>
        <w:autoSpaceDE w:val="0"/>
        <w:autoSpaceDN w:val="0"/>
        <w:bidi w:val="0"/>
        <w:adjustRightInd w:val="0"/>
        <w:snapToGrid/>
        <w:spacing w:line="360" w:lineRule="auto"/>
        <w:ind w:left="0" w:firstLine="0"/>
        <w:textAlignment w:val="auto"/>
        <w:outlineLvl w:val="9"/>
        <w:rPr>
          <w:rFonts w:hint="eastAsia" w:ascii="宋体" w:hAnsi="宋体" w:eastAsia="宋体" w:cs="宋体"/>
          <w:color w:val="auto"/>
          <w:sz w:val="21"/>
          <w:szCs w:val="21"/>
        </w:rPr>
      </w:pPr>
    </w:p>
    <w:p w14:paraId="3457FC2A">
      <w:pPr>
        <w:keepNext w:val="0"/>
        <w:keepLines w:val="0"/>
        <w:pageBreakBefore w:val="0"/>
        <w:widowControl w:val="0"/>
        <w:kinsoku/>
        <w:wordWrap/>
        <w:overflowPunct/>
        <w:topLinePunct w:val="0"/>
        <w:autoSpaceDE w:val="0"/>
        <w:autoSpaceDN w:val="0"/>
        <w:bidi w:val="0"/>
        <w:adjustRightInd w:val="0"/>
        <w:snapToGrid/>
        <w:spacing w:line="360" w:lineRule="auto"/>
        <w:ind w:left="0" w:firstLine="0"/>
        <w:textAlignment w:val="auto"/>
        <w:outlineLvl w:val="9"/>
        <w:rPr>
          <w:rFonts w:hint="eastAsia" w:ascii="宋体" w:hAnsi="宋体" w:eastAsia="宋体" w:cs="宋体"/>
          <w:color w:val="FF0000"/>
          <w:sz w:val="21"/>
          <w:szCs w:val="21"/>
          <w:lang w:eastAsia="zh-CN"/>
        </w:rPr>
      </w:pPr>
      <w:r>
        <w:rPr>
          <w:rFonts w:hint="eastAsia" w:ascii="宋体" w:hAnsi="宋体" w:eastAsia="宋体" w:cs="宋体"/>
          <w:color w:val="FF0000"/>
          <w:sz w:val="21"/>
          <w:szCs w:val="21"/>
          <w:lang w:eastAsia="zh-CN"/>
        </w:rPr>
        <w:t xml:space="preserve"> </w:t>
      </w:r>
      <w:r>
        <w:rPr>
          <w:rFonts w:hint="eastAsia" w:ascii="宋体" w:hAnsi="宋体" w:eastAsia="宋体" w:cs="宋体"/>
          <w:color w:val="FF0000"/>
          <w:sz w:val="21"/>
          <w:szCs w:val="21"/>
          <w:lang w:val="en-US" w:eastAsia="zh-CN"/>
        </w:rPr>
        <w:t>2.</w:t>
      </w:r>
      <w:r>
        <w:rPr>
          <w:rFonts w:hint="eastAsia" w:ascii="宋体" w:hAnsi="宋体" w:eastAsia="宋体" w:cs="宋体"/>
          <w:color w:val="FF0000"/>
          <w:sz w:val="21"/>
          <w:szCs w:val="21"/>
          <w:lang w:eastAsia="zh-CN"/>
        </w:rPr>
        <w:t>★★★合同中存在的重大融资成分</w:t>
      </w:r>
    </w:p>
    <w:tbl>
      <w:tblPr>
        <w:tblStyle w:val="6"/>
        <w:tblW w:w="498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10165"/>
      </w:tblGrid>
      <w:tr w14:paraId="65364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8" w:hRule="atLeast"/>
        </w:trPr>
        <w:tc>
          <w:tcPr>
            <w:tcW w:w="5000" w:type="pct"/>
            <w:shd w:val="clear" w:color="auto" w:fill="auto"/>
            <w:tcMar>
              <w:top w:w="69" w:type="dxa"/>
              <w:left w:w="139" w:type="dxa"/>
              <w:bottom w:w="69" w:type="dxa"/>
              <w:right w:w="139" w:type="dxa"/>
            </w:tcMar>
            <w:vAlign w:val="center"/>
          </w:tcPr>
          <w:p w14:paraId="211FE9AE">
            <w:pPr>
              <w:pStyle w:val="5"/>
              <w:keepNext w:val="0"/>
              <w:keepLines w:val="0"/>
              <w:pageBreakBefore w:val="0"/>
              <w:widowControl/>
              <w:suppressLineNumbers w:val="0"/>
              <w:kinsoku/>
              <w:wordWrap/>
              <w:overflowPunct/>
              <w:topLinePunct w:val="0"/>
              <w:bidi w:val="0"/>
              <w:snapToGrid/>
              <w:spacing w:before="0" w:beforeAutospacing="0" w:after="0" w:afterAutospacing="0" w:line="288" w:lineRule="auto"/>
              <w:ind w:left="0"/>
              <w:jc w:val="left"/>
              <w:textAlignment w:val="auto"/>
              <w:rPr>
                <w:rFonts w:hint="eastAsia" w:ascii="宋体" w:hAnsi="宋体" w:eastAsia="宋体" w:cs="宋体"/>
                <w:sz w:val="21"/>
                <w:szCs w:val="21"/>
              </w:rPr>
            </w:pPr>
            <w:r>
              <w:rPr>
                <w:rFonts w:hint="eastAsia" w:ascii="宋体" w:hAnsi="宋体" w:eastAsia="宋体" w:cs="宋体"/>
                <w:b w:val="0"/>
                <w:bCs w:val="0"/>
                <w:i w:val="0"/>
                <w:iCs w:val="0"/>
                <w:color w:val="FF0000"/>
                <w:kern w:val="2"/>
                <w:sz w:val="21"/>
                <w:szCs w:val="21"/>
                <w:u w:val="none"/>
              </w:rPr>
              <w:t>（1）现销价格（现值）确定交易价格</w:t>
            </w:r>
          </w:p>
        </w:tc>
      </w:tr>
      <w:tr w14:paraId="31467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24" w:hRule="atLeast"/>
        </w:trPr>
        <w:tc>
          <w:tcPr>
            <w:tcW w:w="5000" w:type="pct"/>
            <w:shd w:val="clear" w:color="auto" w:fill="auto"/>
            <w:tcMar>
              <w:top w:w="69" w:type="dxa"/>
              <w:left w:w="139" w:type="dxa"/>
              <w:bottom w:w="69" w:type="dxa"/>
              <w:right w:w="139" w:type="dxa"/>
            </w:tcMar>
            <w:vAlign w:val="center"/>
          </w:tcPr>
          <w:p w14:paraId="63CBED27">
            <w:pPr>
              <w:pStyle w:val="5"/>
              <w:keepNext w:val="0"/>
              <w:keepLines w:val="0"/>
              <w:pageBreakBefore w:val="0"/>
              <w:widowControl/>
              <w:suppressLineNumbers w:val="0"/>
              <w:kinsoku/>
              <w:wordWrap/>
              <w:overflowPunct/>
              <w:topLinePunct w:val="0"/>
              <w:bidi w:val="0"/>
              <w:snapToGrid/>
              <w:spacing w:before="0" w:beforeAutospacing="0" w:after="0" w:afterAutospacing="0" w:line="288" w:lineRule="auto"/>
              <w:ind w:left="0"/>
              <w:jc w:val="left"/>
              <w:textAlignment w:val="auto"/>
              <w:rPr>
                <w:rFonts w:hint="eastAsia" w:ascii="宋体" w:hAnsi="宋体" w:eastAsia="宋体" w:cs="宋体"/>
                <w:sz w:val="21"/>
                <w:szCs w:val="21"/>
              </w:rPr>
            </w:pPr>
            <w:r>
              <w:rPr>
                <w:rFonts w:hint="eastAsia" w:ascii="宋体" w:hAnsi="宋体" w:eastAsia="宋体" w:cs="宋体"/>
                <w:b w:val="0"/>
                <w:bCs w:val="0"/>
                <w:i w:val="0"/>
                <w:iCs w:val="0"/>
                <w:color w:val="FF0000"/>
                <w:kern w:val="2"/>
                <w:sz w:val="21"/>
                <w:szCs w:val="21"/>
                <w:u w:val="none"/>
              </w:rPr>
              <w:t>（2）存在时间间隔</w:t>
            </w:r>
            <w:r>
              <w:rPr>
                <w:rFonts w:hint="eastAsia" w:ascii="宋体" w:hAnsi="宋体" w:eastAsia="宋体" w:cs="宋体"/>
                <w:b w:val="0"/>
                <w:bCs w:val="0"/>
                <w:i w:val="0"/>
                <w:iCs w:val="0"/>
                <w:color w:val="auto"/>
                <w:kern w:val="2"/>
                <w:sz w:val="21"/>
                <w:szCs w:val="21"/>
                <w:u w:val="none"/>
              </w:rPr>
              <w:t>，</w:t>
            </w:r>
            <w:r>
              <w:rPr>
                <w:rFonts w:hint="eastAsia" w:ascii="宋体" w:hAnsi="宋体" w:eastAsia="宋体" w:cs="宋体"/>
                <w:b w:val="0"/>
                <w:bCs w:val="0"/>
                <w:i w:val="0"/>
                <w:iCs w:val="0"/>
                <w:color w:val="FF0000"/>
                <w:kern w:val="2"/>
                <w:sz w:val="21"/>
                <w:szCs w:val="21"/>
                <w:u w:val="none"/>
              </w:rPr>
              <w:t>没有重大融资成分</w:t>
            </w:r>
            <w:r>
              <w:rPr>
                <w:rFonts w:hint="eastAsia" w:ascii="宋体" w:hAnsi="宋体" w:eastAsia="宋体" w:cs="宋体"/>
                <w:b w:val="0"/>
                <w:bCs w:val="0"/>
                <w:i w:val="0"/>
                <w:iCs w:val="0"/>
                <w:color w:val="auto"/>
                <w:kern w:val="2"/>
                <w:sz w:val="21"/>
                <w:szCs w:val="21"/>
                <w:u w:val="none"/>
              </w:rPr>
              <w:t>：储值卡，授予奖励积分，质保金。</w:t>
            </w:r>
          </w:p>
        </w:tc>
      </w:tr>
      <w:tr w14:paraId="71598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7" w:hRule="atLeast"/>
        </w:trPr>
        <w:tc>
          <w:tcPr>
            <w:tcW w:w="5000" w:type="pct"/>
            <w:shd w:val="clear" w:color="auto" w:fill="auto"/>
            <w:tcMar>
              <w:top w:w="69" w:type="dxa"/>
              <w:left w:w="139" w:type="dxa"/>
              <w:bottom w:w="69" w:type="dxa"/>
              <w:right w:w="139" w:type="dxa"/>
            </w:tcMar>
            <w:vAlign w:val="center"/>
          </w:tcPr>
          <w:p w14:paraId="6FEE7624">
            <w:pPr>
              <w:pStyle w:val="5"/>
              <w:keepNext w:val="0"/>
              <w:keepLines w:val="0"/>
              <w:pageBreakBefore w:val="0"/>
              <w:widowControl/>
              <w:suppressLineNumbers w:val="0"/>
              <w:kinsoku/>
              <w:wordWrap/>
              <w:overflowPunct/>
              <w:topLinePunct w:val="0"/>
              <w:bidi w:val="0"/>
              <w:snapToGrid/>
              <w:spacing w:before="0" w:beforeAutospacing="0" w:after="0" w:afterAutospacing="0" w:line="288" w:lineRule="auto"/>
              <w:ind w:left="0"/>
              <w:jc w:val="left"/>
              <w:textAlignment w:val="auto"/>
              <w:rPr>
                <w:rFonts w:hint="eastAsia" w:ascii="宋体" w:hAnsi="宋体" w:eastAsia="宋体" w:cs="宋体"/>
                <w:sz w:val="21"/>
                <w:szCs w:val="21"/>
              </w:rPr>
            </w:pPr>
            <w:r>
              <w:rPr>
                <w:rFonts w:hint="eastAsia" w:ascii="宋体" w:hAnsi="宋体" w:eastAsia="宋体" w:cs="宋体"/>
                <w:b w:val="0"/>
                <w:bCs w:val="0"/>
                <w:i w:val="0"/>
                <w:iCs w:val="0"/>
                <w:color w:val="auto"/>
                <w:kern w:val="2"/>
                <w:sz w:val="21"/>
                <w:szCs w:val="21"/>
                <w:u w:val="none"/>
              </w:rPr>
              <w:t>在</w:t>
            </w:r>
            <w:r>
              <w:rPr>
                <w:rFonts w:hint="eastAsia" w:ascii="宋体" w:hAnsi="宋体" w:eastAsia="宋体" w:cs="宋体"/>
                <w:b w:val="0"/>
                <w:bCs w:val="0"/>
                <w:i w:val="0"/>
                <w:iCs w:val="0"/>
                <w:color w:val="FF0000"/>
                <w:kern w:val="2"/>
                <w:sz w:val="21"/>
                <w:szCs w:val="21"/>
                <w:u w:val="none"/>
              </w:rPr>
              <w:t>确定该重大融资成分的金额时，使用将合同对价的名义金额折现为商品现销价格的折现率。该折现率一经确定，不得变更</w:t>
            </w:r>
            <w:r>
              <w:rPr>
                <w:rFonts w:hint="eastAsia" w:ascii="宋体" w:hAnsi="宋体" w:eastAsia="宋体" w:cs="宋体"/>
                <w:b w:val="0"/>
                <w:bCs w:val="0"/>
                <w:i w:val="0"/>
                <w:iCs w:val="0"/>
                <w:color w:val="auto"/>
                <w:kern w:val="2"/>
                <w:sz w:val="21"/>
                <w:szCs w:val="21"/>
                <w:u w:val="none"/>
              </w:rPr>
              <w:t>。</w:t>
            </w:r>
          </w:p>
        </w:tc>
      </w:tr>
      <w:tr w14:paraId="347A4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53" w:hRule="atLeast"/>
        </w:trPr>
        <w:tc>
          <w:tcPr>
            <w:tcW w:w="5000" w:type="pct"/>
            <w:shd w:val="clear" w:color="auto" w:fill="auto"/>
            <w:tcMar>
              <w:top w:w="69" w:type="dxa"/>
              <w:left w:w="139" w:type="dxa"/>
              <w:bottom w:w="69" w:type="dxa"/>
              <w:right w:w="139" w:type="dxa"/>
            </w:tcMar>
            <w:vAlign w:val="center"/>
          </w:tcPr>
          <w:p w14:paraId="25E08718">
            <w:pPr>
              <w:pStyle w:val="5"/>
              <w:keepNext w:val="0"/>
              <w:keepLines w:val="0"/>
              <w:pageBreakBefore w:val="0"/>
              <w:widowControl/>
              <w:suppressLineNumbers w:val="0"/>
              <w:kinsoku/>
              <w:wordWrap/>
              <w:overflowPunct/>
              <w:topLinePunct w:val="0"/>
              <w:bidi w:val="0"/>
              <w:snapToGrid/>
              <w:spacing w:before="0" w:beforeAutospacing="0" w:after="0" w:afterAutospacing="0" w:line="288" w:lineRule="auto"/>
              <w:ind w:left="0"/>
              <w:jc w:val="left"/>
              <w:textAlignment w:val="auto"/>
              <w:rPr>
                <w:rFonts w:hint="eastAsia" w:ascii="宋体" w:hAnsi="宋体" w:eastAsia="宋体" w:cs="宋体"/>
                <w:sz w:val="21"/>
                <w:szCs w:val="21"/>
              </w:rPr>
            </w:pPr>
            <w:r>
              <w:rPr>
                <w:rFonts w:hint="eastAsia" w:ascii="宋体" w:hAnsi="宋体" w:eastAsia="宋体" w:cs="宋体"/>
                <w:b w:val="0"/>
                <w:bCs w:val="0"/>
                <w:i w:val="0"/>
                <w:iCs w:val="0"/>
                <w:color w:val="auto"/>
                <w:kern w:val="2"/>
                <w:sz w:val="21"/>
                <w:szCs w:val="21"/>
                <w:u w:val="none"/>
              </w:rPr>
              <w:t>支付价款</w:t>
            </w:r>
            <w:r>
              <w:rPr>
                <w:rFonts w:hint="eastAsia" w:ascii="宋体" w:hAnsi="宋体" w:eastAsia="宋体" w:cs="宋体"/>
                <w:b w:val="0"/>
                <w:bCs w:val="0"/>
                <w:i w:val="0"/>
                <w:iCs w:val="0"/>
                <w:color w:val="FF0000"/>
                <w:kern w:val="2"/>
                <w:sz w:val="21"/>
                <w:szCs w:val="21"/>
                <w:u w:val="none"/>
              </w:rPr>
              <w:t>不超过一年的</w:t>
            </w:r>
            <w:r>
              <w:rPr>
                <w:rFonts w:hint="eastAsia" w:ascii="宋体" w:hAnsi="宋体" w:eastAsia="宋体" w:cs="宋体"/>
                <w:b w:val="0"/>
                <w:bCs w:val="0"/>
                <w:i w:val="0"/>
                <w:iCs w:val="0"/>
                <w:color w:val="auto"/>
                <w:kern w:val="2"/>
                <w:sz w:val="21"/>
                <w:szCs w:val="21"/>
                <w:u w:val="none"/>
              </w:rPr>
              <w:t>，</w:t>
            </w:r>
            <w:r>
              <w:rPr>
                <w:rFonts w:hint="eastAsia" w:ascii="宋体" w:hAnsi="宋体" w:eastAsia="宋体" w:cs="宋体"/>
                <w:b w:val="0"/>
                <w:bCs w:val="0"/>
                <w:i w:val="0"/>
                <w:iCs w:val="0"/>
                <w:color w:val="FF0000"/>
                <w:kern w:val="2"/>
                <w:sz w:val="21"/>
                <w:szCs w:val="21"/>
                <w:u w:val="none"/>
              </w:rPr>
              <w:t>不考虑重大融资成分</w:t>
            </w:r>
            <w:r>
              <w:rPr>
                <w:rFonts w:hint="eastAsia" w:ascii="宋体" w:hAnsi="宋体" w:eastAsia="宋体" w:cs="宋体"/>
                <w:b w:val="0"/>
                <w:bCs w:val="0"/>
                <w:i w:val="0"/>
                <w:iCs w:val="0"/>
                <w:color w:val="auto"/>
                <w:kern w:val="2"/>
                <w:sz w:val="21"/>
                <w:szCs w:val="21"/>
                <w:u w:val="none"/>
              </w:rPr>
              <w:t>。</w:t>
            </w:r>
          </w:p>
        </w:tc>
      </w:tr>
    </w:tbl>
    <w:p w14:paraId="701407D8">
      <w:pPr>
        <w:keepNext w:val="0"/>
        <w:keepLines w:val="0"/>
        <w:pageBreakBefore w:val="0"/>
        <w:widowControl w:val="0"/>
        <w:kinsoku/>
        <w:wordWrap/>
        <w:overflowPunct/>
        <w:topLinePunct w:val="0"/>
        <w:autoSpaceDE w:val="0"/>
        <w:autoSpaceDN w:val="0"/>
        <w:bidi w:val="0"/>
        <w:adjustRightInd w:val="0"/>
        <w:snapToGrid/>
        <w:spacing w:line="360" w:lineRule="auto"/>
        <w:ind w:left="0" w:firstLine="0"/>
        <w:textAlignment w:val="auto"/>
        <w:outlineLvl w:val="9"/>
        <w:rPr>
          <w:rFonts w:hint="eastAsia" w:ascii="宋体" w:hAnsi="宋体" w:eastAsia="宋体" w:cs="宋体"/>
          <w:color w:val="FF0000"/>
          <w:sz w:val="21"/>
          <w:szCs w:val="21"/>
          <w:lang w:eastAsia="zh-CN"/>
        </w:rPr>
      </w:pPr>
    </w:p>
    <w:tbl>
      <w:tblPr>
        <w:tblStyle w:val="6"/>
        <w:tblW w:w="500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2966"/>
        <w:gridCol w:w="2966"/>
        <w:gridCol w:w="4272"/>
      </w:tblGrid>
      <w:tr w14:paraId="0BB15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trPr>
        <w:tc>
          <w:tcPr>
            <w:tcW w:w="1453" w:type="pct"/>
            <w:shd w:val="clear" w:color="auto" w:fill="auto"/>
            <w:tcMar>
              <w:top w:w="69" w:type="dxa"/>
              <w:left w:w="139" w:type="dxa"/>
              <w:bottom w:w="69" w:type="dxa"/>
              <w:right w:w="139" w:type="dxa"/>
            </w:tcMar>
            <w:vAlign w:val="center"/>
          </w:tcPr>
          <w:p w14:paraId="1CDB161B">
            <w:pPr>
              <w:pStyle w:val="5"/>
              <w:keepNext w:val="0"/>
              <w:keepLines w:val="0"/>
              <w:pageBreakBefore w:val="0"/>
              <w:widowControl/>
              <w:suppressLineNumbers w:val="0"/>
              <w:kinsoku/>
              <w:wordWrap/>
              <w:overflowPunct/>
              <w:topLinePunct w:val="0"/>
              <w:bidi w:val="0"/>
              <w:snapToGrid/>
              <w:spacing w:before="0" w:beforeAutospacing="0" w:after="0" w:afterAutospacing="0" w:line="288" w:lineRule="auto"/>
              <w:ind w:left="0" w:firstLine="0"/>
              <w:jc w:val="left"/>
              <w:textAlignment w:val="auto"/>
              <w:rPr>
                <w:rFonts w:hint="eastAsia" w:ascii="宋体" w:hAnsi="宋体" w:eastAsia="宋体" w:cs="宋体"/>
                <w:sz w:val="21"/>
                <w:szCs w:val="21"/>
              </w:rPr>
            </w:pPr>
            <w:r>
              <w:rPr>
                <w:rFonts w:hint="eastAsia" w:ascii="宋体" w:hAnsi="宋体" w:eastAsia="宋体" w:cs="宋体"/>
                <w:b w:val="0"/>
                <w:bCs w:val="0"/>
                <w:i w:val="0"/>
                <w:iCs w:val="0"/>
                <w:color w:val="FF0000"/>
                <w:kern w:val="2"/>
                <w:sz w:val="21"/>
                <w:szCs w:val="21"/>
                <w:u w:val="none"/>
              </w:rPr>
              <w:t>（1）收到货款</w:t>
            </w:r>
          </w:p>
        </w:tc>
        <w:tc>
          <w:tcPr>
            <w:tcW w:w="1453" w:type="pct"/>
            <w:shd w:val="clear" w:color="auto" w:fill="auto"/>
            <w:tcMar>
              <w:top w:w="69" w:type="dxa"/>
              <w:left w:w="139" w:type="dxa"/>
              <w:bottom w:w="69" w:type="dxa"/>
              <w:right w:w="139" w:type="dxa"/>
            </w:tcMar>
            <w:vAlign w:val="center"/>
          </w:tcPr>
          <w:p w14:paraId="0236D534">
            <w:pPr>
              <w:pStyle w:val="5"/>
              <w:keepNext w:val="0"/>
              <w:keepLines w:val="0"/>
              <w:pageBreakBefore w:val="0"/>
              <w:widowControl/>
              <w:suppressLineNumbers w:val="0"/>
              <w:kinsoku/>
              <w:wordWrap/>
              <w:overflowPunct/>
              <w:topLinePunct w:val="0"/>
              <w:bidi w:val="0"/>
              <w:snapToGrid/>
              <w:spacing w:before="0" w:beforeAutospacing="0" w:after="0" w:afterAutospacing="0" w:line="288" w:lineRule="auto"/>
              <w:ind w:left="0" w:firstLine="0"/>
              <w:jc w:val="left"/>
              <w:textAlignment w:val="auto"/>
              <w:rPr>
                <w:rFonts w:hint="eastAsia" w:ascii="宋体" w:hAnsi="宋体" w:eastAsia="宋体" w:cs="宋体"/>
                <w:sz w:val="21"/>
                <w:szCs w:val="21"/>
              </w:rPr>
            </w:pPr>
            <w:r>
              <w:rPr>
                <w:rFonts w:hint="eastAsia" w:ascii="宋体" w:hAnsi="宋体" w:eastAsia="宋体" w:cs="宋体"/>
                <w:b w:val="0"/>
                <w:bCs w:val="0"/>
                <w:i w:val="0"/>
                <w:iCs w:val="0"/>
                <w:color w:val="FF0000"/>
                <w:kern w:val="2"/>
                <w:sz w:val="21"/>
                <w:szCs w:val="21"/>
                <w:u w:val="none"/>
              </w:rPr>
              <w:t>（2）年底确认融资成分</w:t>
            </w:r>
          </w:p>
        </w:tc>
        <w:tc>
          <w:tcPr>
            <w:tcW w:w="2093" w:type="pct"/>
            <w:shd w:val="clear" w:color="auto" w:fill="auto"/>
            <w:tcMar>
              <w:top w:w="69" w:type="dxa"/>
              <w:left w:w="139" w:type="dxa"/>
              <w:bottom w:w="69" w:type="dxa"/>
              <w:right w:w="139" w:type="dxa"/>
            </w:tcMar>
            <w:vAlign w:val="center"/>
          </w:tcPr>
          <w:p w14:paraId="4DCB1EB5">
            <w:pPr>
              <w:pStyle w:val="5"/>
              <w:keepNext w:val="0"/>
              <w:keepLines w:val="0"/>
              <w:pageBreakBefore w:val="0"/>
              <w:widowControl/>
              <w:suppressLineNumbers w:val="0"/>
              <w:kinsoku/>
              <w:wordWrap/>
              <w:overflowPunct/>
              <w:topLinePunct w:val="0"/>
              <w:bidi w:val="0"/>
              <w:snapToGrid/>
              <w:spacing w:before="0" w:beforeAutospacing="0" w:after="0" w:afterAutospacing="0" w:line="288" w:lineRule="auto"/>
              <w:ind w:left="0" w:firstLine="0"/>
              <w:jc w:val="left"/>
              <w:textAlignment w:val="auto"/>
              <w:rPr>
                <w:rFonts w:hint="eastAsia" w:ascii="宋体" w:hAnsi="宋体" w:eastAsia="宋体" w:cs="宋体"/>
                <w:sz w:val="21"/>
                <w:szCs w:val="21"/>
              </w:rPr>
            </w:pPr>
            <w:r>
              <w:rPr>
                <w:rFonts w:hint="eastAsia" w:ascii="宋体" w:hAnsi="宋体" w:eastAsia="宋体" w:cs="宋体"/>
                <w:b w:val="0"/>
                <w:bCs w:val="0"/>
                <w:i w:val="0"/>
                <w:iCs w:val="0"/>
                <w:color w:val="FF0000"/>
                <w:kern w:val="2"/>
                <w:sz w:val="21"/>
                <w:szCs w:val="21"/>
                <w:u w:val="none"/>
              </w:rPr>
              <w:t>（3）交付产品</w:t>
            </w:r>
          </w:p>
        </w:tc>
      </w:tr>
      <w:tr w14:paraId="3B2BC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20" w:hRule="atLeast"/>
        </w:trPr>
        <w:tc>
          <w:tcPr>
            <w:tcW w:w="1453" w:type="pct"/>
            <w:shd w:val="clear" w:color="auto" w:fill="auto"/>
            <w:tcMar>
              <w:top w:w="69" w:type="dxa"/>
              <w:left w:w="139" w:type="dxa"/>
              <w:bottom w:w="69" w:type="dxa"/>
              <w:right w:w="139" w:type="dxa"/>
            </w:tcMar>
            <w:vAlign w:val="center"/>
          </w:tcPr>
          <w:p w14:paraId="35E3DD88">
            <w:pPr>
              <w:pStyle w:val="5"/>
              <w:keepNext w:val="0"/>
              <w:keepLines w:val="0"/>
              <w:pageBreakBefore w:val="0"/>
              <w:widowControl/>
              <w:suppressLineNumbers w:val="0"/>
              <w:kinsoku/>
              <w:wordWrap/>
              <w:overflowPunct/>
              <w:topLinePunct w:val="0"/>
              <w:bidi w:val="0"/>
              <w:snapToGrid/>
              <w:spacing w:before="0" w:beforeAutospacing="0" w:after="0" w:afterAutospacing="0" w:line="288" w:lineRule="auto"/>
              <w:ind w:left="0" w:firstLine="0"/>
              <w:jc w:val="left"/>
              <w:textAlignment w:val="auto"/>
              <w:rPr>
                <w:rFonts w:hint="eastAsia" w:ascii="宋体" w:hAnsi="宋体" w:eastAsia="宋体" w:cs="宋体"/>
                <w:sz w:val="21"/>
                <w:szCs w:val="21"/>
              </w:rPr>
            </w:pPr>
            <w:r>
              <w:rPr>
                <w:rFonts w:hint="eastAsia" w:ascii="宋体" w:hAnsi="宋体" w:eastAsia="宋体" w:cs="宋体"/>
                <w:b w:val="0"/>
                <w:bCs w:val="0"/>
                <w:i w:val="0"/>
                <w:iCs w:val="0"/>
                <w:color w:val="FF0000"/>
                <w:kern w:val="2"/>
                <w:sz w:val="21"/>
                <w:szCs w:val="21"/>
                <w:u w:val="none"/>
              </w:rPr>
              <w:t xml:space="preserve">借：银行存款    </w:t>
            </w:r>
          </w:p>
          <w:p w14:paraId="750B1D70">
            <w:pPr>
              <w:pStyle w:val="5"/>
              <w:keepNext w:val="0"/>
              <w:keepLines w:val="0"/>
              <w:pageBreakBefore w:val="0"/>
              <w:widowControl/>
              <w:suppressLineNumbers w:val="0"/>
              <w:kinsoku/>
              <w:wordWrap/>
              <w:overflowPunct/>
              <w:topLinePunct w:val="0"/>
              <w:bidi w:val="0"/>
              <w:snapToGrid/>
              <w:spacing w:before="0" w:beforeAutospacing="0" w:after="0" w:afterAutospacing="0" w:line="288" w:lineRule="auto"/>
              <w:ind w:left="0" w:firstLine="0"/>
              <w:jc w:val="left"/>
              <w:textAlignment w:val="auto"/>
              <w:rPr>
                <w:rFonts w:hint="eastAsia" w:ascii="宋体" w:hAnsi="宋体" w:eastAsia="宋体" w:cs="宋体"/>
                <w:sz w:val="21"/>
                <w:szCs w:val="21"/>
              </w:rPr>
            </w:pPr>
            <w:r>
              <w:rPr>
                <w:rFonts w:hint="eastAsia" w:ascii="宋体" w:hAnsi="宋体" w:eastAsia="宋体" w:cs="宋体"/>
                <w:b w:val="0"/>
                <w:bCs w:val="0"/>
                <w:i w:val="0"/>
                <w:iCs w:val="0"/>
                <w:color w:val="FF0000"/>
                <w:kern w:val="2"/>
                <w:sz w:val="21"/>
                <w:szCs w:val="21"/>
                <w:u w:val="none"/>
              </w:rPr>
              <w:t xml:space="preserve">　　未确认融资费用    </w:t>
            </w:r>
          </w:p>
          <w:p w14:paraId="4C8331C7">
            <w:pPr>
              <w:pStyle w:val="5"/>
              <w:keepNext w:val="0"/>
              <w:keepLines w:val="0"/>
              <w:pageBreakBefore w:val="0"/>
              <w:widowControl/>
              <w:suppressLineNumbers w:val="0"/>
              <w:kinsoku/>
              <w:wordWrap/>
              <w:overflowPunct/>
              <w:topLinePunct w:val="0"/>
              <w:bidi w:val="0"/>
              <w:snapToGrid/>
              <w:spacing w:before="0" w:beforeAutospacing="0" w:after="0" w:afterAutospacing="0" w:line="288" w:lineRule="auto"/>
              <w:ind w:left="0" w:firstLine="0"/>
              <w:jc w:val="left"/>
              <w:textAlignment w:val="auto"/>
              <w:rPr>
                <w:rFonts w:hint="eastAsia" w:ascii="宋体" w:hAnsi="宋体" w:eastAsia="宋体" w:cs="宋体"/>
                <w:sz w:val="21"/>
                <w:szCs w:val="21"/>
              </w:rPr>
            </w:pPr>
            <w:r>
              <w:rPr>
                <w:rFonts w:hint="eastAsia" w:ascii="宋体" w:hAnsi="宋体" w:eastAsia="宋体" w:cs="宋体"/>
                <w:b w:val="0"/>
                <w:bCs w:val="0"/>
                <w:i w:val="0"/>
                <w:iCs w:val="0"/>
                <w:color w:val="FF0000"/>
                <w:kern w:val="2"/>
                <w:sz w:val="21"/>
                <w:szCs w:val="21"/>
                <w:u w:val="none"/>
              </w:rPr>
              <w:t xml:space="preserve">　　贷：合同负债  </w:t>
            </w:r>
          </w:p>
        </w:tc>
        <w:tc>
          <w:tcPr>
            <w:tcW w:w="1453" w:type="pct"/>
            <w:shd w:val="clear" w:color="auto" w:fill="auto"/>
            <w:tcMar>
              <w:top w:w="69" w:type="dxa"/>
              <w:left w:w="139" w:type="dxa"/>
              <w:bottom w:w="69" w:type="dxa"/>
              <w:right w:w="139" w:type="dxa"/>
            </w:tcMar>
            <w:vAlign w:val="center"/>
          </w:tcPr>
          <w:p w14:paraId="0EB6F4C7">
            <w:pPr>
              <w:pStyle w:val="5"/>
              <w:keepNext w:val="0"/>
              <w:keepLines w:val="0"/>
              <w:pageBreakBefore w:val="0"/>
              <w:widowControl/>
              <w:suppressLineNumbers w:val="0"/>
              <w:kinsoku/>
              <w:wordWrap/>
              <w:overflowPunct/>
              <w:topLinePunct w:val="0"/>
              <w:bidi w:val="0"/>
              <w:snapToGrid/>
              <w:spacing w:before="0" w:beforeAutospacing="0" w:after="0" w:afterAutospacing="0" w:line="288" w:lineRule="auto"/>
              <w:ind w:left="0" w:firstLine="0"/>
              <w:jc w:val="left"/>
              <w:textAlignment w:val="auto"/>
              <w:rPr>
                <w:rFonts w:hint="eastAsia" w:ascii="宋体" w:hAnsi="宋体" w:eastAsia="宋体" w:cs="宋体"/>
                <w:sz w:val="21"/>
                <w:szCs w:val="21"/>
              </w:rPr>
            </w:pPr>
            <w:r>
              <w:rPr>
                <w:rFonts w:hint="eastAsia" w:ascii="宋体" w:hAnsi="宋体" w:eastAsia="宋体" w:cs="宋体"/>
                <w:b w:val="0"/>
                <w:bCs w:val="0"/>
                <w:i w:val="0"/>
                <w:iCs w:val="0"/>
                <w:color w:val="FF0000"/>
                <w:kern w:val="2"/>
                <w:sz w:val="21"/>
                <w:szCs w:val="21"/>
                <w:u w:val="none"/>
              </w:rPr>
              <w:t>借：财务费用</w:t>
            </w:r>
          </w:p>
          <w:p w14:paraId="131A2CFB">
            <w:pPr>
              <w:pStyle w:val="5"/>
              <w:keepNext w:val="0"/>
              <w:keepLines w:val="0"/>
              <w:pageBreakBefore w:val="0"/>
              <w:widowControl/>
              <w:suppressLineNumbers w:val="0"/>
              <w:kinsoku/>
              <w:wordWrap/>
              <w:overflowPunct/>
              <w:topLinePunct w:val="0"/>
              <w:bidi w:val="0"/>
              <w:snapToGrid/>
              <w:spacing w:before="0" w:beforeAutospacing="0" w:after="0" w:afterAutospacing="0" w:line="288" w:lineRule="auto"/>
              <w:ind w:left="0" w:firstLine="0"/>
              <w:jc w:val="left"/>
              <w:textAlignment w:val="auto"/>
              <w:rPr>
                <w:rFonts w:hint="eastAsia" w:ascii="宋体" w:hAnsi="宋体" w:eastAsia="宋体" w:cs="宋体"/>
                <w:sz w:val="21"/>
                <w:szCs w:val="21"/>
              </w:rPr>
            </w:pPr>
            <w:r>
              <w:rPr>
                <w:rFonts w:hint="eastAsia" w:ascii="宋体" w:hAnsi="宋体" w:eastAsia="宋体" w:cs="宋体"/>
                <w:b w:val="0"/>
                <w:bCs w:val="0"/>
                <w:i w:val="0"/>
                <w:iCs w:val="0"/>
                <w:color w:val="FF0000"/>
                <w:kern w:val="2"/>
                <w:sz w:val="21"/>
                <w:szCs w:val="21"/>
                <w:u w:val="none"/>
              </w:rPr>
              <w:t xml:space="preserve">　　贷：未确认融资费用  </w:t>
            </w:r>
          </w:p>
        </w:tc>
        <w:tc>
          <w:tcPr>
            <w:tcW w:w="2093" w:type="pct"/>
            <w:shd w:val="clear" w:color="auto" w:fill="auto"/>
            <w:tcMar>
              <w:top w:w="69" w:type="dxa"/>
              <w:left w:w="139" w:type="dxa"/>
              <w:bottom w:w="69" w:type="dxa"/>
              <w:right w:w="139" w:type="dxa"/>
            </w:tcMar>
            <w:vAlign w:val="center"/>
          </w:tcPr>
          <w:p w14:paraId="604B32D6">
            <w:pPr>
              <w:pStyle w:val="5"/>
              <w:keepNext w:val="0"/>
              <w:keepLines w:val="0"/>
              <w:pageBreakBefore w:val="0"/>
              <w:widowControl/>
              <w:suppressLineNumbers w:val="0"/>
              <w:kinsoku/>
              <w:wordWrap/>
              <w:overflowPunct/>
              <w:topLinePunct w:val="0"/>
              <w:bidi w:val="0"/>
              <w:snapToGrid/>
              <w:spacing w:before="0" w:beforeAutospacing="0" w:after="0" w:afterAutospacing="0" w:line="288" w:lineRule="auto"/>
              <w:ind w:left="0" w:firstLine="0"/>
              <w:jc w:val="left"/>
              <w:textAlignment w:val="auto"/>
              <w:rPr>
                <w:rFonts w:hint="eastAsia" w:ascii="宋体" w:hAnsi="宋体" w:eastAsia="宋体" w:cs="宋体"/>
                <w:sz w:val="21"/>
                <w:szCs w:val="21"/>
              </w:rPr>
            </w:pPr>
            <w:r>
              <w:rPr>
                <w:rFonts w:hint="eastAsia" w:ascii="宋体" w:hAnsi="宋体" w:eastAsia="宋体" w:cs="宋体"/>
                <w:b w:val="0"/>
                <w:bCs w:val="0"/>
                <w:i w:val="0"/>
                <w:iCs w:val="0"/>
                <w:color w:val="FF0000"/>
                <w:kern w:val="2"/>
                <w:sz w:val="21"/>
                <w:szCs w:val="21"/>
                <w:u w:val="none"/>
              </w:rPr>
              <w:t xml:space="preserve">借：合同负债                             </w:t>
            </w:r>
          </w:p>
          <w:p w14:paraId="2ED47AB5">
            <w:pPr>
              <w:pStyle w:val="5"/>
              <w:keepNext w:val="0"/>
              <w:keepLines w:val="0"/>
              <w:pageBreakBefore w:val="0"/>
              <w:widowControl/>
              <w:suppressLineNumbers w:val="0"/>
              <w:kinsoku/>
              <w:wordWrap/>
              <w:overflowPunct/>
              <w:topLinePunct w:val="0"/>
              <w:bidi w:val="0"/>
              <w:snapToGrid/>
              <w:spacing w:before="0" w:beforeAutospacing="0" w:after="0" w:afterAutospacing="0" w:line="288" w:lineRule="auto"/>
              <w:ind w:left="0" w:firstLine="0"/>
              <w:jc w:val="left"/>
              <w:textAlignment w:val="auto"/>
              <w:rPr>
                <w:rFonts w:hint="eastAsia" w:ascii="宋体" w:hAnsi="宋体" w:eastAsia="宋体" w:cs="宋体"/>
                <w:sz w:val="21"/>
                <w:szCs w:val="21"/>
              </w:rPr>
            </w:pPr>
            <w:r>
              <w:rPr>
                <w:rFonts w:hint="eastAsia" w:ascii="宋体" w:hAnsi="宋体" w:eastAsia="宋体" w:cs="宋体"/>
                <w:b w:val="0"/>
                <w:bCs w:val="0"/>
                <w:i w:val="0"/>
                <w:iCs w:val="0"/>
                <w:color w:val="FF0000"/>
                <w:kern w:val="2"/>
                <w:sz w:val="21"/>
                <w:szCs w:val="21"/>
                <w:u w:val="none"/>
              </w:rPr>
              <w:t xml:space="preserve">　　贷：主营业务收入  </w:t>
            </w:r>
          </w:p>
        </w:tc>
      </w:tr>
      <w:tr w14:paraId="47DA4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 w:hRule="atLeast"/>
        </w:trPr>
        <w:tc>
          <w:tcPr>
            <w:tcW w:w="1453" w:type="pct"/>
            <w:shd w:val="clear" w:color="auto" w:fill="auto"/>
            <w:tcMar>
              <w:top w:w="69" w:type="dxa"/>
              <w:left w:w="139" w:type="dxa"/>
              <w:bottom w:w="69" w:type="dxa"/>
              <w:right w:w="139" w:type="dxa"/>
            </w:tcMar>
            <w:vAlign w:val="center"/>
          </w:tcPr>
          <w:p w14:paraId="20A45346">
            <w:pPr>
              <w:pStyle w:val="5"/>
              <w:keepNext w:val="0"/>
              <w:keepLines w:val="0"/>
              <w:pageBreakBefore w:val="0"/>
              <w:widowControl/>
              <w:suppressLineNumbers w:val="0"/>
              <w:kinsoku/>
              <w:wordWrap/>
              <w:overflowPunct/>
              <w:topLinePunct w:val="0"/>
              <w:bidi w:val="0"/>
              <w:snapToGrid/>
              <w:spacing w:before="0" w:beforeAutospacing="0" w:after="0" w:afterAutospacing="0" w:line="288" w:lineRule="auto"/>
              <w:ind w:left="0" w:firstLine="0"/>
              <w:jc w:val="center"/>
              <w:textAlignment w:val="auto"/>
              <w:rPr>
                <w:rFonts w:hint="eastAsia" w:ascii="宋体" w:hAnsi="宋体" w:eastAsia="宋体" w:cs="宋体"/>
                <w:sz w:val="21"/>
                <w:szCs w:val="21"/>
              </w:rPr>
            </w:pPr>
            <w:r>
              <w:rPr>
                <w:rFonts w:hint="eastAsia" w:ascii="宋体" w:hAnsi="宋体" w:eastAsia="宋体" w:cs="宋体"/>
                <w:b w:val="0"/>
                <w:bCs w:val="0"/>
                <w:i w:val="0"/>
                <w:iCs w:val="0"/>
                <w:color w:val="auto"/>
                <w:kern w:val="2"/>
                <w:sz w:val="21"/>
                <w:szCs w:val="21"/>
                <w:u w:val="none"/>
              </w:rPr>
              <w:t>合同负债（预收账款）</w:t>
            </w:r>
          </w:p>
        </w:tc>
        <w:tc>
          <w:tcPr>
            <w:tcW w:w="3546" w:type="pct"/>
            <w:gridSpan w:val="2"/>
            <w:shd w:val="clear" w:color="auto" w:fill="auto"/>
            <w:tcMar>
              <w:top w:w="69" w:type="dxa"/>
              <w:left w:w="139" w:type="dxa"/>
              <w:bottom w:w="69" w:type="dxa"/>
              <w:right w:w="139" w:type="dxa"/>
            </w:tcMar>
            <w:vAlign w:val="center"/>
          </w:tcPr>
          <w:p w14:paraId="20706735">
            <w:pPr>
              <w:pStyle w:val="5"/>
              <w:keepNext w:val="0"/>
              <w:keepLines w:val="0"/>
              <w:pageBreakBefore w:val="0"/>
              <w:widowControl/>
              <w:suppressLineNumbers w:val="0"/>
              <w:kinsoku/>
              <w:wordWrap/>
              <w:overflowPunct/>
              <w:topLinePunct w:val="0"/>
              <w:bidi w:val="0"/>
              <w:snapToGrid/>
              <w:spacing w:before="0" w:beforeAutospacing="0" w:after="0" w:afterAutospacing="0" w:line="288" w:lineRule="auto"/>
              <w:ind w:left="0" w:firstLine="0"/>
              <w:jc w:val="left"/>
              <w:textAlignment w:val="auto"/>
              <w:rPr>
                <w:rFonts w:hint="eastAsia" w:ascii="宋体" w:hAnsi="宋体" w:eastAsia="宋体" w:cs="宋体"/>
                <w:sz w:val="21"/>
                <w:szCs w:val="21"/>
              </w:rPr>
            </w:pPr>
            <w:r>
              <w:rPr>
                <w:rFonts w:hint="eastAsia" w:ascii="宋体" w:hAnsi="宋体" w:eastAsia="宋体" w:cs="宋体"/>
                <w:b w:val="0"/>
                <w:bCs w:val="0"/>
                <w:i w:val="0"/>
                <w:iCs w:val="0"/>
                <w:color w:val="auto"/>
                <w:kern w:val="2"/>
                <w:sz w:val="21"/>
                <w:szCs w:val="21"/>
                <w:u w:val="none"/>
              </w:rPr>
              <w:t>按</w:t>
            </w:r>
            <w:r>
              <w:rPr>
                <w:rFonts w:hint="eastAsia" w:ascii="宋体" w:hAnsi="宋体" w:eastAsia="宋体" w:cs="宋体"/>
                <w:b w:val="0"/>
                <w:bCs w:val="0"/>
                <w:i w:val="0"/>
                <w:iCs w:val="0"/>
                <w:color w:val="FF0000"/>
                <w:kern w:val="2"/>
                <w:sz w:val="21"/>
                <w:szCs w:val="21"/>
                <w:u w:val="none"/>
              </w:rPr>
              <w:t>流动性</w:t>
            </w:r>
            <w:r>
              <w:rPr>
                <w:rFonts w:hint="eastAsia" w:ascii="宋体" w:hAnsi="宋体" w:eastAsia="宋体" w:cs="宋体"/>
                <w:b w:val="0"/>
                <w:bCs w:val="0"/>
                <w:i w:val="0"/>
                <w:iCs w:val="0"/>
                <w:color w:val="auto"/>
                <w:kern w:val="2"/>
                <w:sz w:val="21"/>
                <w:szCs w:val="21"/>
                <w:u w:val="none"/>
              </w:rPr>
              <w:t>分列“</w:t>
            </w:r>
            <w:r>
              <w:rPr>
                <w:rFonts w:hint="eastAsia" w:ascii="宋体" w:hAnsi="宋体" w:eastAsia="宋体" w:cs="宋体"/>
                <w:b w:val="0"/>
                <w:bCs w:val="0"/>
                <w:i w:val="0"/>
                <w:iCs w:val="0"/>
                <w:color w:val="FF0000"/>
                <w:kern w:val="2"/>
                <w:sz w:val="21"/>
                <w:szCs w:val="21"/>
                <w:u w:val="none"/>
              </w:rPr>
              <w:t>合同负债”或“其他非流动负债”</w:t>
            </w:r>
          </w:p>
        </w:tc>
      </w:tr>
      <w:tr w14:paraId="13B29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 w:hRule="atLeast"/>
        </w:trPr>
        <w:tc>
          <w:tcPr>
            <w:tcW w:w="1453" w:type="pct"/>
            <w:shd w:val="clear" w:color="auto" w:fill="auto"/>
            <w:tcMar>
              <w:top w:w="69" w:type="dxa"/>
              <w:left w:w="139" w:type="dxa"/>
              <w:bottom w:w="69" w:type="dxa"/>
              <w:right w:w="139" w:type="dxa"/>
            </w:tcMar>
            <w:vAlign w:val="center"/>
          </w:tcPr>
          <w:p w14:paraId="0516768E">
            <w:pPr>
              <w:pStyle w:val="5"/>
              <w:keepNext w:val="0"/>
              <w:keepLines w:val="0"/>
              <w:pageBreakBefore w:val="0"/>
              <w:widowControl/>
              <w:suppressLineNumbers w:val="0"/>
              <w:kinsoku/>
              <w:wordWrap/>
              <w:overflowPunct/>
              <w:topLinePunct w:val="0"/>
              <w:bidi w:val="0"/>
              <w:snapToGrid/>
              <w:spacing w:before="0" w:beforeAutospacing="0" w:after="0" w:afterAutospacing="0" w:line="288" w:lineRule="auto"/>
              <w:ind w:left="0" w:firstLine="0"/>
              <w:jc w:val="center"/>
              <w:textAlignment w:val="auto"/>
              <w:rPr>
                <w:rFonts w:hint="eastAsia" w:ascii="宋体" w:hAnsi="宋体" w:eastAsia="宋体" w:cs="宋体"/>
                <w:sz w:val="21"/>
                <w:szCs w:val="21"/>
              </w:rPr>
            </w:pPr>
            <w:r>
              <w:rPr>
                <w:rFonts w:hint="eastAsia" w:ascii="宋体" w:hAnsi="宋体" w:eastAsia="宋体" w:cs="宋体"/>
                <w:b w:val="0"/>
                <w:bCs w:val="0"/>
                <w:i w:val="0"/>
                <w:iCs w:val="0"/>
                <w:color w:val="auto"/>
                <w:kern w:val="2"/>
                <w:sz w:val="21"/>
                <w:szCs w:val="21"/>
                <w:u w:val="none"/>
              </w:rPr>
              <w:t>应收款项</w:t>
            </w:r>
          </w:p>
        </w:tc>
        <w:tc>
          <w:tcPr>
            <w:tcW w:w="3546" w:type="pct"/>
            <w:gridSpan w:val="2"/>
            <w:shd w:val="clear" w:color="auto" w:fill="auto"/>
            <w:tcMar>
              <w:top w:w="69" w:type="dxa"/>
              <w:left w:w="139" w:type="dxa"/>
              <w:bottom w:w="69" w:type="dxa"/>
              <w:right w:w="139" w:type="dxa"/>
            </w:tcMar>
            <w:vAlign w:val="center"/>
          </w:tcPr>
          <w:p w14:paraId="3B8492A4">
            <w:pPr>
              <w:pStyle w:val="5"/>
              <w:keepNext w:val="0"/>
              <w:keepLines w:val="0"/>
              <w:pageBreakBefore w:val="0"/>
              <w:widowControl/>
              <w:suppressLineNumbers w:val="0"/>
              <w:kinsoku/>
              <w:wordWrap/>
              <w:overflowPunct/>
              <w:topLinePunct w:val="0"/>
              <w:bidi w:val="0"/>
              <w:snapToGrid/>
              <w:spacing w:before="0" w:beforeAutospacing="0" w:after="0" w:afterAutospacing="0" w:line="288" w:lineRule="auto"/>
              <w:ind w:left="0" w:firstLine="0"/>
              <w:jc w:val="left"/>
              <w:textAlignment w:val="auto"/>
              <w:rPr>
                <w:rFonts w:hint="eastAsia" w:ascii="宋体" w:hAnsi="宋体" w:eastAsia="宋体" w:cs="宋体"/>
                <w:sz w:val="21"/>
                <w:szCs w:val="21"/>
              </w:rPr>
            </w:pPr>
            <w:r>
              <w:rPr>
                <w:rFonts w:hint="eastAsia" w:ascii="宋体" w:hAnsi="宋体" w:eastAsia="宋体" w:cs="宋体"/>
                <w:b w:val="0"/>
                <w:bCs w:val="0"/>
                <w:i w:val="0"/>
                <w:iCs w:val="0"/>
                <w:color w:val="auto"/>
                <w:kern w:val="2"/>
                <w:sz w:val="21"/>
                <w:szCs w:val="21"/>
                <w:u w:val="none"/>
              </w:rPr>
              <w:t>企业仅仅随着时间的流逝即可收款</w:t>
            </w:r>
          </w:p>
        </w:tc>
      </w:tr>
      <w:tr w14:paraId="01F6E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29" w:hRule="atLeast"/>
        </w:trPr>
        <w:tc>
          <w:tcPr>
            <w:tcW w:w="1453" w:type="pct"/>
            <w:shd w:val="clear" w:color="auto" w:fill="auto"/>
            <w:tcMar>
              <w:top w:w="69" w:type="dxa"/>
              <w:left w:w="139" w:type="dxa"/>
              <w:bottom w:w="69" w:type="dxa"/>
              <w:right w:w="139" w:type="dxa"/>
            </w:tcMar>
            <w:vAlign w:val="center"/>
          </w:tcPr>
          <w:p w14:paraId="2C73E942">
            <w:pPr>
              <w:pStyle w:val="5"/>
              <w:keepNext w:val="0"/>
              <w:keepLines w:val="0"/>
              <w:pageBreakBefore w:val="0"/>
              <w:widowControl/>
              <w:suppressLineNumbers w:val="0"/>
              <w:kinsoku/>
              <w:wordWrap/>
              <w:overflowPunct/>
              <w:topLinePunct w:val="0"/>
              <w:bidi w:val="0"/>
              <w:snapToGrid/>
              <w:spacing w:before="0" w:beforeAutospacing="0" w:after="0" w:afterAutospacing="0" w:line="288" w:lineRule="auto"/>
              <w:ind w:left="0" w:firstLine="0"/>
              <w:jc w:val="center"/>
              <w:textAlignment w:val="auto"/>
              <w:rPr>
                <w:rFonts w:hint="eastAsia" w:ascii="宋体" w:hAnsi="宋体" w:eastAsia="宋体" w:cs="宋体"/>
                <w:sz w:val="21"/>
                <w:szCs w:val="21"/>
              </w:rPr>
            </w:pPr>
            <w:r>
              <w:rPr>
                <w:rFonts w:hint="eastAsia" w:ascii="宋体" w:hAnsi="宋体" w:eastAsia="宋体" w:cs="宋体"/>
                <w:b w:val="0"/>
                <w:bCs w:val="0"/>
                <w:i w:val="0"/>
                <w:iCs w:val="0"/>
                <w:color w:val="auto"/>
                <w:kern w:val="2"/>
                <w:sz w:val="21"/>
                <w:szCs w:val="21"/>
                <w:u w:val="none"/>
              </w:rPr>
              <w:t>合同资产</w:t>
            </w:r>
          </w:p>
        </w:tc>
        <w:tc>
          <w:tcPr>
            <w:tcW w:w="3546" w:type="pct"/>
            <w:gridSpan w:val="2"/>
            <w:shd w:val="clear" w:color="auto" w:fill="auto"/>
            <w:tcMar>
              <w:top w:w="69" w:type="dxa"/>
              <w:left w:w="139" w:type="dxa"/>
              <w:bottom w:w="69" w:type="dxa"/>
              <w:right w:w="139" w:type="dxa"/>
            </w:tcMar>
            <w:vAlign w:val="center"/>
          </w:tcPr>
          <w:p w14:paraId="55493C40">
            <w:pPr>
              <w:pStyle w:val="5"/>
              <w:keepNext w:val="0"/>
              <w:keepLines w:val="0"/>
              <w:pageBreakBefore w:val="0"/>
              <w:widowControl/>
              <w:suppressLineNumbers w:val="0"/>
              <w:kinsoku/>
              <w:wordWrap/>
              <w:overflowPunct/>
              <w:topLinePunct w:val="0"/>
              <w:bidi w:val="0"/>
              <w:snapToGrid/>
              <w:spacing w:before="0" w:beforeAutospacing="0" w:after="0" w:afterAutospacing="0" w:line="288" w:lineRule="auto"/>
              <w:ind w:left="0" w:firstLine="0"/>
              <w:jc w:val="left"/>
              <w:textAlignment w:val="auto"/>
              <w:rPr>
                <w:rFonts w:hint="eastAsia" w:ascii="宋体" w:hAnsi="宋体" w:eastAsia="宋体" w:cs="宋体"/>
                <w:sz w:val="21"/>
                <w:szCs w:val="21"/>
              </w:rPr>
            </w:pPr>
            <w:r>
              <w:rPr>
                <w:rFonts w:hint="eastAsia" w:ascii="宋体" w:hAnsi="宋体" w:eastAsia="宋体" w:cs="宋体"/>
                <w:b w:val="0"/>
                <w:bCs w:val="0"/>
                <w:i w:val="0"/>
                <w:iCs w:val="0"/>
                <w:color w:val="auto"/>
                <w:kern w:val="2"/>
                <w:sz w:val="21"/>
                <w:szCs w:val="21"/>
                <w:u w:val="none"/>
              </w:rPr>
              <w:t>除了时间流逝之外，还取决于其他条件。</w:t>
            </w:r>
          </w:p>
          <w:p w14:paraId="2BCD44C6">
            <w:pPr>
              <w:pStyle w:val="5"/>
              <w:keepNext w:val="0"/>
              <w:keepLines w:val="0"/>
              <w:pageBreakBefore w:val="0"/>
              <w:widowControl/>
              <w:suppressLineNumbers w:val="0"/>
              <w:kinsoku/>
              <w:wordWrap/>
              <w:overflowPunct/>
              <w:topLinePunct w:val="0"/>
              <w:bidi w:val="0"/>
              <w:snapToGrid/>
              <w:spacing w:before="0" w:beforeAutospacing="0" w:after="0" w:afterAutospacing="0" w:line="288" w:lineRule="auto"/>
              <w:ind w:left="0" w:firstLine="0"/>
              <w:jc w:val="left"/>
              <w:textAlignment w:val="auto"/>
              <w:rPr>
                <w:rFonts w:hint="eastAsia" w:ascii="宋体" w:hAnsi="宋体" w:eastAsia="宋体" w:cs="宋体"/>
                <w:sz w:val="21"/>
                <w:szCs w:val="21"/>
              </w:rPr>
            </w:pPr>
            <w:r>
              <w:rPr>
                <w:rFonts w:hint="eastAsia" w:ascii="宋体" w:hAnsi="宋体" w:eastAsia="宋体" w:cs="宋体"/>
                <w:b w:val="0"/>
                <w:bCs w:val="0"/>
                <w:i w:val="0"/>
                <w:iCs w:val="0"/>
                <w:color w:val="auto"/>
                <w:kern w:val="2"/>
                <w:sz w:val="21"/>
                <w:szCs w:val="21"/>
                <w:u w:val="none"/>
              </w:rPr>
              <w:t>按</w:t>
            </w:r>
            <w:r>
              <w:rPr>
                <w:rFonts w:hint="eastAsia" w:ascii="宋体" w:hAnsi="宋体" w:eastAsia="宋体" w:cs="宋体"/>
                <w:b w:val="0"/>
                <w:bCs w:val="0"/>
                <w:i w:val="0"/>
                <w:iCs w:val="0"/>
                <w:color w:val="FF0000"/>
                <w:kern w:val="2"/>
                <w:sz w:val="21"/>
                <w:szCs w:val="21"/>
                <w:u w:val="none"/>
              </w:rPr>
              <w:t>流动性</w:t>
            </w:r>
            <w:r>
              <w:rPr>
                <w:rFonts w:hint="eastAsia" w:ascii="宋体" w:hAnsi="宋体" w:eastAsia="宋体" w:cs="宋体"/>
                <w:b w:val="0"/>
                <w:bCs w:val="0"/>
                <w:i w:val="0"/>
                <w:iCs w:val="0"/>
                <w:color w:val="auto"/>
                <w:kern w:val="2"/>
                <w:sz w:val="21"/>
                <w:szCs w:val="21"/>
                <w:u w:val="none"/>
              </w:rPr>
              <w:t>，分列</w:t>
            </w:r>
            <w:r>
              <w:rPr>
                <w:rFonts w:hint="eastAsia" w:ascii="宋体" w:hAnsi="宋体" w:eastAsia="宋体" w:cs="宋体"/>
                <w:b w:val="0"/>
                <w:bCs w:val="0"/>
                <w:i w:val="0"/>
                <w:iCs w:val="0"/>
                <w:color w:val="FF0000"/>
                <w:kern w:val="2"/>
                <w:sz w:val="21"/>
                <w:szCs w:val="21"/>
                <w:u w:val="none"/>
              </w:rPr>
              <w:t>“合同资产”或“其他非流动资产”</w:t>
            </w:r>
          </w:p>
        </w:tc>
      </w:tr>
      <w:tr w14:paraId="42B86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37" w:hRule="atLeast"/>
        </w:trPr>
        <w:tc>
          <w:tcPr>
            <w:tcW w:w="1453" w:type="pct"/>
            <w:shd w:val="clear" w:color="auto" w:fill="auto"/>
            <w:tcMar>
              <w:top w:w="69" w:type="dxa"/>
              <w:left w:w="139" w:type="dxa"/>
              <w:bottom w:w="69" w:type="dxa"/>
              <w:right w:w="139" w:type="dxa"/>
            </w:tcMar>
            <w:vAlign w:val="center"/>
          </w:tcPr>
          <w:p w14:paraId="7E212400">
            <w:pPr>
              <w:pStyle w:val="5"/>
              <w:keepNext w:val="0"/>
              <w:keepLines w:val="0"/>
              <w:pageBreakBefore w:val="0"/>
              <w:widowControl/>
              <w:suppressLineNumbers w:val="0"/>
              <w:kinsoku/>
              <w:wordWrap/>
              <w:overflowPunct/>
              <w:topLinePunct w:val="0"/>
              <w:bidi w:val="0"/>
              <w:snapToGrid/>
              <w:spacing w:before="0" w:beforeAutospacing="0" w:after="0" w:afterAutospacing="0" w:line="288" w:lineRule="auto"/>
              <w:ind w:left="0" w:firstLine="0"/>
              <w:jc w:val="center"/>
              <w:textAlignment w:val="auto"/>
              <w:rPr>
                <w:rFonts w:hint="eastAsia" w:ascii="宋体" w:hAnsi="宋体" w:eastAsia="宋体" w:cs="宋体"/>
                <w:sz w:val="21"/>
                <w:szCs w:val="21"/>
              </w:rPr>
            </w:pPr>
            <w:r>
              <w:rPr>
                <w:rFonts w:hint="eastAsia" w:ascii="宋体" w:hAnsi="宋体" w:eastAsia="宋体" w:cs="宋体"/>
                <w:b w:val="0"/>
                <w:bCs w:val="0"/>
                <w:i w:val="0"/>
                <w:iCs w:val="0"/>
                <w:color w:val="FF0000"/>
                <w:kern w:val="2"/>
                <w:sz w:val="21"/>
                <w:szCs w:val="21"/>
                <w:u w:val="none"/>
              </w:rPr>
              <w:t>同一合同</w:t>
            </w:r>
          </w:p>
        </w:tc>
        <w:tc>
          <w:tcPr>
            <w:tcW w:w="3546" w:type="pct"/>
            <w:gridSpan w:val="2"/>
            <w:shd w:val="clear" w:color="auto" w:fill="auto"/>
            <w:tcMar>
              <w:top w:w="69" w:type="dxa"/>
              <w:left w:w="139" w:type="dxa"/>
              <w:bottom w:w="69" w:type="dxa"/>
              <w:right w:w="139" w:type="dxa"/>
            </w:tcMar>
            <w:vAlign w:val="center"/>
          </w:tcPr>
          <w:p w14:paraId="17D7766A">
            <w:pPr>
              <w:pStyle w:val="5"/>
              <w:keepNext w:val="0"/>
              <w:keepLines w:val="0"/>
              <w:pageBreakBefore w:val="0"/>
              <w:widowControl/>
              <w:suppressLineNumbers w:val="0"/>
              <w:kinsoku/>
              <w:wordWrap/>
              <w:overflowPunct/>
              <w:topLinePunct w:val="0"/>
              <w:bidi w:val="0"/>
              <w:snapToGrid/>
              <w:spacing w:before="0" w:beforeAutospacing="0" w:after="0" w:afterAutospacing="0" w:line="288" w:lineRule="auto"/>
              <w:ind w:left="0" w:firstLine="0"/>
              <w:jc w:val="left"/>
              <w:textAlignment w:val="auto"/>
              <w:rPr>
                <w:rFonts w:hint="eastAsia" w:ascii="宋体" w:hAnsi="宋体" w:eastAsia="宋体" w:cs="宋体"/>
                <w:sz w:val="21"/>
                <w:szCs w:val="21"/>
              </w:rPr>
            </w:pPr>
            <w:r>
              <w:rPr>
                <w:rFonts w:hint="eastAsia" w:ascii="宋体" w:hAnsi="宋体" w:eastAsia="宋体" w:cs="宋体"/>
                <w:b w:val="0"/>
                <w:bCs w:val="0"/>
                <w:i w:val="0"/>
                <w:iCs w:val="0"/>
                <w:color w:val="auto"/>
                <w:kern w:val="2"/>
                <w:sz w:val="21"/>
                <w:szCs w:val="21"/>
                <w:u w:val="none"/>
              </w:rPr>
              <w:t>合同资产和合同负债应当以</w:t>
            </w:r>
            <w:r>
              <w:rPr>
                <w:rFonts w:hint="eastAsia" w:ascii="宋体" w:hAnsi="宋体" w:eastAsia="宋体" w:cs="宋体"/>
                <w:b w:val="0"/>
                <w:bCs w:val="0"/>
                <w:i w:val="0"/>
                <w:iCs w:val="0"/>
                <w:color w:val="FF0000"/>
                <w:kern w:val="2"/>
                <w:sz w:val="21"/>
                <w:szCs w:val="21"/>
                <w:u w:val="none"/>
              </w:rPr>
              <w:t>净额</w:t>
            </w:r>
            <w:r>
              <w:rPr>
                <w:rFonts w:hint="eastAsia" w:ascii="宋体" w:hAnsi="宋体" w:eastAsia="宋体" w:cs="宋体"/>
                <w:b w:val="0"/>
                <w:bCs w:val="0"/>
                <w:i w:val="0"/>
                <w:iCs w:val="0"/>
                <w:color w:val="auto"/>
                <w:kern w:val="2"/>
                <w:sz w:val="21"/>
                <w:szCs w:val="21"/>
                <w:u w:val="none"/>
              </w:rPr>
              <w:t>列示</w:t>
            </w:r>
          </w:p>
        </w:tc>
      </w:tr>
      <w:tr w14:paraId="61723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 w:hRule="atLeast"/>
        </w:trPr>
        <w:tc>
          <w:tcPr>
            <w:tcW w:w="1453" w:type="pct"/>
            <w:shd w:val="clear" w:color="auto" w:fill="auto"/>
            <w:tcMar>
              <w:top w:w="69" w:type="dxa"/>
              <w:left w:w="139" w:type="dxa"/>
              <w:bottom w:w="69" w:type="dxa"/>
              <w:right w:w="139" w:type="dxa"/>
            </w:tcMar>
            <w:vAlign w:val="center"/>
          </w:tcPr>
          <w:p w14:paraId="4875E3F3">
            <w:pPr>
              <w:pStyle w:val="5"/>
              <w:keepNext w:val="0"/>
              <w:keepLines w:val="0"/>
              <w:pageBreakBefore w:val="0"/>
              <w:widowControl/>
              <w:suppressLineNumbers w:val="0"/>
              <w:kinsoku/>
              <w:wordWrap/>
              <w:overflowPunct/>
              <w:topLinePunct w:val="0"/>
              <w:bidi w:val="0"/>
              <w:snapToGrid/>
              <w:spacing w:before="0" w:beforeAutospacing="0" w:after="0" w:afterAutospacing="0" w:line="288" w:lineRule="auto"/>
              <w:ind w:left="0" w:firstLine="0"/>
              <w:jc w:val="center"/>
              <w:textAlignment w:val="auto"/>
              <w:rPr>
                <w:rFonts w:hint="eastAsia" w:ascii="宋体" w:hAnsi="宋体" w:eastAsia="宋体" w:cs="宋体"/>
                <w:sz w:val="21"/>
                <w:szCs w:val="21"/>
              </w:rPr>
            </w:pPr>
            <w:r>
              <w:rPr>
                <w:rFonts w:hint="eastAsia" w:ascii="宋体" w:hAnsi="宋体" w:eastAsia="宋体" w:cs="宋体"/>
                <w:b w:val="0"/>
                <w:bCs w:val="0"/>
                <w:i w:val="0"/>
                <w:iCs w:val="0"/>
                <w:color w:val="FF0000"/>
                <w:kern w:val="2"/>
                <w:sz w:val="21"/>
                <w:szCs w:val="21"/>
                <w:u w:val="none"/>
              </w:rPr>
              <w:t>不同合同</w:t>
            </w:r>
          </w:p>
        </w:tc>
        <w:tc>
          <w:tcPr>
            <w:tcW w:w="3546" w:type="pct"/>
            <w:gridSpan w:val="2"/>
            <w:shd w:val="clear" w:color="auto" w:fill="auto"/>
            <w:tcMar>
              <w:top w:w="69" w:type="dxa"/>
              <w:left w:w="139" w:type="dxa"/>
              <w:bottom w:w="69" w:type="dxa"/>
              <w:right w:w="139" w:type="dxa"/>
            </w:tcMar>
            <w:vAlign w:val="center"/>
          </w:tcPr>
          <w:p w14:paraId="0AF83620">
            <w:pPr>
              <w:pStyle w:val="5"/>
              <w:keepNext w:val="0"/>
              <w:keepLines w:val="0"/>
              <w:pageBreakBefore w:val="0"/>
              <w:widowControl/>
              <w:suppressLineNumbers w:val="0"/>
              <w:kinsoku/>
              <w:wordWrap/>
              <w:overflowPunct/>
              <w:topLinePunct w:val="0"/>
              <w:bidi w:val="0"/>
              <w:snapToGrid/>
              <w:spacing w:before="0" w:beforeAutospacing="0" w:after="0" w:afterAutospacing="0" w:line="288" w:lineRule="auto"/>
              <w:ind w:left="0" w:firstLine="0"/>
              <w:jc w:val="left"/>
              <w:textAlignment w:val="auto"/>
              <w:rPr>
                <w:rFonts w:hint="eastAsia" w:ascii="宋体" w:hAnsi="宋体" w:eastAsia="宋体" w:cs="宋体"/>
                <w:sz w:val="21"/>
                <w:szCs w:val="21"/>
              </w:rPr>
            </w:pPr>
            <w:r>
              <w:rPr>
                <w:rFonts w:hint="eastAsia" w:ascii="宋体" w:hAnsi="宋体" w:eastAsia="宋体" w:cs="宋体"/>
                <w:b w:val="0"/>
                <w:bCs w:val="0"/>
                <w:i w:val="0"/>
                <w:iCs w:val="0"/>
                <w:color w:val="auto"/>
                <w:kern w:val="2"/>
                <w:sz w:val="21"/>
                <w:szCs w:val="21"/>
                <w:u w:val="none"/>
              </w:rPr>
              <w:t>合同资产和合同负债</w:t>
            </w:r>
            <w:r>
              <w:rPr>
                <w:rFonts w:hint="eastAsia" w:ascii="宋体" w:hAnsi="宋体" w:eastAsia="宋体" w:cs="宋体"/>
                <w:b w:val="0"/>
                <w:bCs w:val="0"/>
                <w:i w:val="0"/>
                <w:iCs w:val="0"/>
                <w:color w:val="FF0000"/>
                <w:kern w:val="2"/>
                <w:sz w:val="21"/>
                <w:szCs w:val="21"/>
                <w:u w:val="none"/>
              </w:rPr>
              <w:t>不能互相抵销</w:t>
            </w:r>
            <w:r>
              <w:rPr>
                <w:rFonts w:hint="eastAsia" w:ascii="宋体" w:hAnsi="宋体" w:eastAsia="宋体" w:cs="宋体"/>
                <w:b w:val="0"/>
                <w:bCs w:val="0"/>
                <w:i w:val="0"/>
                <w:iCs w:val="0"/>
                <w:color w:val="auto"/>
                <w:kern w:val="2"/>
                <w:sz w:val="21"/>
                <w:szCs w:val="21"/>
                <w:u w:val="none"/>
              </w:rPr>
              <w:t>。</w:t>
            </w:r>
          </w:p>
        </w:tc>
      </w:tr>
    </w:tbl>
    <w:p w14:paraId="03B8EE7B">
      <w:pPr>
        <w:keepNext w:val="0"/>
        <w:keepLines w:val="0"/>
        <w:pageBreakBefore w:val="0"/>
        <w:widowControl w:val="0"/>
        <w:kinsoku/>
        <w:wordWrap/>
        <w:overflowPunct/>
        <w:topLinePunct w:val="0"/>
        <w:autoSpaceDE w:val="0"/>
        <w:autoSpaceDN w:val="0"/>
        <w:bidi w:val="0"/>
        <w:adjustRightInd w:val="0"/>
        <w:snapToGrid/>
        <w:spacing w:line="360" w:lineRule="auto"/>
        <w:ind w:left="0" w:firstLine="0"/>
        <w:textAlignment w:val="auto"/>
        <w:outlineLvl w:val="9"/>
        <w:rPr>
          <w:rFonts w:hint="eastAsia" w:ascii="宋体" w:hAnsi="宋体" w:eastAsia="宋体" w:cs="宋体"/>
          <w:color w:val="FF0000"/>
          <w:sz w:val="21"/>
          <w:szCs w:val="21"/>
          <w:lang w:val="en-US" w:eastAsia="zh-CN"/>
        </w:rPr>
      </w:pPr>
    </w:p>
    <w:p w14:paraId="27C17C39">
      <w:pPr>
        <w:keepNext w:val="0"/>
        <w:keepLines w:val="0"/>
        <w:pageBreakBefore w:val="0"/>
        <w:widowControl w:val="0"/>
        <w:kinsoku/>
        <w:wordWrap/>
        <w:overflowPunct/>
        <w:topLinePunct w:val="0"/>
        <w:autoSpaceDE w:val="0"/>
        <w:autoSpaceDN w:val="0"/>
        <w:bidi w:val="0"/>
        <w:adjustRightInd w:val="0"/>
        <w:snapToGrid/>
        <w:spacing w:line="360" w:lineRule="auto"/>
        <w:ind w:left="0" w:firstLine="0"/>
        <w:textAlignment w:val="auto"/>
        <w:outlineLvl w:val="9"/>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3.</w:t>
      </w:r>
      <w:r>
        <w:rPr>
          <w:rFonts w:hint="eastAsia" w:ascii="宋体" w:hAnsi="宋体" w:eastAsia="宋体" w:cs="宋体"/>
          <w:color w:val="FF0000"/>
          <w:sz w:val="21"/>
          <w:szCs w:val="21"/>
          <w:lang w:eastAsia="zh-CN"/>
        </w:rPr>
        <w:t>★非现金对价</w:t>
      </w:r>
      <w:r>
        <w:rPr>
          <w:rFonts w:hint="eastAsia" w:ascii="宋体" w:hAnsi="宋体" w:eastAsia="宋体" w:cs="宋体"/>
          <w:color w:val="FF0000"/>
          <w:sz w:val="21"/>
          <w:szCs w:val="21"/>
          <w:lang w:val="en-US" w:eastAsia="zh-CN"/>
        </w:rPr>
        <w:t xml:space="preserve"> </w:t>
      </w:r>
    </w:p>
    <w:tbl>
      <w:tblPr>
        <w:tblStyle w:val="6"/>
        <w:tblW w:w="498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3489"/>
        <w:gridCol w:w="6674"/>
      </w:tblGrid>
      <w:tr w14:paraId="7217C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1716" w:type="pct"/>
            <w:shd w:val="clear" w:color="auto" w:fill="auto"/>
            <w:tcMar>
              <w:top w:w="69" w:type="dxa"/>
              <w:left w:w="139" w:type="dxa"/>
              <w:bottom w:w="69" w:type="dxa"/>
              <w:right w:w="139" w:type="dxa"/>
            </w:tcMar>
            <w:vAlign w:val="center"/>
          </w:tcPr>
          <w:p w14:paraId="4997ADF3">
            <w:pPr>
              <w:pStyle w:val="5"/>
              <w:keepNext w:val="0"/>
              <w:keepLines w:val="0"/>
              <w:pageBreakBefore w:val="0"/>
              <w:widowControl/>
              <w:suppressLineNumbers w:val="0"/>
              <w:kinsoku/>
              <w:wordWrap/>
              <w:overflowPunct/>
              <w:topLinePunct w:val="0"/>
              <w:bidi w:val="0"/>
              <w:snapToGrid/>
              <w:spacing w:before="0" w:beforeAutospacing="0" w:after="0" w:afterAutospacing="0" w:line="288" w:lineRule="auto"/>
              <w:ind w:left="0"/>
              <w:jc w:val="left"/>
              <w:textAlignment w:val="auto"/>
              <w:rPr>
                <w:rFonts w:hint="eastAsia" w:ascii="宋体" w:hAnsi="宋体" w:eastAsia="宋体" w:cs="宋体"/>
                <w:sz w:val="21"/>
                <w:szCs w:val="21"/>
              </w:rPr>
            </w:pPr>
            <w:r>
              <w:rPr>
                <w:rFonts w:hint="eastAsia" w:ascii="宋体" w:hAnsi="宋体" w:eastAsia="宋体" w:cs="宋体"/>
                <w:b w:val="0"/>
                <w:bCs w:val="0"/>
                <w:i w:val="0"/>
                <w:iCs w:val="0"/>
                <w:color w:val="auto"/>
                <w:kern w:val="2"/>
                <w:sz w:val="21"/>
                <w:szCs w:val="21"/>
                <w:u w:val="none"/>
              </w:rPr>
              <w:t>（1）按照</w:t>
            </w:r>
            <w:r>
              <w:rPr>
                <w:rFonts w:hint="eastAsia" w:ascii="宋体" w:hAnsi="宋体" w:eastAsia="宋体" w:cs="宋体"/>
                <w:b w:val="0"/>
                <w:bCs w:val="0"/>
                <w:i w:val="0"/>
                <w:iCs w:val="0"/>
                <w:color w:val="FF0000"/>
                <w:kern w:val="2"/>
                <w:sz w:val="21"/>
                <w:szCs w:val="21"/>
                <w:u w:val="none"/>
              </w:rPr>
              <w:t>公允价值</w:t>
            </w:r>
            <w:r>
              <w:rPr>
                <w:rFonts w:hint="eastAsia" w:ascii="宋体" w:hAnsi="宋体" w:eastAsia="宋体" w:cs="宋体"/>
                <w:b w:val="0"/>
                <w:bCs w:val="0"/>
                <w:i w:val="0"/>
                <w:iCs w:val="0"/>
                <w:color w:val="auto"/>
                <w:kern w:val="2"/>
                <w:sz w:val="21"/>
                <w:szCs w:val="21"/>
                <w:u w:val="none"/>
              </w:rPr>
              <w:t>确定交易价格</w:t>
            </w:r>
          </w:p>
        </w:tc>
        <w:tc>
          <w:tcPr>
            <w:tcW w:w="3283" w:type="pct"/>
            <w:shd w:val="clear" w:color="auto" w:fill="auto"/>
            <w:tcMar>
              <w:top w:w="69" w:type="dxa"/>
              <w:left w:w="139" w:type="dxa"/>
              <w:bottom w:w="69" w:type="dxa"/>
              <w:right w:w="139" w:type="dxa"/>
            </w:tcMar>
            <w:vAlign w:val="center"/>
          </w:tcPr>
          <w:p w14:paraId="535BF582">
            <w:pPr>
              <w:pStyle w:val="5"/>
              <w:keepNext w:val="0"/>
              <w:keepLines w:val="0"/>
              <w:pageBreakBefore w:val="0"/>
              <w:widowControl/>
              <w:suppressLineNumbers w:val="0"/>
              <w:kinsoku/>
              <w:wordWrap/>
              <w:overflowPunct/>
              <w:topLinePunct w:val="0"/>
              <w:bidi w:val="0"/>
              <w:snapToGrid/>
              <w:spacing w:before="0" w:beforeAutospacing="0" w:after="0" w:afterAutospacing="0" w:line="288" w:lineRule="auto"/>
              <w:ind w:left="0"/>
              <w:jc w:val="left"/>
              <w:textAlignment w:val="auto"/>
              <w:rPr>
                <w:rFonts w:hint="eastAsia" w:ascii="宋体" w:hAnsi="宋体" w:eastAsia="宋体" w:cs="宋体"/>
                <w:sz w:val="21"/>
                <w:szCs w:val="21"/>
              </w:rPr>
            </w:pPr>
            <w:r>
              <w:rPr>
                <w:rFonts w:hint="eastAsia" w:ascii="宋体" w:hAnsi="宋体" w:eastAsia="宋体" w:cs="宋体"/>
                <w:b w:val="0"/>
                <w:bCs w:val="0"/>
                <w:i w:val="0"/>
                <w:iCs w:val="0"/>
                <w:color w:val="FF0000"/>
                <w:kern w:val="2"/>
                <w:sz w:val="21"/>
                <w:szCs w:val="21"/>
                <w:u w:val="none"/>
              </w:rPr>
              <w:t>公允价值不能合理估计的</w:t>
            </w:r>
            <w:r>
              <w:rPr>
                <w:rFonts w:hint="eastAsia" w:ascii="宋体" w:hAnsi="宋体" w:eastAsia="宋体" w:cs="宋体"/>
                <w:b w:val="0"/>
                <w:bCs w:val="0"/>
                <w:i w:val="0"/>
                <w:iCs w:val="0"/>
                <w:color w:val="auto"/>
                <w:kern w:val="2"/>
                <w:sz w:val="21"/>
                <w:szCs w:val="21"/>
                <w:u w:val="none"/>
              </w:rPr>
              <w:t>，参照其承诺</w:t>
            </w:r>
            <w:r>
              <w:rPr>
                <w:rFonts w:hint="eastAsia" w:ascii="宋体" w:hAnsi="宋体" w:eastAsia="宋体" w:cs="宋体"/>
                <w:b w:val="0"/>
                <w:bCs w:val="0"/>
                <w:i w:val="0"/>
                <w:iCs w:val="0"/>
                <w:color w:val="FF0000"/>
                <w:kern w:val="2"/>
                <w:sz w:val="21"/>
                <w:szCs w:val="21"/>
                <w:u w:val="none"/>
              </w:rPr>
              <w:t>向客户转让商品的单独售价间接确定交易价格</w:t>
            </w:r>
            <w:r>
              <w:rPr>
                <w:rFonts w:hint="eastAsia" w:ascii="宋体" w:hAnsi="宋体" w:eastAsia="宋体" w:cs="宋体"/>
                <w:b w:val="0"/>
                <w:bCs w:val="0"/>
                <w:i w:val="0"/>
                <w:iCs w:val="0"/>
                <w:color w:val="auto"/>
                <w:kern w:val="2"/>
                <w:sz w:val="21"/>
                <w:szCs w:val="21"/>
                <w:u w:val="none"/>
              </w:rPr>
              <w:t>。</w:t>
            </w:r>
          </w:p>
        </w:tc>
      </w:tr>
      <w:tr w14:paraId="68C79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67" w:hRule="atLeast"/>
        </w:trPr>
        <w:tc>
          <w:tcPr>
            <w:tcW w:w="1716" w:type="pct"/>
            <w:shd w:val="clear" w:color="auto" w:fill="auto"/>
            <w:tcMar>
              <w:top w:w="69" w:type="dxa"/>
              <w:left w:w="139" w:type="dxa"/>
              <w:bottom w:w="69" w:type="dxa"/>
              <w:right w:w="139" w:type="dxa"/>
            </w:tcMar>
            <w:vAlign w:val="center"/>
          </w:tcPr>
          <w:p w14:paraId="778170B5">
            <w:pPr>
              <w:pStyle w:val="5"/>
              <w:keepNext w:val="0"/>
              <w:keepLines w:val="0"/>
              <w:pageBreakBefore w:val="0"/>
              <w:widowControl/>
              <w:suppressLineNumbers w:val="0"/>
              <w:kinsoku/>
              <w:wordWrap/>
              <w:overflowPunct/>
              <w:topLinePunct w:val="0"/>
              <w:bidi w:val="0"/>
              <w:snapToGrid/>
              <w:spacing w:before="0" w:beforeAutospacing="0" w:after="0" w:afterAutospacing="0" w:line="288" w:lineRule="auto"/>
              <w:ind w:left="0"/>
              <w:jc w:val="left"/>
              <w:textAlignment w:val="auto"/>
              <w:rPr>
                <w:rFonts w:hint="eastAsia" w:ascii="宋体" w:hAnsi="宋体" w:eastAsia="宋体" w:cs="宋体"/>
                <w:sz w:val="21"/>
                <w:szCs w:val="21"/>
              </w:rPr>
            </w:pPr>
            <w:r>
              <w:rPr>
                <w:rFonts w:hint="eastAsia" w:ascii="宋体" w:hAnsi="宋体" w:eastAsia="宋体" w:cs="宋体"/>
                <w:b w:val="0"/>
                <w:bCs w:val="0"/>
                <w:i w:val="0"/>
                <w:iCs w:val="0"/>
                <w:color w:val="FF0000"/>
                <w:kern w:val="2"/>
                <w:sz w:val="21"/>
                <w:szCs w:val="21"/>
                <w:u w:val="none"/>
              </w:rPr>
              <w:t>（2）应当作为可变对价</w:t>
            </w:r>
          </w:p>
        </w:tc>
        <w:tc>
          <w:tcPr>
            <w:tcW w:w="3283" w:type="pct"/>
            <w:shd w:val="clear" w:color="auto" w:fill="auto"/>
            <w:tcMar>
              <w:top w:w="69" w:type="dxa"/>
              <w:left w:w="139" w:type="dxa"/>
              <w:bottom w:w="69" w:type="dxa"/>
              <w:right w:w="139" w:type="dxa"/>
            </w:tcMar>
            <w:vAlign w:val="center"/>
          </w:tcPr>
          <w:p w14:paraId="4932EE5E">
            <w:pPr>
              <w:pStyle w:val="5"/>
              <w:keepNext w:val="0"/>
              <w:keepLines w:val="0"/>
              <w:pageBreakBefore w:val="0"/>
              <w:widowControl/>
              <w:suppressLineNumbers w:val="0"/>
              <w:kinsoku/>
              <w:wordWrap/>
              <w:overflowPunct/>
              <w:topLinePunct w:val="0"/>
              <w:bidi w:val="0"/>
              <w:snapToGrid/>
              <w:spacing w:before="0" w:beforeAutospacing="0" w:after="0" w:afterAutospacing="0" w:line="288" w:lineRule="auto"/>
              <w:ind w:left="0"/>
              <w:jc w:val="left"/>
              <w:textAlignment w:val="auto"/>
              <w:rPr>
                <w:rFonts w:hint="eastAsia" w:ascii="宋体" w:hAnsi="宋体" w:eastAsia="宋体" w:cs="宋体"/>
                <w:sz w:val="21"/>
                <w:szCs w:val="21"/>
              </w:rPr>
            </w:pPr>
            <w:r>
              <w:rPr>
                <w:rFonts w:hint="eastAsia" w:ascii="宋体" w:hAnsi="宋体" w:eastAsia="宋体" w:cs="宋体"/>
                <w:b w:val="0"/>
                <w:bCs w:val="0"/>
                <w:i w:val="0"/>
                <w:iCs w:val="0"/>
                <w:color w:val="auto"/>
                <w:kern w:val="2"/>
                <w:sz w:val="21"/>
                <w:szCs w:val="21"/>
                <w:u w:val="none"/>
              </w:rPr>
              <w:t>合同开始日后，</w:t>
            </w:r>
            <w:r>
              <w:rPr>
                <w:rFonts w:hint="eastAsia" w:ascii="宋体" w:hAnsi="宋体" w:eastAsia="宋体" w:cs="宋体"/>
                <w:b w:val="0"/>
                <w:bCs w:val="0"/>
                <w:i w:val="0"/>
                <w:iCs w:val="0"/>
                <w:color w:val="FF0000"/>
                <w:kern w:val="2"/>
                <w:sz w:val="21"/>
                <w:szCs w:val="21"/>
                <w:u w:val="none"/>
              </w:rPr>
              <w:t>非现金对价的公允价值因对价形式以外的原因（30天内交货获得100股，每股5元）</w:t>
            </w:r>
            <w:r>
              <w:rPr>
                <w:rFonts w:hint="eastAsia" w:ascii="宋体" w:hAnsi="宋体" w:eastAsia="宋体" w:cs="宋体"/>
                <w:b w:val="0"/>
                <w:bCs w:val="0"/>
                <w:i w:val="0"/>
                <w:iCs w:val="0"/>
                <w:color w:val="auto"/>
                <w:kern w:val="2"/>
                <w:sz w:val="21"/>
                <w:szCs w:val="21"/>
                <w:u w:val="none"/>
              </w:rPr>
              <w:t>而发生变动的；</w:t>
            </w:r>
          </w:p>
        </w:tc>
      </w:tr>
      <w:tr w14:paraId="1362F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23" w:hRule="atLeast"/>
        </w:trPr>
        <w:tc>
          <w:tcPr>
            <w:tcW w:w="1716" w:type="pct"/>
            <w:shd w:val="clear" w:color="auto" w:fill="auto"/>
            <w:tcMar>
              <w:top w:w="69" w:type="dxa"/>
              <w:left w:w="139" w:type="dxa"/>
              <w:bottom w:w="69" w:type="dxa"/>
              <w:right w:w="139" w:type="dxa"/>
            </w:tcMar>
            <w:vAlign w:val="center"/>
          </w:tcPr>
          <w:p w14:paraId="7988F913">
            <w:pPr>
              <w:pStyle w:val="5"/>
              <w:keepNext w:val="0"/>
              <w:keepLines w:val="0"/>
              <w:pageBreakBefore w:val="0"/>
              <w:widowControl/>
              <w:suppressLineNumbers w:val="0"/>
              <w:kinsoku/>
              <w:wordWrap/>
              <w:overflowPunct/>
              <w:topLinePunct w:val="0"/>
              <w:bidi w:val="0"/>
              <w:snapToGrid/>
              <w:spacing w:before="0" w:beforeAutospacing="0" w:after="0" w:afterAutospacing="0" w:line="288" w:lineRule="auto"/>
              <w:ind w:left="0"/>
              <w:jc w:val="left"/>
              <w:textAlignment w:val="auto"/>
              <w:rPr>
                <w:rFonts w:hint="eastAsia" w:ascii="宋体" w:hAnsi="宋体" w:eastAsia="宋体" w:cs="宋体"/>
                <w:sz w:val="21"/>
                <w:szCs w:val="21"/>
              </w:rPr>
            </w:pPr>
            <w:r>
              <w:rPr>
                <w:rFonts w:hint="eastAsia" w:ascii="宋体" w:hAnsi="宋体" w:eastAsia="宋体" w:cs="宋体"/>
                <w:b w:val="0"/>
                <w:bCs w:val="0"/>
                <w:i w:val="0"/>
                <w:iCs w:val="0"/>
                <w:color w:val="FF0000"/>
                <w:kern w:val="2"/>
                <w:sz w:val="21"/>
                <w:szCs w:val="21"/>
                <w:u w:val="none"/>
              </w:rPr>
              <w:t>（3）不应计入交易价格</w:t>
            </w:r>
          </w:p>
        </w:tc>
        <w:tc>
          <w:tcPr>
            <w:tcW w:w="3283" w:type="pct"/>
            <w:shd w:val="clear" w:color="auto" w:fill="auto"/>
            <w:tcMar>
              <w:top w:w="69" w:type="dxa"/>
              <w:left w:w="139" w:type="dxa"/>
              <w:bottom w:w="69" w:type="dxa"/>
              <w:right w:w="139" w:type="dxa"/>
            </w:tcMar>
            <w:vAlign w:val="center"/>
          </w:tcPr>
          <w:p w14:paraId="0EB89753">
            <w:pPr>
              <w:pStyle w:val="5"/>
              <w:keepNext w:val="0"/>
              <w:keepLines w:val="0"/>
              <w:pageBreakBefore w:val="0"/>
              <w:widowControl/>
              <w:suppressLineNumbers w:val="0"/>
              <w:kinsoku/>
              <w:wordWrap/>
              <w:overflowPunct/>
              <w:topLinePunct w:val="0"/>
              <w:bidi w:val="0"/>
              <w:snapToGrid/>
              <w:spacing w:before="0" w:beforeAutospacing="0" w:after="0" w:afterAutospacing="0" w:line="288" w:lineRule="auto"/>
              <w:ind w:left="0"/>
              <w:jc w:val="left"/>
              <w:textAlignment w:val="auto"/>
              <w:rPr>
                <w:rFonts w:hint="eastAsia" w:ascii="宋体" w:hAnsi="宋体" w:eastAsia="宋体" w:cs="宋体"/>
                <w:sz w:val="21"/>
                <w:szCs w:val="21"/>
              </w:rPr>
            </w:pPr>
            <w:r>
              <w:rPr>
                <w:rFonts w:hint="eastAsia" w:ascii="宋体" w:hAnsi="宋体" w:eastAsia="宋体" w:cs="宋体"/>
                <w:b w:val="0"/>
                <w:bCs w:val="0"/>
                <w:i w:val="0"/>
                <w:iCs w:val="0"/>
                <w:color w:val="auto"/>
                <w:kern w:val="2"/>
                <w:sz w:val="21"/>
                <w:szCs w:val="21"/>
                <w:u w:val="none"/>
              </w:rPr>
              <w:t>非现金对价的公允价值</w:t>
            </w:r>
            <w:r>
              <w:rPr>
                <w:rFonts w:hint="eastAsia" w:ascii="宋体" w:hAnsi="宋体" w:eastAsia="宋体" w:cs="宋体"/>
                <w:b w:val="0"/>
                <w:bCs w:val="0"/>
                <w:i w:val="0"/>
                <w:iCs w:val="0"/>
                <w:color w:val="FF0000"/>
                <w:kern w:val="2"/>
                <w:sz w:val="21"/>
                <w:szCs w:val="21"/>
                <w:u w:val="none"/>
              </w:rPr>
              <w:t>因对价形式而发生变动的（从5元涨6元）</w:t>
            </w:r>
            <w:r>
              <w:rPr>
                <w:rFonts w:hint="eastAsia" w:ascii="宋体" w:hAnsi="宋体" w:eastAsia="宋体" w:cs="宋体"/>
                <w:b w:val="0"/>
                <w:bCs w:val="0"/>
                <w:i w:val="0"/>
                <w:iCs w:val="0"/>
                <w:color w:val="auto"/>
                <w:kern w:val="2"/>
                <w:sz w:val="21"/>
                <w:szCs w:val="21"/>
                <w:u w:val="none"/>
              </w:rPr>
              <w:t>。</w:t>
            </w:r>
          </w:p>
        </w:tc>
      </w:tr>
    </w:tbl>
    <w:p w14:paraId="6CD7CF05">
      <w:pPr>
        <w:keepNext w:val="0"/>
        <w:keepLines w:val="0"/>
        <w:pageBreakBefore w:val="0"/>
        <w:widowControl w:val="0"/>
        <w:kinsoku/>
        <w:wordWrap/>
        <w:overflowPunct/>
        <w:topLinePunct w:val="0"/>
        <w:autoSpaceDE w:val="0"/>
        <w:autoSpaceDN w:val="0"/>
        <w:bidi w:val="0"/>
        <w:adjustRightInd w:val="0"/>
        <w:snapToGrid/>
        <w:spacing w:line="360" w:lineRule="auto"/>
        <w:ind w:left="0" w:firstLine="0"/>
        <w:textAlignment w:val="auto"/>
        <w:outlineLvl w:val="9"/>
        <w:rPr>
          <w:rFonts w:hint="eastAsia" w:ascii="宋体" w:hAnsi="宋体" w:eastAsia="宋体" w:cs="宋体"/>
          <w:color w:val="FF0000"/>
          <w:sz w:val="21"/>
          <w:szCs w:val="21"/>
          <w:lang w:val="en-US" w:eastAsia="zh-CN"/>
        </w:rPr>
      </w:pPr>
    </w:p>
    <w:p w14:paraId="492CC443">
      <w:pPr>
        <w:keepNext w:val="0"/>
        <w:keepLines w:val="0"/>
        <w:pageBreakBefore w:val="0"/>
        <w:widowControl w:val="0"/>
        <w:kinsoku/>
        <w:wordWrap/>
        <w:overflowPunct/>
        <w:topLinePunct w:val="0"/>
        <w:autoSpaceDE w:val="0"/>
        <w:autoSpaceDN w:val="0"/>
        <w:bidi w:val="0"/>
        <w:adjustRightInd w:val="0"/>
        <w:snapToGrid/>
        <w:spacing w:line="360" w:lineRule="auto"/>
        <w:ind w:left="0" w:firstLine="0"/>
        <w:textAlignment w:val="auto"/>
        <w:outlineLvl w:val="9"/>
        <w:rPr>
          <w:rFonts w:hint="eastAsia" w:ascii="宋体" w:hAnsi="宋体" w:eastAsia="宋体" w:cs="宋体"/>
          <w:color w:val="FF0000"/>
          <w:sz w:val="21"/>
          <w:szCs w:val="21"/>
          <w:lang w:eastAsia="zh-CN"/>
        </w:rPr>
      </w:pPr>
      <w:r>
        <w:rPr>
          <w:rFonts w:hint="eastAsia" w:ascii="宋体" w:hAnsi="宋体" w:eastAsia="宋体" w:cs="宋体"/>
          <w:color w:val="FF0000"/>
          <w:sz w:val="21"/>
          <w:szCs w:val="21"/>
          <w:lang w:val="en-US" w:eastAsia="zh-CN"/>
        </w:rPr>
        <w:t>4.</w:t>
      </w:r>
      <w:r>
        <w:rPr>
          <w:rFonts w:hint="eastAsia" w:ascii="宋体" w:hAnsi="宋体" w:eastAsia="宋体" w:cs="宋体"/>
          <w:color w:val="FF0000"/>
          <w:sz w:val="21"/>
          <w:szCs w:val="21"/>
          <w:lang w:eastAsia="zh-CN"/>
        </w:rPr>
        <w:t>应付客户对价</w:t>
      </w:r>
    </w:p>
    <w:tbl>
      <w:tblPr>
        <w:tblStyle w:val="6"/>
        <w:tblW w:w="500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4272"/>
        <w:gridCol w:w="5932"/>
      </w:tblGrid>
      <w:tr w14:paraId="6FF58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2093" w:type="pct"/>
            <w:shd w:val="clear" w:color="auto" w:fill="auto"/>
            <w:tcMar>
              <w:top w:w="69" w:type="dxa"/>
              <w:left w:w="139" w:type="dxa"/>
              <w:bottom w:w="69" w:type="dxa"/>
              <w:right w:w="139" w:type="dxa"/>
            </w:tcMar>
            <w:vAlign w:val="center"/>
          </w:tcPr>
          <w:p w14:paraId="0350A3F7">
            <w:pPr>
              <w:pStyle w:val="5"/>
              <w:keepNext w:val="0"/>
              <w:keepLines w:val="0"/>
              <w:pageBreakBefore w:val="0"/>
              <w:widowControl/>
              <w:suppressLineNumbers w:val="0"/>
              <w:kinsoku/>
              <w:wordWrap/>
              <w:overflowPunct/>
              <w:topLinePunct w:val="0"/>
              <w:bidi w:val="0"/>
              <w:snapToGrid/>
              <w:spacing w:before="0" w:beforeAutospacing="0" w:after="0" w:afterAutospacing="0" w:line="288" w:lineRule="auto"/>
              <w:ind w:left="0"/>
              <w:jc w:val="left"/>
              <w:textAlignment w:val="auto"/>
              <w:rPr>
                <w:rFonts w:hint="eastAsia" w:ascii="宋体" w:hAnsi="宋体" w:eastAsia="宋体" w:cs="宋体"/>
                <w:sz w:val="21"/>
                <w:szCs w:val="21"/>
              </w:rPr>
            </w:pPr>
            <w:r>
              <w:rPr>
                <w:rFonts w:hint="eastAsia" w:ascii="宋体" w:hAnsi="宋体" w:eastAsia="宋体" w:cs="宋体"/>
                <w:b w:val="0"/>
                <w:bCs w:val="0"/>
                <w:i w:val="0"/>
                <w:iCs w:val="0"/>
                <w:color w:val="auto"/>
                <w:kern w:val="2"/>
                <w:sz w:val="21"/>
                <w:szCs w:val="21"/>
                <w:u w:val="none"/>
              </w:rPr>
              <w:t>（1）企业在向客户转让商品的同时</w:t>
            </w:r>
          </w:p>
        </w:tc>
        <w:tc>
          <w:tcPr>
            <w:tcW w:w="2906" w:type="pct"/>
            <w:shd w:val="clear" w:color="auto" w:fill="auto"/>
            <w:tcMar>
              <w:top w:w="69" w:type="dxa"/>
              <w:left w:w="139" w:type="dxa"/>
              <w:bottom w:w="69" w:type="dxa"/>
              <w:right w:w="139" w:type="dxa"/>
            </w:tcMar>
            <w:vAlign w:val="center"/>
          </w:tcPr>
          <w:p w14:paraId="705D82A4">
            <w:pPr>
              <w:pStyle w:val="5"/>
              <w:keepNext w:val="0"/>
              <w:keepLines w:val="0"/>
              <w:pageBreakBefore w:val="0"/>
              <w:widowControl/>
              <w:suppressLineNumbers w:val="0"/>
              <w:kinsoku/>
              <w:wordWrap/>
              <w:overflowPunct/>
              <w:topLinePunct w:val="0"/>
              <w:bidi w:val="0"/>
              <w:snapToGrid/>
              <w:spacing w:before="0" w:beforeAutospacing="0" w:after="0" w:afterAutospacing="0" w:line="288" w:lineRule="auto"/>
              <w:ind w:left="0"/>
              <w:jc w:val="left"/>
              <w:textAlignment w:val="auto"/>
              <w:rPr>
                <w:rFonts w:hint="eastAsia" w:ascii="宋体" w:hAnsi="宋体" w:eastAsia="宋体" w:cs="宋体"/>
                <w:sz w:val="21"/>
                <w:szCs w:val="21"/>
              </w:rPr>
            </w:pPr>
            <w:r>
              <w:rPr>
                <w:rFonts w:hint="eastAsia" w:ascii="宋体" w:hAnsi="宋体" w:eastAsia="宋体" w:cs="宋体"/>
                <w:b w:val="0"/>
                <w:bCs w:val="0"/>
                <w:i w:val="0"/>
                <w:iCs w:val="0"/>
                <w:color w:val="FF0000"/>
                <w:kern w:val="2"/>
                <w:sz w:val="21"/>
                <w:szCs w:val="21"/>
                <w:u w:val="none"/>
              </w:rPr>
              <w:t>需要向客户支付对价的</w:t>
            </w:r>
            <w:r>
              <w:rPr>
                <w:rFonts w:hint="eastAsia" w:ascii="宋体" w:hAnsi="宋体" w:eastAsia="宋体" w:cs="宋体"/>
                <w:b w:val="0"/>
                <w:bCs w:val="0"/>
                <w:i w:val="0"/>
                <w:iCs w:val="0"/>
                <w:color w:val="auto"/>
                <w:kern w:val="2"/>
                <w:sz w:val="21"/>
                <w:szCs w:val="21"/>
                <w:u w:val="none"/>
              </w:rPr>
              <w:t>，</w:t>
            </w:r>
            <w:r>
              <w:rPr>
                <w:rFonts w:hint="eastAsia" w:ascii="宋体" w:hAnsi="宋体" w:eastAsia="宋体" w:cs="宋体"/>
                <w:b w:val="0"/>
                <w:bCs w:val="0"/>
                <w:i w:val="0"/>
                <w:iCs w:val="0"/>
                <w:color w:val="FF0000"/>
                <w:kern w:val="2"/>
                <w:sz w:val="21"/>
                <w:szCs w:val="21"/>
                <w:u w:val="none"/>
              </w:rPr>
              <w:t>将该应付对价冲减交易价格</w:t>
            </w:r>
          </w:p>
        </w:tc>
      </w:tr>
      <w:tr w14:paraId="5B563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3" w:hRule="atLeast"/>
        </w:trPr>
        <w:tc>
          <w:tcPr>
            <w:tcW w:w="2093" w:type="pct"/>
            <w:shd w:val="clear" w:color="auto" w:fill="auto"/>
            <w:tcMar>
              <w:top w:w="69" w:type="dxa"/>
              <w:left w:w="139" w:type="dxa"/>
              <w:bottom w:w="69" w:type="dxa"/>
              <w:right w:w="139" w:type="dxa"/>
            </w:tcMar>
            <w:vAlign w:val="center"/>
          </w:tcPr>
          <w:p w14:paraId="68A764A1">
            <w:pPr>
              <w:pStyle w:val="5"/>
              <w:keepNext w:val="0"/>
              <w:keepLines w:val="0"/>
              <w:pageBreakBefore w:val="0"/>
              <w:widowControl/>
              <w:suppressLineNumbers w:val="0"/>
              <w:kinsoku/>
              <w:wordWrap/>
              <w:overflowPunct/>
              <w:topLinePunct w:val="0"/>
              <w:bidi w:val="0"/>
              <w:snapToGrid/>
              <w:spacing w:before="0" w:beforeAutospacing="0" w:after="0" w:afterAutospacing="0" w:line="288" w:lineRule="auto"/>
              <w:ind w:left="0"/>
              <w:jc w:val="left"/>
              <w:textAlignment w:val="auto"/>
              <w:rPr>
                <w:rFonts w:hint="eastAsia" w:ascii="宋体" w:hAnsi="宋体" w:eastAsia="宋体" w:cs="宋体"/>
                <w:sz w:val="21"/>
                <w:szCs w:val="21"/>
              </w:rPr>
            </w:pPr>
            <w:r>
              <w:rPr>
                <w:rFonts w:hint="eastAsia" w:ascii="宋体" w:hAnsi="宋体" w:eastAsia="宋体" w:cs="宋体"/>
                <w:b w:val="0"/>
                <w:bCs w:val="0"/>
                <w:i w:val="0"/>
                <w:iCs w:val="0"/>
                <w:color w:val="auto"/>
                <w:kern w:val="2"/>
                <w:sz w:val="21"/>
                <w:szCs w:val="21"/>
                <w:u w:val="none"/>
              </w:rPr>
              <w:t>（2）冲减当期收入的时间</w:t>
            </w:r>
          </w:p>
        </w:tc>
        <w:tc>
          <w:tcPr>
            <w:tcW w:w="2906" w:type="pct"/>
            <w:shd w:val="clear" w:color="auto" w:fill="auto"/>
            <w:tcMar>
              <w:top w:w="69" w:type="dxa"/>
              <w:left w:w="139" w:type="dxa"/>
              <w:bottom w:w="69" w:type="dxa"/>
              <w:right w:w="139" w:type="dxa"/>
            </w:tcMar>
            <w:vAlign w:val="center"/>
          </w:tcPr>
          <w:p w14:paraId="31D58EF0">
            <w:pPr>
              <w:pStyle w:val="5"/>
              <w:keepNext w:val="0"/>
              <w:keepLines w:val="0"/>
              <w:pageBreakBefore w:val="0"/>
              <w:widowControl/>
              <w:suppressLineNumbers w:val="0"/>
              <w:kinsoku/>
              <w:wordWrap/>
              <w:overflowPunct/>
              <w:topLinePunct w:val="0"/>
              <w:bidi w:val="0"/>
              <w:snapToGrid/>
              <w:spacing w:before="0" w:beforeAutospacing="0" w:after="0" w:afterAutospacing="0" w:line="288" w:lineRule="auto"/>
              <w:ind w:left="0"/>
              <w:jc w:val="left"/>
              <w:textAlignment w:val="auto"/>
              <w:rPr>
                <w:rFonts w:hint="eastAsia" w:ascii="宋体" w:hAnsi="宋体" w:eastAsia="宋体" w:cs="宋体"/>
                <w:sz w:val="21"/>
                <w:szCs w:val="21"/>
              </w:rPr>
            </w:pPr>
            <w:r>
              <w:rPr>
                <w:rFonts w:hint="eastAsia" w:ascii="宋体" w:hAnsi="宋体" w:eastAsia="宋体" w:cs="宋体"/>
                <w:b w:val="0"/>
                <w:bCs w:val="0"/>
                <w:i w:val="0"/>
                <w:iCs w:val="0"/>
                <w:color w:val="auto"/>
                <w:kern w:val="2"/>
                <w:sz w:val="21"/>
                <w:szCs w:val="21"/>
                <w:u w:val="none"/>
              </w:rPr>
              <w:t>在确认相关收入与支付客户对价二者孰晚的时点</w:t>
            </w:r>
          </w:p>
        </w:tc>
      </w:tr>
    </w:tbl>
    <w:p w14:paraId="34C85CA3">
      <w:pPr>
        <w:keepNext w:val="0"/>
        <w:keepLines w:val="0"/>
        <w:pageBreakBefore w:val="0"/>
        <w:widowControl w:val="0"/>
        <w:kinsoku/>
        <w:wordWrap/>
        <w:overflowPunct/>
        <w:topLinePunct w:val="0"/>
        <w:autoSpaceDE w:val="0"/>
        <w:autoSpaceDN w:val="0"/>
        <w:bidi w:val="0"/>
        <w:adjustRightInd w:val="0"/>
        <w:snapToGrid/>
        <w:spacing w:line="360" w:lineRule="auto"/>
        <w:ind w:left="0" w:firstLine="0"/>
        <w:textAlignment w:val="auto"/>
        <w:outlineLvl w:val="9"/>
        <w:rPr>
          <w:rFonts w:hint="eastAsia" w:ascii="宋体" w:hAnsi="宋体" w:eastAsia="宋体" w:cs="宋体"/>
          <w:color w:val="FF0000"/>
          <w:sz w:val="21"/>
          <w:szCs w:val="21"/>
          <w:lang w:eastAsia="zh-CN"/>
        </w:rPr>
      </w:pPr>
    </w:p>
    <w:p w14:paraId="2120207F">
      <w:pPr>
        <w:keepNext w:val="0"/>
        <w:keepLines w:val="0"/>
        <w:pageBreakBefore w:val="0"/>
        <w:widowControl w:val="0"/>
        <w:kinsoku/>
        <w:wordWrap/>
        <w:overflowPunct/>
        <w:topLinePunct w:val="0"/>
        <w:autoSpaceDE w:val="0"/>
        <w:autoSpaceDN w:val="0"/>
        <w:bidi w:val="0"/>
        <w:adjustRightInd w:val="0"/>
        <w:snapToGrid/>
        <w:spacing w:line="360" w:lineRule="auto"/>
        <w:ind w:left="0" w:firstLine="0"/>
        <w:textAlignment w:val="auto"/>
        <w:outlineLvl w:val="9"/>
        <w:rPr>
          <w:rFonts w:hint="eastAsia" w:ascii="宋体" w:hAnsi="宋体" w:eastAsia="宋体" w:cs="宋体"/>
          <w:color w:val="FF0000"/>
          <w:sz w:val="21"/>
          <w:szCs w:val="21"/>
          <w:lang w:eastAsia="zh-CN"/>
        </w:rPr>
      </w:pPr>
      <w:r>
        <w:rPr>
          <w:rFonts w:hint="eastAsia" w:ascii="宋体" w:hAnsi="宋体" w:eastAsia="宋体" w:cs="宋体"/>
          <w:color w:val="FF0000"/>
          <w:sz w:val="21"/>
          <w:szCs w:val="21"/>
          <w:lang w:eastAsia="zh-CN"/>
        </w:rPr>
        <w:t>【考点】★★★</w:t>
      </w:r>
      <w:r>
        <w:rPr>
          <w:rFonts w:hint="eastAsia" w:ascii="宋体" w:hAnsi="宋体" w:eastAsia="宋体" w:cs="宋体"/>
          <w:color w:val="FF0000"/>
          <w:sz w:val="21"/>
          <w:szCs w:val="21"/>
        </w:rPr>
        <w:t>（</w:t>
      </w:r>
      <w:r>
        <w:rPr>
          <w:rFonts w:hint="eastAsia" w:ascii="宋体" w:hAnsi="宋体" w:eastAsia="宋体" w:cs="宋体"/>
          <w:color w:val="FF0000"/>
          <w:sz w:val="21"/>
          <w:szCs w:val="21"/>
          <w:lang w:eastAsia="zh-CN"/>
        </w:rPr>
        <w:t>第四步</w:t>
      </w:r>
      <w:r>
        <w:rPr>
          <w:rFonts w:hint="eastAsia" w:ascii="宋体" w:hAnsi="宋体" w:eastAsia="宋体" w:cs="宋体"/>
          <w:color w:val="FF0000"/>
          <w:sz w:val="21"/>
          <w:szCs w:val="21"/>
        </w:rPr>
        <w:t>）</w:t>
      </w:r>
      <w:r>
        <w:rPr>
          <w:rFonts w:hint="eastAsia" w:ascii="宋体" w:hAnsi="宋体" w:eastAsia="宋体" w:cs="宋体"/>
          <w:color w:val="FF0000"/>
          <w:sz w:val="21"/>
          <w:szCs w:val="21"/>
          <w:lang w:eastAsia="zh-CN"/>
        </w:rPr>
        <w:t>将交易价格分摊至各单项履约义务</w:t>
      </w:r>
    </w:p>
    <w:tbl>
      <w:tblPr>
        <w:tblStyle w:val="6"/>
        <w:tblW w:w="498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2590"/>
        <w:gridCol w:w="2397"/>
        <w:gridCol w:w="5178"/>
      </w:tblGrid>
      <w:tr w14:paraId="553BC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43" w:hRule="atLeast"/>
        </w:trPr>
        <w:tc>
          <w:tcPr>
            <w:tcW w:w="5000" w:type="pct"/>
            <w:gridSpan w:val="3"/>
            <w:shd w:val="clear" w:color="auto" w:fill="auto"/>
            <w:tcMar>
              <w:top w:w="69" w:type="dxa"/>
              <w:left w:w="139" w:type="dxa"/>
              <w:bottom w:w="69" w:type="dxa"/>
              <w:right w:w="139" w:type="dxa"/>
            </w:tcMar>
            <w:vAlign w:val="center"/>
          </w:tcPr>
          <w:p w14:paraId="37D0D6DE">
            <w:pPr>
              <w:pStyle w:val="5"/>
              <w:keepNext w:val="0"/>
              <w:keepLines w:val="0"/>
              <w:pageBreakBefore w:val="0"/>
              <w:widowControl/>
              <w:suppressLineNumbers w:val="0"/>
              <w:kinsoku/>
              <w:wordWrap/>
              <w:overflowPunct/>
              <w:topLinePunct w:val="0"/>
              <w:bidi w:val="0"/>
              <w:snapToGrid/>
              <w:spacing w:before="0" w:beforeAutospacing="0" w:after="0" w:afterAutospacing="0" w:line="288" w:lineRule="auto"/>
              <w:ind w:left="0" w:firstLine="0"/>
              <w:jc w:val="left"/>
              <w:textAlignment w:val="auto"/>
              <w:rPr>
                <w:rFonts w:hint="eastAsia" w:ascii="宋体" w:hAnsi="宋体" w:eastAsia="宋体" w:cs="宋体"/>
                <w:sz w:val="21"/>
                <w:szCs w:val="21"/>
              </w:rPr>
            </w:pPr>
            <w:r>
              <w:rPr>
                <w:rFonts w:hint="eastAsia" w:ascii="宋体" w:hAnsi="宋体" w:eastAsia="宋体" w:cs="宋体"/>
                <w:b w:val="0"/>
                <w:bCs w:val="0"/>
                <w:i w:val="0"/>
                <w:iCs w:val="0"/>
                <w:color w:val="auto"/>
                <w:kern w:val="2"/>
                <w:sz w:val="21"/>
                <w:szCs w:val="21"/>
                <w:u w:val="none"/>
              </w:rPr>
              <w:t>合同中包含两项或多项履约义务的，按各单项义务商品的单独售价的相对比例，将交易价格分摊至各单项履约义务。</w:t>
            </w:r>
          </w:p>
        </w:tc>
      </w:tr>
      <w:tr w14:paraId="186DF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trPr>
        <w:tc>
          <w:tcPr>
            <w:tcW w:w="1274" w:type="pct"/>
            <w:shd w:val="clear" w:color="auto" w:fill="auto"/>
            <w:tcMar>
              <w:top w:w="69" w:type="dxa"/>
              <w:left w:w="139" w:type="dxa"/>
              <w:bottom w:w="69" w:type="dxa"/>
              <w:right w:w="139" w:type="dxa"/>
            </w:tcMar>
            <w:vAlign w:val="center"/>
          </w:tcPr>
          <w:p w14:paraId="374DF6C6">
            <w:pPr>
              <w:pStyle w:val="5"/>
              <w:keepNext w:val="0"/>
              <w:keepLines w:val="0"/>
              <w:pageBreakBefore w:val="0"/>
              <w:widowControl/>
              <w:suppressLineNumbers w:val="0"/>
              <w:kinsoku/>
              <w:wordWrap/>
              <w:overflowPunct/>
              <w:topLinePunct w:val="0"/>
              <w:bidi w:val="0"/>
              <w:snapToGrid/>
              <w:spacing w:before="0" w:beforeAutospacing="0" w:after="0" w:afterAutospacing="0" w:line="288" w:lineRule="auto"/>
              <w:ind w:left="0" w:firstLine="0"/>
              <w:jc w:val="left"/>
              <w:textAlignment w:val="auto"/>
              <w:rPr>
                <w:rFonts w:hint="eastAsia" w:ascii="宋体" w:hAnsi="宋体" w:eastAsia="宋体" w:cs="宋体"/>
                <w:sz w:val="21"/>
                <w:szCs w:val="21"/>
              </w:rPr>
            </w:pPr>
            <w:r>
              <w:rPr>
                <w:rFonts w:hint="eastAsia" w:ascii="宋体" w:hAnsi="宋体" w:eastAsia="宋体" w:cs="宋体"/>
                <w:b w:val="0"/>
                <w:bCs w:val="0"/>
                <w:i w:val="0"/>
                <w:iCs w:val="0"/>
                <w:color w:val="auto"/>
                <w:kern w:val="2"/>
                <w:sz w:val="21"/>
                <w:szCs w:val="21"/>
                <w:u w:val="none"/>
              </w:rPr>
              <w:t>单独售价无法直接观察的</w:t>
            </w:r>
          </w:p>
        </w:tc>
        <w:tc>
          <w:tcPr>
            <w:tcW w:w="3725" w:type="pct"/>
            <w:gridSpan w:val="2"/>
            <w:shd w:val="clear" w:color="auto" w:fill="auto"/>
            <w:tcMar>
              <w:top w:w="69" w:type="dxa"/>
              <w:left w:w="139" w:type="dxa"/>
              <w:bottom w:w="69" w:type="dxa"/>
              <w:right w:w="139" w:type="dxa"/>
            </w:tcMar>
            <w:vAlign w:val="center"/>
          </w:tcPr>
          <w:p w14:paraId="400B61D7">
            <w:pPr>
              <w:pStyle w:val="5"/>
              <w:keepNext w:val="0"/>
              <w:keepLines w:val="0"/>
              <w:pageBreakBefore w:val="0"/>
              <w:widowControl/>
              <w:suppressLineNumbers w:val="0"/>
              <w:kinsoku/>
              <w:wordWrap/>
              <w:overflowPunct/>
              <w:topLinePunct w:val="0"/>
              <w:bidi w:val="0"/>
              <w:snapToGrid/>
              <w:spacing w:before="0" w:beforeAutospacing="0" w:after="0" w:afterAutospacing="0" w:line="288" w:lineRule="auto"/>
              <w:ind w:left="0" w:firstLine="0"/>
              <w:jc w:val="left"/>
              <w:textAlignment w:val="auto"/>
              <w:rPr>
                <w:rFonts w:hint="eastAsia" w:ascii="宋体" w:hAnsi="宋体" w:eastAsia="宋体" w:cs="宋体"/>
                <w:sz w:val="21"/>
                <w:szCs w:val="21"/>
              </w:rPr>
            </w:pPr>
            <w:r>
              <w:rPr>
                <w:rFonts w:hint="eastAsia" w:ascii="宋体" w:hAnsi="宋体" w:eastAsia="宋体" w:cs="宋体"/>
                <w:b w:val="0"/>
                <w:bCs w:val="0"/>
                <w:i w:val="0"/>
                <w:iCs w:val="0"/>
                <w:color w:val="auto"/>
                <w:kern w:val="2"/>
                <w:sz w:val="21"/>
                <w:szCs w:val="21"/>
                <w:u w:val="none"/>
              </w:rPr>
              <w:t>采用</w:t>
            </w:r>
            <w:r>
              <w:rPr>
                <w:rFonts w:hint="eastAsia" w:ascii="宋体" w:hAnsi="宋体" w:eastAsia="宋体" w:cs="宋体"/>
                <w:b w:val="0"/>
                <w:bCs w:val="0"/>
                <w:i w:val="0"/>
                <w:iCs w:val="0"/>
                <w:color w:val="FF0000"/>
                <w:kern w:val="2"/>
                <w:sz w:val="21"/>
                <w:szCs w:val="21"/>
                <w:u w:val="none"/>
              </w:rPr>
              <w:t>市场调整法、成本加成法、余值法</w:t>
            </w:r>
            <w:r>
              <w:rPr>
                <w:rFonts w:hint="eastAsia" w:ascii="宋体" w:hAnsi="宋体" w:eastAsia="宋体" w:cs="宋体"/>
                <w:b w:val="0"/>
                <w:bCs w:val="0"/>
                <w:i w:val="0"/>
                <w:iCs w:val="0"/>
                <w:color w:val="auto"/>
                <w:kern w:val="2"/>
                <w:sz w:val="21"/>
                <w:szCs w:val="21"/>
                <w:u w:val="none"/>
              </w:rPr>
              <w:t>等方法合理估计</w:t>
            </w:r>
          </w:p>
        </w:tc>
      </w:tr>
      <w:tr w14:paraId="2DB48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trPr>
        <w:tc>
          <w:tcPr>
            <w:tcW w:w="1274" w:type="pct"/>
            <w:vMerge w:val="restart"/>
            <w:shd w:val="clear" w:color="auto" w:fill="auto"/>
            <w:tcMar>
              <w:top w:w="69" w:type="dxa"/>
              <w:left w:w="139" w:type="dxa"/>
              <w:bottom w:w="69" w:type="dxa"/>
              <w:right w:w="139" w:type="dxa"/>
            </w:tcMar>
            <w:vAlign w:val="center"/>
          </w:tcPr>
          <w:p w14:paraId="55167B23">
            <w:pPr>
              <w:pStyle w:val="5"/>
              <w:keepNext w:val="0"/>
              <w:keepLines w:val="0"/>
              <w:pageBreakBefore w:val="0"/>
              <w:widowControl/>
              <w:suppressLineNumbers w:val="0"/>
              <w:kinsoku/>
              <w:wordWrap/>
              <w:overflowPunct/>
              <w:topLinePunct w:val="0"/>
              <w:bidi w:val="0"/>
              <w:snapToGrid/>
              <w:spacing w:before="0" w:beforeAutospacing="0" w:after="0" w:afterAutospacing="0" w:line="288" w:lineRule="auto"/>
              <w:ind w:left="0" w:firstLine="0"/>
              <w:jc w:val="left"/>
              <w:textAlignment w:val="auto"/>
              <w:rPr>
                <w:rFonts w:hint="eastAsia" w:ascii="宋体" w:hAnsi="宋体" w:eastAsia="宋体" w:cs="宋体"/>
                <w:sz w:val="21"/>
                <w:szCs w:val="21"/>
              </w:rPr>
            </w:pPr>
            <w:r>
              <w:rPr>
                <w:rFonts w:hint="eastAsia" w:ascii="宋体" w:hAnsi="宋体" w:eastAsia="宋体" w:cs="宋体"/>
                <w:b w:val="0"/>
                <w:bCs w:val="0"/>
                <w:i w:val="0"/>
                <w:iCs w:val="0"/>
                <w:color w:val="auto"/>
                <w:kern w:val="2"/>
                <w:sz w:val="21"/>
                <w:szCs w:val="21"/>
                <w:u w:val="none"/>
              </w:rPr>
              <w:t>掌握</w:t>
            </w:r>
          </w:p>
        </w:tc>
        <w:tc>
          <w:tcPr>
            <w:tcW w:w="1179" w:type="pct"/>
            <w:shd w:val="clear" w:color="auto" w:fill="auto"/>
            <w:tcMar>
              <w:top w:w="69" w:type="dxa"/>
              <w:left w:w="139" w:type="dxa"/>
              <w:bottom w:w="69" w:type="dxa"/>
              <w:right w:w="139" w:type="dxa"/>
            </w:tcMar>
            <w:vAlign w:val="center"/>
          </w:tcPr>
          <w:p w14:paraId="2D2C5182">
            <w:pPr>
              <w:pStyle w:val="5"/>
              <w:keepNext w:val="0"/>
              <w:keepLines w:val="0"/>
              <w:pageBreakBefore w:val="0"/>
              <w:widowControl/>
              <w:suppressLineNumbers w:val="0"/>
              <w:kinsoku/>
              <w:wordWrap/>
              <w:overflowPunct/>
              <w:topLinePunct w:val="0"/>
              <w:bidi w:val="0"/>
              <w:snapToGrid/>
              <w:spacing w:before="0" w:beforeAutospacing="0" w:after="0" w:afterAutospacing="0" w:line="288" w:lineRule="auto"/>
              <w:ind w:left="0" w:firstLine="0"/>
              <w:jc w:val="left"/>
              <w:textAlignment w:val="auto"/>
              <w:rPr>
                <w:rFonts w:hint="eastAsia" w:ascii="宋体" w:hAnsi="宋体" w:eastAsia="宋体" w:cs="宋体"/>
                <w:sz w:val="21"/>
                <w:szCs w:val="21"/>
              </w:rPr>
            </w:pPr>
            <w:r>
              <w:rPr>
                <w:rFonts w:hint="eastAsia" w:ascii="宋体" w:hAnsi="宋体" w:eastAsia="宋体" w:cs="宋体"/>
                <w:b w:val="0"/>
                <w:bCs w:val="0"/>
                <w:i w:val="0"/>
                <w:iCs w:val="0"/>
                <w:color w:val="auto"/>
                <w:kern w:val="2"/>
                <w:sz w:val="21"/>
                <w:szCs w:val="21"/>
                <w:u w:val="none"/>
              </w:rPr>
              <w:t>（1）现在卖，交付A商品时：</w:t>
            </w:r>
          </w:p>
        </w:tc>
        <w:tc>
          <w:tcPr>
            <w:tcW w:w="2545" w:type="pct"/>
            <w:shd w:val="clear" w:color="auto" w:fill="auto"/>
            <w:tcMar>
              <w:top w:w="69" w:type="dxa"/>
              <w:left w:w="139" w:type="dxa"/>
              <w:bottom w:w="69" w:type="dxa"/>
              <w:right w:w="139" w:type="dxa"/>
            </w:tcMar>
            <w:vAlign w:val="center"/>
          </w:tcPr>
          <w:p w14:paraId="00B26ADA">
            <w:pPr>
              <w:pStyle w:val="5"/>
              <w:keepNext w:val="0"/>
              <w:keepLines w:val="0"/>
              <w:pageBreakBefore w:val="0"/>
              <w:widowControl/>
              <w:suppressLineNumbers w:val="0"/>
              <w:kinsoku/>
              <w:wordWrap/>
              <w:overflowPunct/>
              <w:topLinePunct w:val="0"/>
              <w:bidi w:val="0"/>
              <w:snapToGrid/>
              <w:spacing w:before="0" w:beforeAutospacing="0" w:after="0" w:afterAutospacing="0" w:line="288" w:lineRule="auto"/>
              <w:ind w:left="0" w:firstLine="0"/>
              <w:jc w:val="left"/>
              <w:textAlignment w:val="auto"/>
              <w:rPr>
                <w:rFonts w:hint="eastAsia" w:ascii="宋体" w:hAnsi="宋体" w:eastAsia="宋体" w:cs="宋体"/>
                <w:sz w:val="21"/>
                <w:szCs w:val="21"/>
              </w:rPr>
            </w:pPr>
            <w:r>
              <w:rPr>
                <w:rFonts w:hint="eastAsia" w:ascii="宋体" w:hAnsi="宋体" w:eastAsia="宋体" w:cs="宋体"/>
                <w:b w:val="0"/>
                <w:bCs w:val="0"/>
                <w:i w:val="0"/>
                <w:iCs w:val="0"/>
                <w:color w:val="auto"/>
                <w:kern w:val="2"/>
                <w:sz w:val="21"/>
                <w:szCs w:val="21"/>
                <w:u w:val="none"/>
              </w:rPr>
              <w:t xml:space="preserve">借：合同资产　           </w:t>
            </w:r>
            <w:r>
              <w:rPr>
                <w:rFonts w:hint="eastAsia" w:ascii="宋体" w:hAnsi="宋体" w:eastAsia="宋体" w:cs="宋体"/>
                <w:b w:val="0"/>
                <w:bCs w:val="0"/>
                <w:i w:val="0"/>
                <w:iCs w:val="0"/>
                <w:color w:val="auto"/>
                <w:kern w:val="2"/>
                <w:position w:val="0"/>
                <w:sz w:val="21"/>
                <w:szCs w:val="21"/>
                <w:u w:val="none"/>
                <w:vertAlign w:val="baseline"/>
              </w:rPr>
              <w:t xml:space="preserve"> </w:t>
            </w:r>
            <w:r>
              <w:rPr>
                <w:rFonts w:hint="eastAsia" w:ascii="宋体" w:hAnsi="宋体" w:eastAsia="宋体" w:cs="宋体"/>
                <w:b w:val="0"/>
                <w:bCs w:val="0"/>
                <w:i w:val="0"/>
                <w:iCs w:val="0"/>
                <w:color w:val="auto"/>
                <w:kern w:val="2"/>
                <w:sz w:val="21"/>
                <w:szCs w:val="21"/>
                <w:u w:val="none"/>
              </w:rPr>
              <w:t>400</w:t>
            </w:r>
          </w:p>
          <w:p w14:paraId="7ACC3AA9">
            <w:pPr>
              <w:pStyle w:val="5"/>
              <w:keepNext w:val="0"/>
              <w:keepLines w:val="0"/>
              <w:pageBreakBefore w:val="0"/>
              <w:widowControl/>
              <w:suppressLineNumbers w:val="0"/>
              <w:kinsoku/>
              <w:wordWrap/>
              <w:overflowPunct/>
              <w:topLinePunct w:val="0"/>
              <w:bidi w:val="0"/>
              <w:snapToGrid/>
              <w:spacing w:before="0" w:beforeAutospacing="0" w:after="0" w:afterAutospacing="0" w:line="288" w:lineRule="auto"/>
              <w:ind w:left="0" w:firstLine="0"/>
              <w:jc w:val="left"/>
              <w:textAlignment w:val="auto"/>
              <w:rPr>
                <w:rFonts w:hint="eastAsia" w:ascii="宋体" w:hAnsi="宋体" w:eastAsia="宋体" w:cs="宋体"/>
                <w:sz w:val="21"/>
                <w:szCs w:val="21"/>
              </w:rPr>
            </w:pPr>
            <w:r>
              <w:rPr>
                <w:rFonts w:hint="eastAsia" w:ascii="宋体" w:hAnsi="宋体" w:eastAsia="宋体" w:cs="宋体"/>
                <w:b w:val="0"/>
                <w:bCs w:val="0"/>
                <w:i w:val="0"/>
                <w:iCs w:val="0"/>
                <w:color w:val="auto"/>
                <w:kern w:val="2"/>
                <w:sz w:val="21"/>
                <w:szCs w:val="21"/>
                <w:u w:val="none"/>
              </w:rPr>
              <w:t>　　贷：主营业务收入　</w:t>
            </w:r>
            <w:r>
              <w:rPr>
                <w:rFonts w:hint="eastAsia" w:ascii="宋体" w:hAnsi="宋体" w:cs="宋体"/>
                <w:b w:val="0"/>
                <w:bCs w:val="0"/>
                <w:i w:val="0"/>
                <w:iCs w:val="0"/>
                <w:color w:val="auto"/>
                <w:kern w:val="2"/>
                <w:sz w:val="21"/>
                <w:szCs w:val="21"/>
                <w:u w:val="none"/>
                <w:lang w:val="en-US" w:eastAsia="zh-CN"/>
              </w:rPr>
              <w:t xml:space="preserve">    </w:t>
            </w:r>
            <w:r>
              <w:rPr>
                <w:rFonts w:hint="eastAsia" w:ascii="宋体" w:hAnsi="宋体" w:eastAsia="宋体" w:cs="宋体"/>
                <w:b w:val="0"/>
                <w:bCs w:val="0"/>
                <w:i w:val="0"/>
                <w:iCs w:val="0"/>
                <w:color w:val="auto"/>
                <w:kern w:val="2"/>
                <w:sz w:val="21"/>
                <w:szCs w:val="21"/>
                <w:u w:val="none"/>
              </w:rPr>
              <w:t>　400</w:t>
            </w:r>
          </w:p>
        </w:tc>
      </w:tr>
      <w:tr w14:paraId="192CD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15" w:hRule="atLeast"/>
        </w:trPr>
        <w:tc>
          <w:tcPr>
            <w:tcW w:w="1274" w:type="pct"/>
            <w:vMerge w:val="continue"/>
            <w:shd w:val="clear" w:color="auto" w:fill="auto"/>
            <w:tcMar>
              <w:top w:w="69" w:type="dxa"/>
              <w:left w:w="139" w:type="dxa"/>
              <w:bottom w:w="69" w:type="dxa"/>
              <w:right w:w="139" w:type="dxa"/>
            </w:tcMar>
            <w:vAlign w:val="center"/>
          </w:tcPr>
          <w:p w14:paraId="11E3EDF8">
            <w:pPr>
              <w:keepNext w:val="0"/>
              <w:keepLines w:val="0"/>
              <w:pageBreakBefore w:val="0"/>
              <w:kinsoku/>
              <w:wordWrap/>
              <w:overflowPunct/>
              <w:topLinePunct w:val="0"/>
              <w:bidi w:val="0"/>
              <w:snapToGrid/>
              <w:spacing w:before="0" w:beforeLines="0" w:after="0" w:afterLines="0"/>
              <w:textAlignment w:val="auto"/>
              <w:rPr>
                <w:rFonts w:hint="eastAsia" w:ascii="宋体" w:hAnsi="宋体" w:eastAsia="宋体" w:cs="宋体"/>
                <w:i w:val="0"/>
                <w:iCs w:val="0"/>
                <w:color w:val="auto"/>
                <w:sz w:val="21"/>
                <w:szCs w:val="21"/>
                <w:u w:val="none"/>
              </w:rPr>
            </w:pPr>
          </w:p>
        </w:tc>
        <w:tc>
          <w:tcPr>
            <w:tcW w:w="1179" w:type="pct"/>
            <w:shd w:val="clear" w:color="auto" w:fill="auto"/>
            <w:tcMar>
              <w:top w:w="69" w:type="dxa"/>
              <w:left w:w="139" w:type="dxa"/>
              <w:bottom w:w="69" w:type="dxa"/>
              <w:right w:w="139" w:type="dxa"/>
            </w:tcMar>
            <w:vAlign w:val="center"/>
          </w:tcPr>
          <w:p w14:paraId="5F1E40E0">
            <w:pPr>
              <w:pStyle w:val="5"/>
              <w:keepNext w:val="0"/>
              <w:keepLines w:val="0"/>
              <w:pageBreakBefore w:val="0"/>
              <w:widowControl/>
              <w:suppressLineNumbers w:val="0"/>
              <w:kinsoku/>
              <w:wordWrap/>
              <w:overflowPunct/>
              <w:topLinePunct w:val="0"/>
              <w:bidi w:val="0"/>
              <w:snapToGrid/>
              <w:spacing w:before="0" w:beforeAutospacing="0" w:after="0" w:afterAutospacing="0" w:line="288" w:lineRule="auto"/>
              <w:ind w:left="0" w:firstLine="0"/>
              <w:jc w:val="left"/>
              <w:textAlignment w:val="auto"/>
              <w:rPr>
                <w:rFonts w:hint="eastAsia" w:ascii="宋体" w:hAnsi="宋体" w:eastAsia="宋体" w:cs="宋体"/>
                <w:sz w:val="21"/>
                <w:szCs w:val="21"/>
              </w:rPr>
            </w:pPr>
            <w:r>
              <w:rPr>
                <w:rFonts w:hint="eastAsia" w:ascii="宋体" w:hAnsi="宋体" w:eastAsia="宋体" w:cs="宋体"/>
                <w:b w:val="0"/>
                <w:bCs w:val="0"/>
                <w:i w:val="0"/>
                <w:iCs w:val="0"/>
                <w:color w:val="auto"/>
                <w:kern w:val="2"/>
                <w:sz w:val="21"/>
                <w:szCs w:val="21"/>
                <w:u w:val="none"/>
              </w:rPr>
              <w:t>（2）一个月后，交付B 商品时</w:t>
            </w:r>
          </w:p>
        </w:tc>
        <w:tc>
          <w:tcPr>
            <w:tcW w:w="2545" w:type="pct"/>
            <w:shd w:val="clear" w:color="auto" w:fill="auto"/>
            <w:tcMar>
              <w:top w:w="69" w:type="dxa"/>
              <w:left w:w="139" w:type="dxa"/>
              <w:bottom w:w="69" w:type="dxa"/>
              <w:right w:w="139" w:type="dxa"/>
            </w:tcMar>
            <w:vAlign w:val="center"/>
          </w:tcPr>
          <w:p w14:paraId="7E4471B8">
            <w:pPr>
              <w:pStyle w:val="5"/>
              <w:keepNext w:val="0"/>
              <w:keepLines w:val="0"/>
              <w:pageBreakBefore w:val="0"/>
              <w:widowControl/>
              <w:suppressLineNumbers w:val="0"/>
              <w:kinsoku/>
              <w:wordWrap/>
              <w:overflowPunct/>
              <w:topLinePunct w:val="0"/>
              <w:bidi w:val="0"/>
              <w:snapToGrid/>
              <w:spacing w:before="0" w:beforeAutospacing="0" w:after="0" w:afterAutospacing="0" w:line="288" w:lineRule="auto"/>
              <w:ind w:left="0" w:firstLine="0"/>
              <w:jc w:val="left"/>
              <w:textAlignment w:val="auto"/>
              <w:rPr>
                <w:rFonts w:hint="eastAsia" w:ascii="宋体" w:hAnsi="宋体" w:eastAsia="宋体" w:cs="宋体"/>
                <w:sz w:val="21"/>
                <w:szCs w:val="21"/>
              </w:rPr>
            </w:pPr>
            <w:r>
              <w:rPr>
                <w:rFonts w:hint="eastAsia" w:ascii="宋体" w:hAnsi="宋体" w:eastAsia="宋体" w:cs="宋体"/>
                <w:b w:val="0"/>
                <w:bCs w:val="0"/>
                <w:i w:val="0"/>
                <w:iCs w:val="0"/>
                <w:color w:val="auto"/>
                <w:kern w:val="2"/>
                <w:sz w:val="21"/>
                <w:szCs w:val="21"/>
                <w:u w:val="none"/>
              </w:rPr>
              <w:t>借：应收账款  　　</w:t>
            </w:r>
            <w:r>
              <w:rPr>
                <w:rFonts w:hint="eastAsia" w:ascii="宋体" w:hAnsi="宋体" w:eastAsia="宋体" w:cs="宋体"/>
                <w:b w:val="0"/>
                <w:bCs w:val="0"/>
                <w:i w:val="0"/>
                <w:iCs w:val="0"/>
                <w:color w:val="auto"/>
                <w:kern w:val="2"/>
                <w:position w:val="0"/>
                <w:sz w:val="21"/>
                <w:szCs w:val="21"/>
                <w:u w:val="none"/>
                <w:vertAlign w:val="baseline"/>
              </w:rPr>
              <w:t xml:space="preserve">     </w:t>
            </w:r>
            <w:r>
              <w:rPr>
                <w:rFonts w:hint="eastAsia" w:ascii="宋体" w:hAnsi="宋体" w:eastAsia="宋体" w:cs="宋体"/>
                <w:b w:val="0"/>
                <w:bCs w:val="0"/>
                <w:i w:val="0"/>
                <w:iCs w:val="0"/>
                <w:color w:val="auto"/>
                <w:kern w:val="2"/>
                <w:sz w:val="21"/>
                <w:szCs w:val="21"/>
                <w:u w:val="none"/>
              </w:rPr>
              <w:t>2 000</w:t>
            </w:r>
          </w:p>
          <w:p w14:paraId="347686D5">
            <w:pPr>
              <w:pStyle w:val="5"/>
              <w:keepNext w:val="0"/>
              <w:keepLines w:val="0"/>
              <w:pageBreakBefore w:val="0"/>
              <w:widowControl/>
              <w:suppressLineNumbers w:val="0"/>
              <w:kinsoku/>
              <w:wordWrap/>
              <w:overflowPunct/>
              <w:topLinePunct w:val="0"/>
              <w:bidi w:val="0"/>
              <w:snapToGrid/>
              <w:spacing w:before="0" w:beforeAutospacing="0" w:after="0" w:afterAutospacing="0" w:line="288" w:lineRule="auto"/>
              <w:ind w:left="0" w:firstLine="0"/>
              <w:jc w:val="left"/>
              <w:textAlignment w:val="auto"/>
              <w:rPr>
                <w:rFonts w:hint="eastAsia" w:ascii="宋体" w:hAnsi="宋体" w:eastAsia="宋体" w:cs="宋体"/>
                <w:sz w:val="21"/>
                <w:szCs w:val="21"/>
              </w:rPr>
            </w:pPr>
            <w:r>
              <w:rPr>
                <w:rFonts w:hint="eastAsia" w:ascii="宋体" w:hAnsi="宋体" w:eastAsia="宋体" w:cs="宋体"/>
                <w:b w:val="0"/>
                <w:bCs w:val="0"/>
                <w:i w:val="0"/>
                <w:iCs w:val="0"/>
                <w:color w:val="auto"/>
                <w:kern w:val="2"/>
                <w:sz w:val="21"/>
                <w:szCs w:val="21"/>
                <w:u w:val="none"/>
              </w:rPr>
              <w:t xml:space="preserve">　　贷：合同资产          </w:t>
            </w:r>
            <w:r>
              <w:rPr>
                <w:rFonts w:hint="eastAsia" w:ascii="宋体" w:hAnsi="宋体" w:cs="宋体"/>
                <w:b w:val="0"/>
                <w:bCs w:val="0"/>
                <w:i w:val="0"/>
                <w:iCs w:val="0"/>
                <w:color w:val="auto"/>
                <w:kern w:val="2"/>
                <w:sz w:val="21"/>
                <w:szCs w:val="21"/>
                <w:u w:val="none"/>
                <w:lang w:val="en-US" w:eastAsia="zh-CN"/>
              </w:rPr>
              <w:t xml:space="preserve"> </w:t>
            </w:r>
            <w:r>
              <w:rPr>
                <w:rFonts w:hint="eastAsia" w:ascii="宋体" w:hAnsi="宋体" w:eastAsia="宋体" w:cs="宋体"/>
                <w:b w:val="0"/>
                <w:bCs w:val="0"/>
                <w:i w:val="0"/>
                <w:iCs w:val="0"/>
                <w:color w:val="auto"/>
                <w:kern w:val="2"/>
                <w:sz w:val="21"/>
                <w:szCs w:val="21"/>
                <w:u w:val="none"/>
              </w:rPr>
              <w:t xml:space="preserve">400 </w:t>
            </w:r>
          </w:p>
          <w:p w14:paraId="2FBBCB5C">
            <w:pPr>
              <w:pStyle w:val="5"/>
              <w:keepNext w:val="0"/>
              <w:keepLines w:val="0"/>
              <w:pageBreakBefore w:val="0"/>
              <w:widowControl/>
              <w:suppressLineNumbers w:val="0"/>
              <w:kinsoku/>
              <w:wordWrap/>
              <w:overflowPunct/>
              <w:topLinePunct w:val="0"/>
              <w:bidi w:val="0"/>
              <w:snapToGrid/>
              <w:spacing w:before="0" w:beforeAutospacing="0" w:after="0" w:afterAutospacing="0" w:line="288" w:lineRule="auto"/>
              <w:ind w:left="0" w:firstLine="0"/>
              <w:jc w:val="left"/>
              <w:textAlignment w:val="auto"/>
              <w:rPr>
                <w:rFonts w:hint="eastAsia" w:ascii="宋体" w:hAnsi="宋体" w:eastAsia="宋体" w:cs="宋体"/>
                <w:sz w:val="21"/>
                <w:szCs w:val="21"/>
              </w:rPr>
            </w:pPr>
            <w:r>
              <w:rPr>
                <w:rFonts w:hint="eastAsia" w:ascii="宋体" w:hAnsi="宋体" w:eastAsia="宋体" w:cs="宋体"/>
                <w:b w:val="0"/>
                <w:bCs w:val="0"/>
                <w:i w:val="0"/>
                <w:iCs w:val="0"/>
                <w:color w:val="auto"/>
                <w:kern w:val="2"/>
                <w:sz w:val="21"/>
                <w:szCs w:val="21"/>
                <w:u w:val="none"/>
              </w:rPr>
              <w:t xml:space="preserve">　      主营业务收入　    </w:t>
            </w:r>
            <w:r>
              <w:rPr>
                <w:rFonts w:hint="eastAsia" w:ascii="宋体" w:hAnsi="宋体" w:cs="宋体"/>
                <w:b w:val="0"/>
                <w:bCs w:val="0"/>
                <w:i w:val="0"/>
                <w:iCs w:val="0"/>
                <w:color w:val="auto"/>
                <w:kern w:val="2"/>
                <w:sz w:val="21"/>
                <w:szCs w:val="21"/>
                <w:u w:val="none"/>
                <w:lang w:val="en-US" w:eastAsia="zh-CN"/>
              </w:rPr>
              <w:t xml:space="preserve"> </w:t>
            </w:r>
            <w:r>
              <w:rPr>
                <w:rFonts w:hint="eastAsia" w:ascii="宋体" w:hAnsi="宋体" w:eastAsia="宋体" w:cs="宋体"/>
                <w:b w:val="0"/>
                <w:bCs w:val="0"/>
                <w:i w:val="0"/>
                <w:iCs w:val="0"/>
                <w:color w:val="auto"/>
                <w:kern w:val="2"/>
                <w:sz w:val="21"/>
                <w:szCs w:val="21"/>
                <w:u w:val="none"/>
              </w:rPr>
              <w:t xml:space="preserve">1 600   </w:t>
            </w:r>
          </w:p>
        </w:tc>
      </w:tr>
    </w:tbl>
    <w:p w14:paraId="2D8AD756">
      <w:pPr>
        <w:keepNext w:val="0"/>
        <w:keepLines w:val="0"/>
        <w:pageBreakBefore w:val="0"/>
        <w:widowControl w:val="0"/>
        <w:kinsoku/>
        <w:wordWrap/>
        <w:overflowPunct/>
        <w:topLinePunct w:val="0"/>
        <w:autoSpaceDE w:val="0"/>
        <w:autoSpaceDN w:val="0"/>
        <w:bidi w:val="0"/>
        <w:adjustRightInd w:val="0"/>
        <w:snapToGrid/>
        <w:spacing w:line="360" w:lineRule="auto"/>
        <w:ind w:left="0" w:firstLine="0"/>
        <w:textAlignment w:val="auto"/>
        <w:outlineLvl w:val="9"/>
        <w:rPr>
          <w:rFonts w:hint="eastAsia" w:ascii="宋体" w:hAnsi="宋体" w:eastAsia="宋体" w:cs="宋体"/>
          <w:color w:val="FF0000"/>
          <w:sz w:val="21"/>
          <w:szCs w:val="21"/>
          <w:lang w:eastAsia="zh-CN"/>
        </w:rPr>
      </w:pPr>
    </w:p>
    <w:p w14:paraId="7165C843">
      <w:pPr>
        <w:keepNext w:val="0"/>
        <w:keepLines w:val="0"/>
        <w:pageBreakBefore w:val="0"/>
        <w:widowControl w:val="0"/>
        <w:kinsoku/>
        <w:wordWrap/>
        <w:overflowPunct/>
        <w:topLinePunct w:val="0"/>
        <w:autoSpaceDE w:val="0"/>
        <w:autoSpaceDN w:val="0"/>
        <w:bidi w:val="0"/>
        <w:adjustRightInd w:val="0"/>
        <w:snapToGrid/>
        <w:spacing w:line="360" w:lineRule="auto"/>
        <w:ind w:left="0" w:firstLine="0"/>
        <w:textAlignment w:val="auto"/>
        <w:outlineLvl w:val="9"/>
        <w:rPr>
          <w:rFonts w:hint="default" w:ascii="宋体" w:hAnsi="宋体" w:eastAsia="宋体" w:cs="宋体"/>
          <w:color w:val="FF0000"/>
          <w:sz w:val="21"/>
          <w:szCs w:val="21"/>
          <w:lang w:val="en-US" w:eastAsia="zh-CN"/>
        </w:rPr>
      </w:pPr>
      <w:r>
        <w:rPr>
          <w:rFonts w:hint="eastAsia" w:ascii="宋体" w:hAnsi="宋体" w:eastAsia="宋体" w:cs="宋体"/>
          <w:color w:val="FF0000"/>
          <w:sz w:val="21"/>
          <w:szCs w:val="21"/>
          <w:lang w:eastAsia="zh-CN"/>
        </w:rPr>
        <w:t>【考点】</w:t>
      </w:r>
      <w:r>
        <w:rPr>
          <w:rFonts w:hint="eastAsia" w:ascii="宋体" w:hAnsi="宋体" w:eastAsia="宋体" w:cs="宋体"/>
          <w:color w:val="FF0000"/>
          <w:sz w:val="21"/>
          <w:szCs w:val="21"/>
        </w:rPr>
        <w:t>（</w:t>
      </w:r>
      <w:r>
        <w:rPr>
          <w:rFonts w:hint="eastAsia" w:ascii="宋体" w:hAnsi="宋体" w:eastAsia="宋体" w:cs="宋体"/>
          <w:color w:val="FF0000"/>
          <w:sz w:val="21"/>
          <w:szCs w:val="21"/>
          <w:lang w:eastAsia="zh-CN"/>
        </w:rPr>
        <w:t>第五步</w:t>
      </w:r>
      <w:r>
        <w:rPr>
          <w:rFonts w:hint="eastAsia" w:ascii="宋体" w:hAnsi="宋体" w:eastAsia="宋体" w:cs="宋体"/>
          <w:color w:val="FF0000"/>
          <w:sz w:val="21"/>
          <w:szCs w:val="21"/>
        </w:rPr>
        <w:t>）</w:t>
      </w:r>
      <w:r>
        <w:rPr>
          <w:rFonts w:hint="eastAsia" w:ascii="宋体" w:hAnsi="宋体" w:eastAsia="宋体" w:cs="宋体"/>
          <w:color w:val="FF0000"/>
          <w:sz w:val="21"/>
          <w:szCs w:val="21"/>
          <w:lang w:eastAsia="zh-CN"/>
        </w:rPr>
        <w:t>履行每一单项履约义务时确认收入</w:t>
      </w:r>
      <w:r>
        <w:rPr>
          <w:rFonts w:hint="eastAsia" w:ascii="宋体" w:hAnsi="宋体" w:cs="宋体"/>
          <w:color w:val="FF0000"/>
          <w:sz w:val="21"/>
          <w:szCs w:val="21"/>
          <w:lang w:val="en-US" w:eastAsia="zh-CN"/>
        </w:rPr>
        <w:t xml:space="preserve"> </w:t>
      </w:r>
    </w:p>
    <w:tbl>
      <w:tblPr>
        <w:tblStyle w:val="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3666"/>
        <w:gridCol w:w="6532"/>
      </w:tblGrid>
      <w:tr w14:paraId="18460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1797" w:type="pct"/>
            <w:vMerge w:val="restart"/>
            <w:shd w:val="clear" w:color="auto" w:fill="auto"/>
            <w:tcMar>
              <w:top w:w="69" w:type="dxa"/>
              <w:left w:w="139" w:type="dxa"/>
              <w:bottom w:w="69" w:type="dxa"/>
              <w:right w:w="139" w:type="dxa"/>
            </w:tcMar>
            <w:vAlign w:val="center"/>
          </w:tcPr>
          <w:p w14:paraId="638B87A2">
            <w:pPr>
              <w:pStyle w:val="5"/>
              <w:keepNext w:val="0"/>
              <w:keepLines w:val="0"/>
              <w:pageBreakBefore w:val="0"/>
              <w:widowControl/>
              <w:suppressLineNumbers w:val="0"/>
              <w:kinsoku/>
              <w:wordWrap/>
              <w:overflowPunct/>
              <w:topLinePunct w:val="0"/>
              <w:bidi w:val="0"/>
              <w:snapToGrid/>
              <w:spacing w:before="0" w:beforeAutospacing="0" w:after="0" w:afterAutospacing="0" w:line="288" w:lineRule="auto"/>
              <w:ind w:left="0"/>
              <w:jc w:val="left"/>
              <w:textAlignment w:val="auto"/>
              <w:rPr>
                <w:rFonts w:hint="eastAsia" w:ascii="宋体" w:hAnsi="宋体" w:eastAsia="宋体" w:cs="宋体"/>
                <w:sz w:val="21"/>
                <w:szCs w:val="21"/>
              </w:rPr>
            </w:pPr>
            <w:r>
              <w:rPr>
                <w:rFonts w:hint="eastAsia" w:ascii="宋体" w:hAnsi="宋体" w:eastAsia="宋体" w:cs="宋体"/>
                <w:b w:val="0"/>
                <w:bCs w:val="0"/>
                <w:i w:val="0"/>
                <w:iCs w:val="0"/>
                <w:color w:val="auto"/>
                <w:kern w:val="2"/>
                <w:sz w:val="21"/>
                <w:szCs w:val="21"/>
                <w:u w:val="none"/>
              </w:rPr>
              <w:t>企业应当在履行了合同中的</w:t>
            </w:r>
            <w:r>
              <w:rPr>
                <w:rFonts w:hint="eastAsia" w:ascii="宋体" w:hAnsi="宋体" w:eastAsia="宋体" w:cs="宋体"/>
                <w:b w:val="0"/>
                <w:bCs w:val="0"/>
                <w:i w:val="0"/>
                <w:iCs w:val="0"/>
                <w:color w:val="FF0000"/>
                <w:kern w:val="2"/>
                <w:sz w:val="21"/>
                <w:szCs w:val="21"/>
                <w:u w:val="none"/>
              </w:rPr>
              <w:t>履约义务</w:t>
            </w:r>
            <w:r>
              <w:rPr>
                <w:rFonts w:hint="eastAsia" w:ascii="宋体" w:hAnsi="宋体" w:eastAsia="宋体" w:cs="宋体"/>
                <w:b w:val="0"/>
                <w:bCs w:val="0"/>
                <w:i w:val="0"/>
                <w:iCs w:val="0"/>
                <w:color w:val="auto"/>
                <w:kern w:val="2"/>
                <w:sz w:val="21"/>
                <w:szCs w:val="21"/>
                <w:u w:val="none"/>
              </w:rPr>
              <w:t>，即</w:t>
            </w:r>
            <w:r>
              <w:rPr>
                <w:rFonts w:hint="eastAsia" w:ascii="宋体" w:hAnsi="宋体" w:eastAsia="宋体" w:cs="宋体"/>
                <w:b w:val="0"/>
                <w:bCs w:val="0"/>
                <w:i w:val="0"/>
                <w:iCs w:val="0"/>
                <w:color w:val="FF0000"/>
                <w:kern w:val="2"/>
                <w:sz w:val="21"/>
                <w:szCs w:val="21"/>
                <w:u w:val="none"/>
              </w:rPr>
              <w:t>客户取得相关商品控制权时确认收入</w:t>
            </w:r>
            <w:r>
              <w:rPr>
                <w:rFonts w:hint="eastAsia" w:ascii="宋体" w:hAnsi="宋体" w:eastAsia="宋体" w:cs="宋体"/>
                <w:b w:val="0"/>
                <w:bCs w:val="0"/>
                <w:i w:val="0"/>
                <w:iCs w:val="0"/>
                <w:color w:val="auto"/>
                <w:kern w:val="2"/>
                <w:sz w:val="21"/>
                <w:szCs w:val="21"/>
                <w:u w:val="none"/>
              </w:rPr>
              <w:t>。</w:t>
            </w:r>
          </w:p>
        </w:tc>
        <w:tc>
          <w:tcPr>
            <w:tcW w:w="3202" w:type="pct"/>
            <w:shd w:val="clear" w:color="auto" w:fill="auto"/>
            <w:tcMar>
              <w:top w:w="69" w:type="dxa"/>
              <w:left w:w="139" w:type="dxa"/>
              <w:bottom w:w="69" w:type="dxa"/>
              <w:right w:w="139" w:type="dxa"/>
            </w:tcMar>
            <w:vAlign w:val="center"/>
          </w:tcPr>
          <w:p w14:paraId="38FCBA69">
            <w:pPr>
              <w:pStyle w:val="5"/>
              <w:keepNext w:val="0"/>
              <w:keepLines w:val="0"/>
              <w:pageBreakBefore w:val="0"/>
              <w:widowControl/>
              <w:suppressLineNumbers w:val="0"/>
              <w:kinsoku/>
              <w:wordWrap/>
              <w:overflowPunct/>
              <w:topLinePunct w:val="0"/>
              <w:bidi w:val="0"/>
              <w:snapToGrid/>
              <w:spacing w:before="0" w:beforeAutospacing="0" w:after="0" w:afterAutospacing="0" w:line="288" w:lineRule="auto"/>
              <w:ind w:left="0"/>
              <w:jc w:val="left"/>
              <w:textAlignment w:val="auto"/>
              <w:rPr>
                <w:rFonts w:hint="eastAsia" w:ascii="宋体" w:hAnsi="宋体" w:eastAsia="宋体" w:cs="宋体"/>
                <w:sz w:val="21"/>
                <w:szCs w:val="21"/>
              </w:rPr>
            </w:pPr>
            <w:r>
              <w:rPr>
                <w:rFonts w:hint="eastAsia" w:ascii="宋体" w:hAnsi="宋体" w:eastAsia="宋体" w:cs="宋体"/>
                <w:b w:val="0"/>
                <w:bCs w:val="0"/>
                <w:i w:val="0"/>
                <w:iCs w:val="0"/>
                <w:color w:val="auto"/>
                <w:kern w:val="2"/>
                <w:sz w:val="21"/>
                <w:szCs w:val="21"/>
                <w:u w:val="none"/>
              </w:rPr>
              <w:t>1.首先判断是否满足在</w:t>
            </w:r>
            <w:r>
              <w:rPr>
                <w:rFonts w:hint="eastAsia" w:ascii="宋体" w:hAnsi="宋体" w:eastAsia="宋体" w:cs="宋体"/>
                <w:b w:val="0"/>
                <w:bCs w:val="0"/>
                <w:i w:val="0"/>
                <w:iCs w:val="0"/>
                <w:color w:val="FF0000"/>
                <w:kern w:val="2"/>
                <w:sz w:val="21"/>
                <w:szCs w:val="21"/>
                <w:u w:val="none"/>
              </w:rPr>
              <w:t>某一时段内</w:t>
            </w:r>
            <w:r>
              <w:rPr>
                <w:rFonts w:hint="eastAsia" w:ascii="宋体" w:hAnsi="宋体" w:eastAsia="宋体" w:cs="宋体"/>
                <w:b w:val="0"/>
                <w:bCs w:val="0"/>
                <w:i w:val="0"/>
                <w:iCs w:val="0"/>
                <w:color w:val="auto"/>
                <w:kern w:val="2"/>
                <w:sz w:val="21"/>
                <w:szCs w:val="21"/>
                <w:u w:val="none"/>
              </w:rPr>
              <w:t>履行的条件，确定履约进度；</w:t>
            </w:r>
          </w:p>
        </w:tc>
      </w:tr>
      <w:tr w14:paraId="4C8B9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797" w:type="pct"/>
            <w:vMerge w:val="continue"/>
            <w:shd w:val="clear" w:color="auto" w:fill="auto"/>
            <w:tcMar>
              <w:top w:w="69" w:type="dxa"/>
              <w:left w:w="139" w:type="dxa"/>
              <w:bottom w:w="69" w:type="dxa"/>
              <w:right w:w="139" w:type="dxa"/>
            </w:tcMar>
            <w:vAlign w:val="center"/>
          </w:tcPr>
          <w:p w14:paraId="0BE61FD4">
            <w:pPr>
              <w:keepNext w:val="0"/>
              <w:keepLines w:val="0"/>
              <w:pageBreakBefore w:val="0"/>
              <w:kinsoku/>
              <w:wordWrap/>
              <w:overflowPunct/>
              <w:topLinePunct w:val="0"/>
              <w:bidi w:val="0"/>
              <w:snapToGrid/>
              <w:spacing w:before="0" w:beforeLines="0" w:after="0" w:afterLines="0"/>
              <w:textAlignment w:val="auto"/>
              <w:rPr>
                <w:rFonts w:hint="eastAsia" w:ascii="宋体" w:hAnsi="宋体" w:eastAsia="宋体" w:cs="宋体"/>
                <w:i w:val="0"/>
                <w:iCs w:val="0"/>
                <w:color w:val="auto"/>
                <w:sz w:val="21"/>
                <w:szCs w:val="21"/>
                <w:u w:val="none"/>
              </w:rPr>
            </w:pPr>
          </w:p>
        </w:tc>
        <w:tc>
          <w:tcPr>
            <w:tcW w:w="3202" w:type="pct"/>
            <w:shd w:val="clear" w:color="auto" w:fill="auto"/>
            <w:tcMar>
              <w:top w:w="69" w:type="dxa"/>
              <w:left w:w="139" w:type="dxa"/>
              <w:bottom w:w="69" w:type="dxa"/>
              <w:right w:w="139" w:type="dxa"/>
            </w:tcMar>
            <w:vAlign w:val="center"/>
          </w:tcPr>
          <w:p w14:paraId="18242A21">
            <w:pPr>
              <w:pStyle w:val="5"/>
              <w:keepNext w:val="0"/>
              <w:keepLines w:val="0"/>
              <w:pageBreakBefore w:val="0"/>
              <w:widowControl/>
              <w:suppressLineNumbers w:val="0"/>
              <w:kinsoku/>
              <w:wordWrap/>
              <w:overflowPunct/>
              <w:topLinePunct w:val="0"/>
              <w:bidi w:val="0"/>
              <w:snapToGrid/>
              <w:spacing w:before="0" w:beforeAutospacing="0" w:after="0" w:afterAutospacing="0" w:line="288" w:lineRule="auto"/>
              <w:ind w:left="0"/>
              <w:jc w:val="left"/>
              <w:textAlignment w:val="auto"/>
              <w:rPr>
                <w:rFonts w:hint="eastAsia" w:ascii="宋体" w:hAnsi="宋体" w:eastAsia="宋体" w:cs="宋体"/>
                <w:sz w:val="21"/>
                <w:szCs w:val="21"/>
              </w:rPr>
            </w:pPr>
            <w:r>
              <w:rPr>
                <w:rFonts w:hint="eastAsia" w:ascii="宋体" w:hAnsi="宋体" w:eastAsia="宋体" w:cs="宋体"/>
                <w:b w:val="0"/>
                <w:bCs w:val="0"/>
                <w:i w:val="0"/>
                <w:iCs w:val="0"/>
                <w:color w:val="auto"/>
                <w:kern w:val="2"/>
                <w:sz w:val="21"/>
                <w:szCs w:val="21"/>
                <w:u w:val="none"/>
              </w:rPr>
              <w:t>2.如不满足时段履约义务，则属于在</w:t>
            </w:r>
            <w:r>
              <w:rPr>
                <w:rFonts w:hint="eastAsia" w:ascii="宋体" w:hAnsi="宋体" w:eastAsia="宋体" w:cs="宋体"/>
                <w:b w:val="0"/>
                <w:bCs w:val="0"/>
                <w:i w:val="0"/>
                <w:iCs w:val="0"/>
                <w:color w:val="FF0000"/>
                <w:kern w:val="2"/>
                <w:sz w:val="21"/>
                <w:szCs w:val="21"/>
                <w:u w:val="none"/>
              </w:rPr>
              <w:t>某一时点履行</w:t>
            </w:r>
            <w:r>
              <w:rPr>
                <w:rFonts w:hint="eastAsia" w:ascii="宋体" w:hAnsi="宋体" w:eastAsia="宋体" w:cs="宋体"/>
                <w:b w:val="0"/>
                <w:bCs w:val="0"/>
                <w:i w:val="0"/>
                <w:iCs w:val="0"/>
                <w:color w:val="auto"/>
                <w:kern w:val="2"/>
                <w:sz w:val="21"/>
                <w:szCs w:val="21"/>
                <w:u w:val="none"/>
              </w:rPr>
              <w:t>的履约义务。</w:t>
            </w:r>
          </w:p>
        </w:tc>
      </w:tr>
    </w:tbl>
    <w:p w14:paraId="684BC9D6">
      <w:pPr>
        <w:keepNext w:val="0"/>
        <w:keepLines w:val="0"/>
        <w:pageBreakBefore w:val="0"/>
        <w:widowControl w:val="0"/>
        <w:kinsoku/>
        <w:wordWrap/>
        <w:overflowPunct/>
        <w:topLinePunct w:val="0"/>
        <w:autoSpaceDE w:val="0"/>
        <w:autoSpaceDN w:val="0"/>
        <w:bidi w:val="0"/>
        <w:adjustRightInd w:val="0"/>
        <w:snapToGrid/>
        <w:spacing w:line="360" w:lineRule="auto"/>
        <w:ind w:left="0" w:firstLine="0"/>
        <w:textAlignment w:val="auto"/>
        <w:outlineLvl w:val="9"/>
        <w:rPr>
          <w:rFonts w:hint="eastAsia" w:ascii="宋体" w:hAnsi="宋体" w:eastAsia="宋体" w:cs="宋体"/>
          <w:color w:val="FF0000"/>
          <w:sz w:val="21"/>
          <w:szCs w:val="21"/>
          <w:lang w:eastAsia="zh-CN"/>
        </w:rPr>
      </w:pPr>
    </w:p>
    <w:p w14:paraId="46FEA1D6">
      <w:pPr>
        <w:keepNext w:val="0"/>
        <w:keepLines w:val="0"/>
        <w:pageBreakBefore w:val="0"/>
        <w:widowControl w:val="0"/>
        <w:kinsoku/>
        <w:wordWrap/>
        <w:overflowPunct/>
        <w:topLinePunct w:val="0"/>
        <w:autoSpaceDE w:val="0"/>
        <w:autoSpaceDN w:val="0"/>
        <w:bidi w:val="0"/>
        <w:adjustRightInd w:val="0"/>
        <w:snapToGrid/>
        <w:spacing w:line="360" w:lineRule="auto"/>
        <w:ind w:left="0" w:firstLine="0"/>
        <w:textAlignment w:val="auto"/>
        <w:outlineLvl w:val="9"/>
        <w:rPr>
          <w:rFonts w:hint="eastAsia" w:ascii="宋体" w:hAnsi="宋体" w:eastAsia="宋体" w:cs="宋体"/>
          <w:color w:val="FF0000"/>
          <w:sz w:val="21"/>
          <w:szCs w:val="21"/>
          <w:lang w:eastAsia="zh-CN"/>
        </w:rPr>
      </w:pPr>
      <w:r>
        <w:rPr>
          <w:rFonts w:hint="eastAsia" w:ascii="宋体" w:hAnsi="宋体" w:eastAsia="宋体" w:cs="宋体"/>
          <w:color w:val="FF0000"/>
          <w:sz w:val="21"/>
          <w:szCs w:val="21"/>
        </w:rPr>
        <w:t>（</w:t>
      </w:r>
      <w:r>
        <w:rPr>
          <w:rFonts w:hint="eastAsia" w:ascii="宋体" w:hAnsi="宋体" w:eastAsia="宋体" w:cs="宋体"/>
          <w:color w:val="FF0000"/>
          <w:sz w:val="21"/>
          <w:szCs w:val="21"/>
          <w:lang w:eastAsia="zh-CN"/>
        </w:rPr>
        <w:t>一</w:t>
      </w:r>
      <w:r>
        <w:rPr>
          <w:rFonts w:hint="eastAsia" w:ascii="宋体" w:hAnsi="宋体" w:eastAsia="宋体" w:cs="宋体"/>
          <w:color w:val="FF0000"/>
          <w:sz w:val="21"/>
          <w:szCs w:val="21"/>
        </w:rPr>
        <w:t>）</w:t>
      </w:r>
      <w:r>
        <w:rPr>
          <w:rFonts w:hint="eastAsia" w:ascii="宋体" w:hAnsi="宋体" w:eastAsia="宋体" w:cs="宋体"/>
          <w:color w:val="FF0000"/>
          <w:sz w:val="21"/>
          <w:szCs w:val="21"/>
          <w:lang w:eastAsia="zh-CN"/>
        </w:rPr>
        <w:t>★★★在某一时段内履行的履约义务</w:t>
      </w:r>
    </w:p>
    <w:tbl>
      <w:tblPr>
        <w:tblStyle w:val="6"/>
        <w:tblW w:w="498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2690"/>
        <w:gridCol w:w="7473"/>
      </w:tblGrid>
      <w:tr w14:paraId="0903E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59" w:hRule="atLeast"/>
        </w:trPr>
        <w:tc>
          <w:tcPr>
            <w:tcW w:w="1323" w:type="pct"/>
            <w:vMerge w:val="restart"/>
            <w:shd w:val="clear" w:color="auto" w:fill="auto"/>
            <w:tcMar>
              <w:top w:w="69" w:type="dxa"/>
              <w:left w:w="139" w:type="dxa"/>
              <w:bottom w:w="69" w:type="dxa"/>
              <w:right w:w="139" w:type="dxa"/>
            </w:tcMar>
            <w:vAlign w:val="center"/>
          </w:tcPr>
          <w:p w14:paraId="60D1E40A">
            <w:pPr>
              <w:pStyle w:val="5"/>
              <w:keepNext w:val="0"/>
              <w:keepLines w:val="0"/>
              <w:pageBreakBefore w:val="0"/>
              <w:widowControl/>
              <w:suppressLineNumbers w:val="0"/>
              <w:kinsoku/>
              <w:wordWrap/>
              <w:overflowPunct/>
              <w:topLinePunct w:val="0"/>
              <w:bidi w:val="0"/>
              <w:snapToGrid/>
              <w:spacing w:before="0" w:beforeAutospacing="0" w:after="0" w:afterAutospacing="0" w:line="288" w:lineRule="auto"/>
              <w:ind w:left="0"/>
              <w:jc w:val="left"/>
              <w:textAlignment w:val="auto"/>
              <w:rPr>
                <w:rFonts w:hint="eastAsia" w:ascii="宋体" w:hAnsi="宋体" w:eastAsia="宋体" w:cs="宋体"/>
                <w:sz w:val="21"/>
                <w:szCs w:val="21"/>
              </w:rPr>
            </w:pPr>
            <w:r>
              <w:rPr>
                <w:rFonts w:hint="eastAsia" w:ascii="宋体" w:hAnsi="宋体" w:eastAsia="宋体" w:cs="宋体"/>
                <w:b w:val="0"/>
                <w:bCs w:val="0"/>
                <w:i w:val="0"/>
                <w:iCs w:val="0"/>
                <w:color w:val="auto"/>
                <w:kern w:val="2"/>
                <w:sz w:val="21"/>
                <w:szCs w:val="21"/>
                <w:u w:val="none"/>
              </w:rPr>
              <w:t xml:space="preserve">1.满足下列条件之一的，属于在某一时段内履 </w:t>
            </w:r>
          </w:p>
          <w:p w14:paraId="29520CF1">
            <w:pPr>
              <w:pStyle w:val="5"/>
              <w:keepNext w:val="0"/>
              <w:keepLines w:val="0"/>
              <w:pageBreakBefore w:val="0"/>
              <w:widowControl/>
              <w:suppressLineNumbers w:val="0"/>
              <w:kinsoku/>
              <w:wordWrap/>
              <w:overflowPunct/>
              <w:topLinePunct w:val="0"/>
              <w:bidi w:val="0"/>
              <w:snapToGrid/>
              <w:spacing w:before="0" w:beforeAutospacing="0" w:after="0" w:afterAutospacing="0" w:line="288" w:lineRule="auto"/>
              <w:ind w:left="0"/>
              <w:jc w:val="left"/>
              <w:textAlignment w:val="auto"/>
              <w:rPr>
                <w:rFonts w:hint="eastAsia" w:ascii="宋体" w:hAnsi="宋体" w:eastAsia="宋体" w:cs="宋体"/>
                <w:sz w:val="21"/>
                <w:szCs w:val="21"/>
              </w:rPr>
            </w:pPr>
            <w:r>
              <w:rPr>
                <w:rFonts w:hint="eastAsia" w:ascii="宋体" w:hAnsi="宋体" w:eastAsia="宋体" w:cs="宋体"/>
                <w:b w:val="0"/>
                <w:bCs w:val="0"/>
                <w:i w:val="0"/>
                <w:iCs w:val="0"/>
                <w:color w:val="auto"/>
                <w:kern w:val="2"/>
                <w:sz w:val="21"/>
                <w:szCs w:val="21"/>
                <w:u w:val="none"/>
              </w:rPr>
              <w:t>行的履约义务：</w:t>
            </w:r>
          </w:p>
        </w:tc>
        <w:tc>
          <w:tcPr>
            <w:tcW w:w="3676" w:type="pct"/>
            <w:shd w:val="clear" w:color="auto" w:fill="auto"/>
            <w:tcMar>
              <w:top w:w="69" w:type="dxa"/>
              <w:left w:w="139" w:type="dxa"/>
              <w:bottom w:w="69" w:type="dxa"/>
              <w:right w:w="139" w:type="dxa"/>
            </w:tcMar>
            <w:vAlign w:val="center"/>
          </w:tcPr>
          <w:p w14:paraId="6A49BD05">
            <w:pPr>
              <w:pStyle w:val="5"/>
              <w:keepNext w:val="0"/>
              <w:keepLines w:val="0"/>
              <w:pageBreakBefore w:val="0"/>
              <w:widowControl/>
              <w:suppressLineNumbers w:val="0"/>
              <w:kinsoku/>
              <w:wordWrap/>
              <w:overflowPunct/>
              <w:topLinePunct w:val="0"/>
              <w:bidi w:val="0"/>
              <w:snapToGrid/>
              <w:spacing w:before="0" w:beforeAutospacing="0" w:after="0" w:afterAutospacing="0" w:line="288" w:lineRule="auto"/>
              <w:ind w:left="0"/>
              <w:jc w:val="left"/>
              <w:textAlignment w:val="auto"/>
              <w:rPr>
                <w:rFonts w:hint="eastAsia" w:ascii="宋体" w:hAnsi="宋体" w:eastAsia="宋体" w:cs="宋体"/>
                <w:sz w:val="21"/>
                <w:szCs w:val="21"/>
              </w:rPr>
            </w:pPr>
            <w:r>
              <w:rPr>
                <w:rFonts w:hint="eastAsia" w:ascii="宋体" w:hAnsi="宋体" w:eastAsia="宋体" w:cs="宋体"/>
                <w:b w:val="0"/>
                <w:bCs w:val="0"/>
                <w:i w:val="0"/>
                <w:iCs w:val="0"/>
                <w:color w:val="auto"/>
                <w:kern w:val="2"/>
                <w:sz w:val="21"/>
                <w:szCs w:val="21"/>
                <w:u w:val="none"/>
              </w:rPr>
              <w:t>（1）客户在企业</w:t>
            </w:r>
            <w:r>
              <w:rPr>
                <w:rFonts w:hint="eastAsia" w:ascii="宋体" w:hAnsi="宋体" w:eastAsia="宋体" w:cs="宋体"/>
                <w:b w:val="0"/>
                <w:bCs w:val="0"/>
                <w:i w:val="0"/>
                <w:iCs w:val="0"/>
                <w:color w:val="FF0000"/>
                <w:kern w:val="2"/>
                <w:sz w:val="21"/>
                <w:szCs w:val="21"/>
                <w:u w:val="none"/>
              </w:rPr>
              <w:t>履约的同时即取得并消耗企业履约所带来的经济利益</w:t>
            </w:r>
            <w:r>
              <w:rPr>
                <w:rFonts w:hint="eastAsia" w:ascii="宋体" w:hAnsi="宋体" w:eastAsia="宋体" w:cs="宋体"/>
                <w:b w:val="0"/>
                <w:bCs w:val="0"/>
                <w:i w:val="0"/>
                <w:iCs w:val="0"/>
                <w:color w:val="auto"/>
                <w:kern w:val="2"/>
                <w:sz w:val="21"/>
                <w:szCs w:val="21"/>
                <w:u w:val="none"/>
              </w:rPr>
              <w:t>。运了一段距离。</w:t>
            </w:r>
          </w:p>
        </w:tc>
      </w:tr>
      <w:tr w14:paraId="4C99A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7" w:hRule="atLeast"/>
        </w:trPr>
        <w:tc>
          <w:tcPr>
            <w:tcW w:w="1323" w:type="pct"/>
            <w:vMerge w:val="continue"/>
            <w:shd w:val="clear" w:color="auto" w:fill="auto"/>
            <w:tcMar>
              <w:top w:w="69" w:type="dxa"/>
              <w:left w:w="139" w:type="dxa"/>
              <w:bottom w:w="69" w:type="dxa"/>
              <w:right w:w="139" w:type="dxa"/>
            </w:tcMar>
            <w:vAlign w:val="center"/>
          </w:tcPr>
          <w:p w14:paraId="5E6F3277">
            <w:pPr>
              <w:keepNext w:val="0"/>
              <w:keepLines w:val="0"/>
              <w:pageBreakBefore w:val="0"/>
              <w:kinsoku/>
              <w:wordWrap/>
              <w:overflowPunct/>
              <w:topLinePunct w:val="0"/>
              <w:bidi w:val="0"/>
              <w:snapToGrid/>
              <w:spacing w:before="0" w:beforeLines="0" w:after="0" w:afterLines="0"/>
              <w:textAlignment w:val="auto"/>
              <w:rPr>
                <w:rFonts w:hint="eastAsia" w:ascii="宋体" w:hAnsi="宋体" w:eastAsia="宋体" w:cs="宋体"/>
                <w:i w:val="0"/>
                <w:iCs w:val="0"/>
                <w:color w:val="auto"/>
                <w:sz w:val="21"/>
                <w:szCs w:val="21"/>
                <w:u w:val="none"/>
              </w:rPr>
            </w:pPr>
          </w:p>
        </w:tc>
        <w:tc>
          <w:tcPr>
            <w:tcW w:w="3676" w:type="pct"/>
            <w:shd w:val="clear" w:color="auto" w:fill="auto"/>
            <w:tcMar>
              <w:top w:w="69" w:type="dxa"/>
              <w:left w:w="139" w:type="dxa"/>
              <w:bottom w:w="69" w:type="dxa"/>
              <w:right w:w="139" w:type="dxa"/>
            </w:tcMar>
            <w:vAlign w:val="center"/>
          </w:tcPr>
          <w:p w14:paraId="6B068655">
            <w:pPr>
              <w:pStyle w:val="5"/>
              <w:keepNext w:val="0"/>
              <w:keepLines w:val="0"/>
              <w:pageBreakBefore w:val="0"/>
              <w:widowControl/>
              <w:suppressLineNumbers w:val="0"/>
              <w:kinsoku/>
              <w:wordWrap/>
              <w:overflowPunct/>
              <w:topLinePunct w:val="0"/>
              <w:bidi w:val="0"/>
              <w:snapToGrid/>
              <w:spacing w:before="0" w:beforeAutospacing="0" w:after="0" w:afterAutospacing="0" w:line="288" w:lineRule="auto"/>
              <w:ind w:left="0"/>
              <w:jc w:val="left"/>
              <w:textAlignment w:val="auto"/>
              <w:rPr>
                <w:rFonts w:hint="eastAsia" w:ascii="宋体" w:hAnsi="宋体" w:eastAsia="宋体" w:cs="宋体"/>
                <w:sz w:val="21"/>
                <w:szCs w:val="21"/>
              </w:rPr>
            </w:pPr>
            <w:r>
              <w:rPr>
                <w:rFonts w:hint="eastAsia" w:ascii="宋体" w:hAnsi="宋体" w:eastAsia="宋体" w:cs="宋体"/>
                <w:b w:val="0"/>
                <w:bCs w:val="0"/>
                <w:i w:val="0"/>
                <w:iCs w:val="0"/>
                <w:color w:val="auto"/>
                <w:kern w:val="2"/>
                <w:sz w:val="21"/>
                <w:szCs w:val="21"/>
                <w:u w:val="none"/>
              </w:rPr>
              <w:t>（2）客户能够</w:t>
            </w:r>
            <w:r>
              <w:rPr>
                <w:rFonts w:hint="eastAsia" w:ascii="宋体" w:hAnsi="宋体" w:eastAsia="宋体" w:cs="宋体"/>
                <w:b w:val="0"/>
                <w:bCs w:val="0"/>
                <w:i w:val="0"/>
                <w:iCs w:val="0"/>
                <w:color w:val="FF0000"/>
                <w:kern w:val="2"/>
                <w:sz w:val="21"/>
                <w:szCs w:val="21"/>
                <w:u w:val="none"/>
              </w:rPr>
              <w:t>控制企业履约过程中在建的商品</w:t>
            </w:r>
            <w:r>
              <w:rPr>
                <w:rFonts w:hint="eastAsia" w:ascii="宋体" w:hAnsi="宋体" w:eastAsia="宋体" w:cs="宋体"/>
                <w:b w:val="0"/>
                <w:bCs w:val="0"/>
                <w:i w:val="0"/>
                <w:iCs w:val="0"/>
                <w:color w:val="auto"/>
                <w:kern w:val="2"/>
                <w:sz w:val="21"/>
                <w:szCs w:val="21"/>
                <w:u w:val="none"/>
              </w:rPr>
              <w:t>。</w:t>
            </w:r>
          </w:p>
        </w:tc>
      </w:tr>
      <w:tr w14:paraId="0DC60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61" w:hRule="atLeast"/>
        </w:trPr>
        <w:tc>
          <w:tcPr>
            <w:tcW w:w="1323" w:type="pct"/>
            <w:vMerge w:val="continue"/>
            <w:shd w:val="clear" w:color="auto" w:fill="auto"/>
            <w:tcMar>
              <w:top w:w="69" w:type="dxa"/>
              <w:left w:w="139" w:type="dxa"/>
              <w:bottom w:w="69" w:type="dxa"/>
              <w:right w:w="139" w:type="dxa"/>
            </w:tcMar>
            <w:vAlign w:val="center"/>
          </w:tcPr>
          <w:p w14:paraId="34594319">
            <w:pPr>
              <w:keepNext w:val="0"/>
              <w:keepLines w:val="0"/>
              <w:pageBreakBefore w:val="0"/>
              <w:kinsoku/>
              <w:wordWrap/>
              <w:overflowPunct/>
              <w:topLinePunct w:val="0"/>
              <w:bidi w:val="0"/>
              <w:snapToGrid/>
              <w:spacing w:before="0" w:beforeLines="0" w:after="0" w:afterLines="0"/>
              <w:textAlignment w:val="auto"/>
              <w:rPr>
                <w:rFonts w:hint="eastAsia" w:ascii="宋体" w:hAnsi="宋体" w:eastAsia="宋体" w:cs="宋体"/>
                <w:i w:val="0"/>
                <w:iCs w:val="0"/>
                <w:color w:val="auto"/>
                <w:sz w:val="21"/>
                <w:szCs w:val="21"/>
                <w:u w:val="none"/>
              </w:rPr>
            </w:pPr>
          </w:p>
        </w:tc>
        <w:tc>
          <w:tcPr>
            <w:tcW w:w="3676" w:type="pct"/>
            <w:shd w:val="clear" w:color="auto" w:fill="auto"/>
            <w:tcMar>
              <w:top w:w="69" w:type="dxa"/>
              <w:left w:w="139" w:type="dxa"/>
              <w:bottom w:w="69" w:type="dxa"/>
              <w:right w:w="139" w:type="dxa"/>
            </w:tcMar>
            <w:vAlign w:val="center"/>
          </w:tcPr>
          <w:p w14:paraId="73CDB85E">
            <w:pPr>
              <w:pStyle w:val="5"/>
              <w:keepNext w:val="0"/>
              <w:keepLines w:val="0"/>
              <w:pageBreakBefore w:val="0"/>
              <w:widowControl/>
              <w:suppressLineNumbers w:val="0"/>
              <w:kinsoku/>
              <w:wordWrap/>
              <w:overflowPunct/>
              <w:topLinePunct w:val="0"/>
              <w:bidi w:val="0"/>
              <w:snapToGrid/>
              <w:spacing w:before="0" w:beforeAutospacing="0" w:after="0" w:afterAutospacing="0" w:line="288" w:lineRule="auto"/>
              <w:ind w:left="0"/>
              <w:jc w:val="left"/>
              <w:textAlignment w:val="auto"/>
              <w:rPr>
                <w:rFonts w:hint="eastAsia" w:ascii="宋体" w:hAnsi="宋体" w:eastAsia="宋体" w:cs="宋体"/>
                <w:sz w:val="21"/>
                <w:szCs w:val="21"/>
              </w:rPr>
            </w:pPr>
            <w:r>
              <w:rPr>
                <w:rFonts w:hint="eastAsia" w:ascii="宋体" w:hAnsi="宋体" w:eastAsia="宋体" w:cs="宋体"/>
                <w:b w:val="0"/>
                <w:bCs w:val="0"/>
                <w:i w:val="0"/>
                <w:iCs w:val="0"/>
                <w:color w:val="auto"/>
                <w:kern w:val="2"/>
                <w:sz w:val="21"/>
                <w:szCs w:val="21"/>
                <w:u w:val="none"/>
              </w:rPr>
              <w:t>（3）企业履约过程中</w:t>
            </w:r>
            <w:r>
              <w:rPr>
                <w:rFonts w:hint="eastAsia" w:ascii="宋体" w:hAnsi="宋体" w:eastAsia="宋体" w:cs="宋体"/>
                <w:b w:val="0"/>
                <w:bCs w:val="0"/>
                <w:i w:val="0"/>
                <w:iCs w:val="0"/>
                <w:color w:val="FF0000"/>
                <w:kern w:val="2"/>
                <w:sz w:val="21"/>
                <w:szCs w:val="21"/>
                <w:u w:val="none"/>
              </w:rPr>
              <w:t>所产出的商品具有不可替代用途</w:t>
            </w:r>
            <w:r>
              <w:rPr>
                <w:rFonts w:hint="eastAsia" w:ascii="宋体" w:hAnsi="宋体" w:eastAsia="宋体" w:cs="宋体"/>
                <w:b w:val="0"/>
                <w:bCs w:val="0"/>
                <w:i w:val="0"/>
                <w:iCs w:val="0"/>
                <w:color w:val="auto"/>
                <w:kern w:val="2"/>
                <w:sz w:val="21"/>
                <w:szCs w:val="21"/>
                <w:u w:val="none"/>
              </w:rPr>
              <w:t>，且该企业在整个合同期间内</w:t>
            </w:r>
            <w:r>
              <w:rPr>
                <w:rFonts w:hint="eastAsia" w:ascii="宋体" w:hAnsi="宋体" w:eastAsia="宋体" w:cs="宋体"/>
                <w:b w:val="0"/>
                <w:bCs w:val="0"/>
                <w:i w:val="0"/>
                <w:iCs w:val="0"/>
                <w:color w:val="FF0000"/>
                <w:kern w:val="2"/>
                <w:sz w:val="21"/>
                <w:szCs w:val="21"/>
                <w:u w:val="none"/>
              </w:rPr>
              <w:t>有权就累计至今已完成的履约部分收取款项</w:t>
            </w:r>
            <w:r>
              <w:rPr>
                <w:rFonts w:hint="eastAsia" w:ascii="宋体" w:hAnsi="宋体" w:eastAsia="宋体" w:cs="宋体"/>
                <w:b w:val="0"/>
                <w:bCs w:val="0"/>
                <w:i w:val="0"/>
                <w:iCs w:val="0"/>
                <w:color w:val="auto"/>
                <w:kern w:val="2"/>
                <w:sz w:val="21"/>
                <w:szCs w:val="21"/>
                <w:u w:val="none"/>
              </w:rPr>
              <w:t>。</w:t>
            </w:r>
          </w:p>
        </w:tc>
      </w:tr>
      <w:tr w14:paraId="42883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trPr>
        <w:tc>
          <w:tcPr>
            <w:tcW w:w="1323" w:type="pct"/>
            <w:vMerge w:val="restart"/>
            <w:shd w:val="clear" w:color="auto" w:fill="auto"/>
            <w:tcMar>
              <w:top w:w="69" w:type="dxa"/>
              <w:left w:w="139" w:type="dxa"/>
              <w:bottom w:w="69" w:type="dxa"/>
              <w:right w:w="139" w:type="dxa"/>
            </w:tcMar>
            <w:vAlign w:val="center"/>
          </w:tcPr>
          <w:p w14:paraId="4698BF05">
            <w:pPr>
              <w:pStyle w:val="5"/>
              <w:keepNext w:val="0"/>
              <w:keepLines w:val="0"/>
              <w:pageBreakBefore w:val="0"/>
              <w:widowControl/>
              <w:suppressLineNumbers w:val="0"/>
              <w:kinsoku/>
              <w:wordWrap/>
              <w:overflowPunct/>
              <w:topLinePunct w:val="0"/>
              <w:bidi w:val="0"/>
              <w:snapToGrid/>
              <w:spacing w:before="0" w:beforeAutospacing="0" w:after="0" w:afterAutospacing="0" w:line="288" w:lineRule="auto"/>
              <w:ind w:left="0"/>
              <w:jc w:val="left"/>
              <w:textAlignment w:val="auto"/>
              <w:rPr>
                <w:rFonts w:hint="eastAsia" w:ascii="宋体" w:hAnsi="宋体" w:eastAsia="宋体" w:cs="宋体"/>
                <w:sz w:val="21"/>
                <w:szCs w:val="21"/>
              </w:rPr>
            </w:pPr>
            <w:r>
              <w:rPr>
                <w:rFonts w:hint="eastAsia" w:ascii="宋体" w:hAnsi="宋体" w:eastAsia="宋体" w:cs="宋体"/>
                <w:b w:val="0"/>
                <w:bCs w:val="0"/>
                <w:i w:val="0"/>
                <w:iCs w:val="0"/>
                <w:color w:val="auto"/>
                <w:kern w:val="2"/>
                <w:sz w:val="21"/>
                <w:szCs w:val="21"/>
                <w:u w:val="none"/>
              </w:rPr>
              <w:t>2.企业应当在该段时间内</w:t>
            </w:r>
            <w:r>
              <w:rPr>
                <w:rFonts w:hint="eastAsia" w:ascii="宋体" w:hAnsi="宋体" w:eastAsia="宋体" w:cs="宋体"/>
                <w:b w:val="0"/>
                <w:bCs w:val="0"/>
                <w:i w:val="0"/>
                <w:iCs w:val="0"/>
                <w:color w:val="FF0000"/>
                <w:kern w:val="2"/>
                <w:sz w:val="21"/>
                <w:szCs w:val="21"/>
                <w:u w:val="none"/>
              </w:rPr>
              <w:t>按照履约进度确认收入</w:t>
            </w:r>
          </w:p>
        </w:tc>
        <w:tc>
          <w:tcPr>
            <w:tcW w:w="3676" w:type="pct"/>
            <w:shd w:val="clear" w:color="auto" w:fill="auto"/>
            <w:tcMar>
              <w:top w:w="69" w:type="dxa"/>
              <w:left w:w="139" w:type="dxa"/>
              <w:bottom w:w="69" w:type="dxa"/>
              <w:right w:w="139" w:type="dxa"/>
            </w:tcMar>
            <w:vAlign w:val="center"/>
          </w:tcPr>
          <w:p w14:paraId="18BA5E8A">
            <w:pPr>
              <w:pStyle w:val="5"/>
              <w:keepNext w:val="0"/>
              <w:keepLines w:val="0"/>
              <w:pageBreakBefore w:val="0"/>
              <w:widowControl/>
              <w:suppressLineNumbers w:val="0"/>
              <w:kinsoku/>
              <w:wordWrap/>
              <w:overflowPunct/>
              <w:topLinePunct w:val="0"/>
              <w:bidi w:val="0"/>
              <w:snapToGrid/>
              <w:spacing w:before="0" w:beforeAutospacing="0" w:after="0" w:afterAutospacing="0" w:line="288" w:lineRule="auto"/>
              <w:ind w:left="0"/>
              <w:jc w:val="left"/>
              <w:textAlignment w:val="auto"/>
              <w:rPr>
                <w:rFonts w:hint="eastAsia" w:ascii="宋体" w:hAnsi="宋体" w:eastAsia="宋体" w:cs="宋体"/>
                <w:sz w:val="21"/>
                <w:szCs w:val="21"/>
              </w:rPr>
            </w:pPr>
            <w:r>
              <w:rPr>
                <w:rFonts w:hint="eastAsia" w:ascii="宋体" w:hAnsi="宋体" w:eastAsia="宋体" w:cs="宋体"/>
                <w:b w:val="0"/>
                <w:bCs w:val="0"/>
                <w:i w:val="0"/>
                <w:iCs w:val="0"/>
                <w:color w:val="FF0000"/>
                <w:kern w:val="2"/>
                <w:sz w:val="21"/>
                <w:szCs w:val="21"/>
                <w:u w:val="none"/>
              </w:rPr>
              <w:t>（1）产出法，看结果</w:t>
            </w:r>
          </w:p>
        </w:tc>
      </w:tr>
      <w:tr w14:paraId="44D96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6" w:hRule="atLeast"/>
        </w:trPr>
        <w:tc>
          <w:tcPr>
            <w:tcW w:w="1323" w:type="pct"/>
            <w:vMerge w:val="continue"/>
            <w:shd w:val="clear" w:color="auto" w:fill="auto"/>
            <w:tcMar>
              <w:top w:w="69" w:type="dxa"/>
              <w:left w:w="139" w:type="dxa"/>
              <w:bottom w:w="69" w:type="dxa"/>
              <w:right w:w="139" w:type="dxa"/>
            </w:tcMar>
            <w:vAlign w:val="center"/>
          </w:tcPr>
          <w:p w14:paraId="37F87565">
            <w:pPr>
              <w:keepNext w:val="0"/>
              <w:keepLines w:val="0"/>
              <w:pageBreakBefore w:val="0"/>
              <w:kinsoku/>
              <w:wordWrap/>
              <w:overflowPunct/>
              <w:topLinePunct w:val="0"/>
              <w:bidi w:val="0"/>
              <w:snapToGrid/>
              <w:spacing w:before="0" w:beforeLines="0" w:after="0" w:afterLines="0"/>
              <w:textAlignment w:val="auto"/>
              <w:rPr>
                <w:rFonts w:hint="eastAsia" w:ascii="宋体" w:hAnsi="宋体" w:eastAsia="宋体" w:cs="宋体"/>
                <w:i w:val="0"/>
                <w:iCs w:val="0"/>
                <w:color w:val="auto"/>
                <w:sz w:val="21"/>
                <w:szCs w:val="21"/>
                <w:u w:val="none"/>
              </w:rPr>
            </w:pPr>
          </w:p>
        </w:tc>
        <w:tc>
          <w:tcPr>
            <w:tcW w:w="3676" w:type="pct"/>
            <w:shd w:val="clear" w:color="auto" w:fill="auto"/>
            <w:tcMar>
              <w:top w:w="69" w:type="dxa"/>
              <w:left w:w="139" w:type="dxa"/>
              <w:bottom w:w="69" w:type="dxa"/>
              <w:right w:w="139" w:type="dxa"/>
            </w:tcMar>
            <w:vAlign w:val="center"/>
          </w:tcPr>
          <w:p w14:paraId="2740B350">
            <w:pPr>
              <w:pStyle w:val="5"/>
              <w:keepNext w:val="0"/>
              <w:keepLines w:val="0"/>
              <w:pageBreakBefore w:val="0"/>
              <w:widowControl/>
              <w:suppressLineNumbers w:val="0"/>
              <w:kinsoku/>
              <w:wordWrap/>
              <w:overflowPunct/>
              <w:topLinePunct w:val="0"/>
              <w:bidi w:val="0"/>
              <w:snapToGrid/>
              <w:spacing w:before="0" w:beforeAutospacing="0" w:after="0" w:afterAutospacing="0" w:line="288" w:lineRule="auto"/>
              <w:ind w:left="0"/>
              <w:jc w:val="left"/>
              <w:textAlignment w:val="auto"/>
              <w:rPr>
                <w:rFonts w:hint="eastAsia" w:ascii="宋体" w:hAnsi="宋体" w:eastAsia="宋体" w:cs="宋体"/>
                <w:sz w:val="21"/>
                <w:szCs w:val="21"/>
              </w:rPr>
            </w:pPr>
            <w:r>
              <w:rPr>
                <w:rFonts w:hint="eastAsia" w:ascii="宋体" w:hAnsi="宋体" w:eastAsia="宋体" w:cs="宋体"/>
                <w:b w:val="0"/>
                <w:bCs w:val="0"/>
                <w:i w:val="0"/>
                <w:iCs w:val="0"/>
                <w:color w:val="FF0000"/>
                <w:kern w:val="2"/>
                <w:sz w:val="21"/>
                <w:szCs w:val="21"/>
                <w:u w:val="none"/>
              </w:rPr>
              <w:t>（2）投入法，看投入。</w:t>
            </w:r>
          </w:p>
        </w:tc>
      </w:tr>
    </w:tbl>
    <w:p w14:paraId="17BB36C6">
      <w:pPr>
        <w:keepNext w:val="0"/>
        <w:keepLines w:val="0"/>
        <w:pageBreakBefore w:val="0"/>
        <w:widowControl w:val="0"/>
        <w:kinsoku/>
        <w:wordWrap/>
        <w:overflowPunct/>
        <w:topLinePunct w:val="0"/>
        <w:autoSpaceDE w:val="0"/>
        <w:autoSpaceDN w:val="0"/>
        <w:bidi w:val="0"/>
        <w:adjustRightInd w:val="0"/>
        <w:snapToGrid/>
        <w:spacing w:line="360" w:lineRule="auto"/>
        <w:ind w:left="0" w:firstLine="0"/>
        <w:textAlignment w:val="auto"/>
        <w:outlineLvl w:val="9"/>
        <w:rPr>
          <w:rFonts w:hint="eastAsia" w:ascii="宋体" w:hAnsi="宋体" w:eastAsia="宋体" w:cs="宋体"/>
          <w:color w:val="FF0000"/>
          <w:sz w:val="21"/>
          <w:szCs w:val="21"/>
          <w:lang w:eastAsia="zh-CN"/>
        </w:rPr>
      </w:pPr>
    </w:p>
    <w:tbl>
      <w:tblPr>
        <w:tblStyle w:val="6"/>
        <w:tblW w:w="498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2582"/>
        <w:gridCol w:w="7583"/>
      </w:tblGrid>
      <w:tr w14:paraId="7D402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21" w:hRule="atLeast"/>
        </w:trPr>
        <w:tc>
          <w:tcPr>
            <w:tcW w:w="5000" w:type="pct"/>
            <w:gridSpan w:val="2"/>
            <w:shd w:val="clear" w:color="auto" w:fill="auto"/>
            <w:tcMar>
              <w:top w:w="69" w:type="dxa"/>
              <w:left w:w="139" w:type="dxa"/>
              <w:bottom w:w="69" w:type="dxa"/>
              <w:right w:w="139" w:type="dxa"/>
            </w:tcMar>
            <w:vAlign w:val="center"/>
          </w:tcPr>
          <w:p w14:paraId="24D78506">
            <w:pPr>
              <w:pStyle w:val="5"/>
              <w:keepNext w:val="0"/>
              <w:keepLines w:val="0"/>
              <w:pageBreakBefore w:val="0"/>
              <w:widowControl/>
              <w:suppressLineNumbers w:val="0"/>
              <w:kinsoku/>
              <w:wordWrap/>
              <w:overflowPunct/>
              <w:topLinePunct w:val="0"/>
              <w:bidi w:val="0"/>
              <w:snapToGrid/>
              <w:spacing w:before="0" w:beforeAutospacing="0" w:after="0" w:afterAutospacing="0" w:line="288" w:lineRule="auto"/>
              <w:ind w:left="0" w:firstLine="0"/>
              <w:jc w:val="left"/>
              <w:textAlignment w:val="auto"/>
              <w:rPr>
                <w:rFonts w:hint="eastAsia" w:ascii="宋体" w:hAnsi="宋体" w:eastAsia="宋体" w:cs="宋体"/>
                <w:sz w:val="21"/>
                <w:szCs w:val="21"/>
              </w:rPr>
            </w:pPr>
            <w:r>
              <w:rPr>
                <w:rFonts w:hint="eastAsia" w:ascii="宋体" w:hAnsi="宋体" w:eastAsia="宋体" w:cs="宋体"/>
                <w:b w:val="0"/>
                <w:bCs w:val="0"/>
                <w:i w:val="0"/>
                <w:iCs w:val="0"/>
                <w:color w:val="auto"/>
                <w:kern w:val="2"/>
                <w:sz w:val="21"/>
                <w:szCs w:val="21"/>
                <w:u w:val="none"/>
              </w:rPr>
              <w:t>3.【例题】实际成本占估计总成本的比例=280 000/（280 000 +120000）×100% =70%</w:t>
            </w:r>
          </w:p>
          <w:p w14:paraId="0067C5E6">
            <w:pPr>
              <w:pStyle w:val="5"/>
              <w:keepNext w:val="0"/>
              <w:keepLines w:val="0"/>
              <w:pageBreakBefore w:val="0"/>
              <w:widowControl/>
              <w:suppressLineNumbers w:val="0"/>
              <w:kinsoku/>
              <w:wordWrap/>
              <w:overflowPunct/>
              <w:topLinePunct w:val="0"/>
              <w:bidi w:val="0"/>
              <w:snapToGrid/>
              <w:spacing w:before="0" w:beforeAutospacing="0" w:after="0" w:afterAutospacing="0" w:line="288" w:lineRule="auto"/>
              <w:ind w:left="0" w:firstLine="0"/>
              <w:jc w:val="left"/>
              <w:textAlignment w:val="auto"/>
              <w:rPr>
                <w:rFonts w:hint="eastAsia" w:ascii="宋体" w:hAnsi="宋体" w:eastAsia="宋体" w:cs="宋体"/>
                <w:sz w:val="21"/>
                <w:szCs w:val="21"/>
              </w:rPr>
            </w:pPr>
            <w:r>
              <w:rPr>
                <w:rFonts w:hint="eastAsia" w:ascii="宋体" w:hAnsi="宋体" w:eastAsia="宋体" w:cs="宋体"/>
                <w:b w:val="0"/>
                <w:bCs w:val="0"/>
                <w:i w:val="0"/>
                <w:iCs w:val="0"/>
                <w:color w:val="auto"/>
                <w:kern w:val="2"/>
                <w:sz w:val="21"/>
                <w:szCs w:val="21"/>
                <w:u w:val="none"/>
              </w:rPr>
              <w:t>2020年12月31日确认的劳务收入=600 000×70%=420 000（元）</w:t>
            </w:r>
          </w:p>
        </w:tc>
      </w:tr>
      <w:tr w14:paraId="799E0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74" w:hRule="atLeast"/>
        </w:trPr>
        <w:tc>
          <w:tcPr>
            <w:tcW w:w="1270" w:type="pct"/>
            <w:shd w:val="clear" w:color="auto" w:fill="auto"/>
            <w:tcMar>
              <w:top w:w="69" w:type="dxa"/>
              <w:left w:w="139" w:type="dxa"/>
              <w:bottom w:w="69" w:type="dxa"/>
              <w:right w:w="139" w:type="dxa"/>
            </w:tcMar>
            <w:vAlign w:val="center"/>
          </w:tcPr>
          <w:p w14:paraId="06A0B7FD">
            <w:pPr>
              <w:pStyle w:val="5"/>
              <w:keepNext w:val="0"/>
              <w:keepLines w:val="0"/>
              <w:pageBreakBefore w:val="0"/>
              <w:widowControl/>
              <w:suppressLineNumbers w:val="0"/>
              <w:kinsoku/>
              <w:wordWrap/>
              <w:overflowPunct/>
              <w:topLinePunct w:val="0"/>
              <w:bidi w:val="0"/>
              <w:snapToGrid/>
              <w:spacing w:before="0" w:beforeAutospacing="0" w:after="0" w:afterAutospacing="0" w:line="288" w:lineRule="auto"/>
              <w:ind w:left="0" w:firstLine="0"/>
              <w:jc w:val="left"/>
              <w:textAlignment w:val="auto"/>
              <w:rPr>
                <w:rFonts w:hint="eastAsia" w:ascii="宋体" w:hAnsi="宋体" w:eastAsia="宋体" w:cs="宋体"/>
                <w:sz w:val="21"/>
                <w:szCs w:val="21"/>
              </w:rPr>
            </w:pPr>
            <w:r>
              <w:rPr>
                <w:rFonts w:hint="eastAsia" w:ascii="宋体" w:hAnsi="宋体" w:eastAsia="宋体" w:cs="宋体"/>
                <w:b w:val="0"/>
                <w:bCs w:val="0"/>
                <w:i w:val="0"/>
                <w:iCs w:val="0"/>
                <w:color w:val="auto"/>
                <w:kern w:val="2"/>
                <w:sz w:val="21"/>
                <w:szCs w:val="21"/>
                <w:u w:val="none"/>
              </w:rPr>
              <w:t>（1）实际发生劳务成本</w:t>
            </w:r>
          </w:p>
        </w:tc>
        <w:tc>
          <w:tcPr>
            <w:tcW w:w="3730" w:type="pct"/>
            <w:shd w:val="clear" w:color="auto" w:fill="auto"/>
            <w:tcMar>
              <w:top w:w="69" w:type="dxa"/>
              <w:left w:w="139" w:type="dxa"/>
              <w:bottom w:w="69" w:type="dxa"/>
              <w:right w:w="139" w:type="dxa"/>
            </w:tcMar>
            <w:vAlign w:val="center"/>
          </w:tcPr>
          <w:p w14:paraId="5A45A667">
            <w:pPr>
              <w:pStyle w:val="5"/>
              <w:keepNext w:val="0"/>
              <w:keepLines w:val="0"/>
              <w:pageBreakBefore w:val="0"/>
              <w:widowControl/>
              <w:suppressLineNumbers w:val="0"/>
              <w:kinsoku/>
              <w:wordWrap/>
              <w:overflowPunct/>
              <w:topLinePunct w:val="0"/>
              <w:bidi w:val="0"/>
              <w:snapToGrid/>
              <w:spacing w:before="0" w:beforeAutospacing="0" w:after="0" w:afterAutospacing="0" w:line="288" w:lineRule="auto"/>
              <w:ind w:left="0" w:firstLine="0"/>
              <w:jc w:val="left"/>
              <w:textAlignment w:val="auto"/>
              <w:rPr>
                <w:rFonts w:hint="eastAsia" w:ascii="宋体" w:hAnsi="宋体" w:eastAsia="宋体" w:cs="宋体"/>
                <w:sz w:val="21"/>
                <w:szCs w:val="21"/>
              </w:rPr>
            </w:pPr>
            <w:r>
              <w:rPr>
                <w:rFonts w:hint="eastAsia" w:ascii="宋体" w:hAnsi="宋体" w:eastAsia="宋体" w:cs="宋体"/>
                <w:b w:val="0"/>
                <w:bCs w:val="0"/>
                <w:i w:val="0"/>
                <w:iCs w:val="0"/>
                <w:color w:val="auto"/>
                <w:kern w:val="2"/>
                <w:sz w:val="21"/>
                <w:szCs w:val="21"/>
                <w:u w:val="none"/>
              </w:rPr>
              <w:t xml:space="preserve">借：合同履约成本   　　 280 000 </w:t>
            </w:r>
          </w:p>
          <w:p w14:paraId="5FF581A3">
            <w:pPr>
              <w:pStyle w:val="5"/>
              <w:keepNext w:val="0"/>
              <w:keepLines w:val="0"/>
              <w:pageBreakBefore w:val="0"/>
              <w:widowControl/>
              <w:suppressLineNumbers w:val="0"/>
              <w:kinsoku/>
              <w:wordWrap/>
              <w:overflowPunct/>
              <w:topLinePunct w:val="0"/>
              <w:bidi w:val="0"/>
              <w:snapToGrid/>
              <w:spacing w:before="0" w:beforeAutospacing="0" w:after="0" w:afterAutospacing="0" w:line="288" w:lineRule="auto"/>
              <w:ind w:left="0" w:firstLine="0"/>
              <w:jc w:val="left"/>
              <w:textAlignment w:val="auto"/>
              <w:rPr>
                <w:rFonts w:hint="eastAsia" w:ascii="宋体" w:hAnsi="宋体" w:eastAsia="宋体" w:cs="宋体"/>
                <w:sz w:val="21"/>
                <w:szCs w:val="21"/>
              </w:rPr>
            </w:pPr>
            <w:r>
              <w:rPr>
                <w:rFonts w:hint="eastAsia" w:ascii="宋体" w:hAnsi="宋体" w:eastAsia="宋体" w:cs="宋体"/>
                <w:b w:val="0"/>
                <w:bCs w:val="0"/>
                <w:i w:val="0"/>
                <w:iCs w:val="0"/>
                <w:color w:val="auto"/>
                <w:kern w:val="2"/>
                <w:sz w:val="21"/>
                <w:szCs w:val="21"/>
                <w:u w:val="none"/>
              </w:rPr>
              <w:t>　　贷：应付职工薪酬    　     　280 000</w:t>
            </w:r>
          </w:p>
        </w:tc>
      </w:tr>
      <w:tr w14:paraId="13C13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74" w:hRule="atLeast"/>
        </w:trPr>
        <w:tc>
          <w:tcPr>
            <w:tcW w:w="1270" w:type="pct"/>
            <w:shd w:val="clear" w:color="auto" w:fill="auto"/>
            <w:tcMar>
              <w:top w:w="69" w:type="dxa"/>
              <w:left w:w="139" w:type="dxa"/>
              <w:bottom w:w="69" w:type="dxa"/>
              <w:right w:w="139" w:type="dxa"/>
            </w:tcMar>
            <w:vAlign w:val="center"/>
          </w:tcPr>
          <w:p w14:paraId="1F49CDDC">
            <w:pPr>
              <w:pStyle w:val="5"/>
              <w:keepNext w:val="0"/>
              <w:keepLines w:val="0"/>
              <w:pageBreakBefore w:val="0"/>
              <w:widowControl/>
              <w:suppressLineNumbers w:val="0"/>
              <w:kinsoku/>
              <w:wordWrap/>
              <w:overflowPunct/>
              <w:topLinePunct w:val="0"/>
              <w:bidi w:val="0"/>
              <w:snapToGrid/>
              <w:spacing w:before="0" w:beforeAutospacing="0" w:after="0" w:afterAutospacing="0" w:line="288" w:lineRule="auto"/>
              <w:ind w:left="0" w:firstLine="0"/>
              <w:jc w:val="left"/>
              <w:textAlignment w:val="auto"/>
              <w:rPr>
                <w:rFonts w:hint="eastAsia" w:ascii="宋体" w:hAnsi="宋体" w:eastAsia="宋体" w:cs="宋体"/>
                <w:sz w:val="21"/>
                <w:szCs w:val="21"/>
              </w:rPr>
            </w:pPr>
            <w:r>
              <w:rPr>
                <w:rFonts w:hint="eastAsia" w:ascii="宋体" w:hAnsi="宋体" w:eastAsia="宋体" w:cs="宋体"/>
                <w:b w:val="0"/>
                <w:bCs w:val="0"/>
                <w:i w:val="0"/>
                <w:iCs w:val="0"/>
                <w:color w:val="auto"/>
                <w:kern w:val="2"/>
                <w:sz w:val="21"/>
                <w:szCs w:val="21"/>
                <w:u w:val="none"/>
              </w:rPr>
              <w:t>（2）预收劳务款</w:t>
            </w:r>
          </w:p>
        </w:tc>
        <w:tc>
          <w:tcPr>
            <w:tcW w:w="3730" w:type="pct"/>
            <w:shd w:val="clear" w:color="auto" w:fill="auto"/>
            <w:tcMar>
              <w:top w:w="69" w:type="dxa"/>
              <w:left w:w="139" w:type="dxa"/>
              <w:bottom w:w="69" w:type="dxa"/>
              <w:right w:w="139" w:type="dxa"/>
            </w:tcMar>
            <w:vAlign w:val="center"/>
          </w:tcPr>
          <w:p w14:paraId="401C4037">
            <w:pPr>
              <w:pStyle w:val="5"/>
              <w:keepNext w:val="0"/>
              <w:keepLines w:val="0"/>
              <w:pageBreakBefore w:val="0"/>
              <w:widowControl/>
              <w:suppressLineNumbers w:val="0"/>
              <w:kinsoku/>
              <w:wordWrap/>
              <w:overflowPunct/>
              <w:topLinePunct w:val="0"/>
              <w:bidi w:val="0"/>
              <w:snapToGrid/>
              <w:spacing w:before="0" w:beforeAutospacing="0" w:after="0" w:afterAutospacing="0" w:line="288" w:lineRule="auto"/>
              <w:ind w:left="0" w:firstLine="0"/>
              <w:jc w:val="left"/>
              <w:textAlignment w:val="auto"/>
              <w:rPr>
                <w:rFonts w:hint="eastAsia" w:ascii="宋体" w:hAnsi="宋体" w:eastAsia="宋体" w:cs="宋体"/>
                <w:sz w:val="21"/>
                <w:szCs w:val="21"/>
              </w:rPr>
            </w:pPr>
            <w:r>
              <w:rPr>
                <w:rFonts w:hint="eastAsia" w:ascii="宋体" w:hAnsi="宋体" w:eastAsia="宋体" w:cs="宋体"/>
                <w:b w:val="0"/>
                <w:bCs w:val="0"/>
                <w:i w:val="0"/>
                <w:iCs w:val="0"/>
                <w:color w:val="auto"/>
                <w:kern w:val="2"/>
                <w:sz w:val="21"/>
                <w:szCs w:val="21"/>
                <w:u w:val="none"/>
              </w:rPr>
              <w:t xml:space="preserve">借：银行存款           　　440 000 </w:t>
            </w:r>
          </w:p>
          <w:p w14:paraId="6F44D943">
            <w:pPr>
              <w:pStyle w:val="5"/>
              <w:keepNext w:val="0"/>
              <w:keepLines w:val="0"/>
              <w:pageBreakBefore w:val="0"/>
              <w:widowControl/>
              <w:suppressLineNumbers w:val="0"/>
              <w:kinsoku/>
              <w:wordWrap/>
              <w:overflowPunct/>
              <w:topLinePunct w:val="0"/>
              <w:bidi w:val="0"/>
              <w:snapToGrid/>
              <w:spacing w:before="0" w:beforeAutospacing="0" w:after="0" w:afterAutospacing="0" w:line="288" w:lineRule="auto"/>
              <w:ind w:left="0" w:firstLine="0"/>
              <w:jc w:val="left"/>
              <w:textAlignment w:val="auto"/>
              <w:rPr>
                <w:rFonts w:hint="eastAsia" w:ascii="宋体" w:hAnsi="宋体" w:eastAsia="宋体" w:cs="宋体"/>
                <w:sz w:val="21"/>
                <w:szCs w:val="21"/>
              </w:rPr>
            </w:pPr>
            <w:r>
              <w:rPr>
                <w:rFonts w:hint="eastAsia" w:ascii="宋体" w:hAnsi="宋体" w:eastAsia="宋体" w:cs="宋体"/>
                <w:b w:val="0"/>
                <w:bCs w:val="0"/>
                <w:i w:val="0"/>
                <w:iCs w:val="0"/>
                <w:color w:val="auto"/>
                <w:kern w:val="2"/>
                <w:sz w:val="21"/>
                <w:szCs w:val="21"/>
                <w:u w:val="none"/>
              </w:rPr>
              <w:t xml:space="preserve">　　贷：合同负债   　            </w:t>
            </w:r>
            <w:r>
              <w:rPr>
                <w:rFonts w:hint="eastAsia" w:ascii="宋体" w:hAnsi="宋体" w:cs="宋体"/>
                <w:b w:val="0"/>
                <w:bCs w:val="0"/>
                <w:i w:val="0"/>
                <w:iCs w:val="0"/>
                <w:color w:val="auto"/>
                <w:kern w:val="2"/>
                <w:sz w:val="21"/>
                <w:szCs w:val="21"/>
                <w:u w:val="none"/>
                <w:lang w:val="en-US" w:eastAsia="zh-CN"/>
              </w:rPr>
              <w:t xml:space="preserve"> </w:t>
            </w:r>
            <w:r>
              <w:rPr>
                <w:rFonts w:hint="eastAsia" w:ascii="宋体" w:hAnsi="宋体" w:eastAsia="宋体" w:cs="宋体"/>
                <w:b w:val="0"/>
                <w:bCs w:val="0"/>
                <w:i w:val="0"/>
                <w:iCs w:val="0"/>
                <w:color w:val="auto"/>
                <w:kern w:val="2"/>
                <w:sz w:val="21"/>
                <w:szCs w:val="21"/>
                <w:u w:val="none"/>
              </w:rPr>
              <w:t xml:space="preserve">440 000 </w:t>
            </w:r>
          </w:p>
        </w:tc>
      </w:tr>
      <w:tr w14:paraId="74CDA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72" w:hRule="atLeast"/>
        </w:trPr>
        <w:tc>
          <w:tcPr>
            <w:tcW w:w="1270" w:type="pct"/>
            <w:shd w:val="clear" w:color="auto" w:fill="auto"/>
            <w:tcMar>
              <w:top w:w="69" w:type="dxa"/>
              <w:left w:w="139" w:type="dxa"/>
              <w:bottom w:w="69" w:type="dxa"/>
              <w:right w:w="139" w:type="dxa"/>
            </w:tcMar>
            <w:vAlign w:val="center"/>
          </w:tcPr>
          <w:p w14:paraId="6A6A28A6">
            <w:pPr>
              <w:pStyle w:val="5"/>
              <w:keepNext w:val="0"/>
              <w:keepLines w:val="0"/>
              <w:pageBreakBefore w:val="0"/>
              <w:widowControl/>
              <w:suppressLineNumbers w:val="0"/>
              <w:kinsoku/>
              <w:wordWrap/>
              <w:overflowPunct/>
              <w:topLinePunct w:val="0"/>
              <w:bidi w:val="0"/>
              <w:snapToGrid/>
              <w:spacing w:before="0" w:beforeAutospacing="0" w:after="0" w:afterAutospacing="0" w:line="288" w:lineRule="auto"/>
              <w:ind w:left="0" w:firstLine="0"/>
              <w:jc w:val="left"/>
              <w:textAlignment w:val="auto"/>
              <w:rPr>
                <w:rFonts w:hint="eastAsia" w:ascii="宋体" w:hAnsi="宋体" w:eastAsia="宋体" w:cs="宋体"/>
                <w:sz w:val="21"/>
                <w:szCs w:val="21"/>
              </w:rPr>
            </w:pPr>
            <w:r>
              <w:rPr>
                <w:rFonts w:hint="eastAsia" w:ascii="宋体" w:hAnsi="宋体" w:eastAsia="宋体" w:cs="宋体"/>
                <w:b w:val="0"/>
                <w:bCs w:val="0"/>
                <w:i w:val="0"/>
                <w:iCs w:val="0"/>
                <w:color w:val="auto"/>
                <w:kern w:val="2"/>
                <w:sz w:val="21"/>
                <w:szCs w:val="21"/>
                <w:u w:val="none"/>
              </w:rPr>
              <w:t>（3）2020年12月31日确认收入并结转成本</w:t>
            </w:r>
          </w:p>
        </w:tc>
        <w:tc>
          <w:tcPr>
            <w:tcW w:w="3730" w:type="pct"/>
            <w:shd w:val="clear" w:color="auto" w:fill="auto"/>
            <w:tcMar>
              <w:top w:w="69" w:type="dxa"/>
              <w:left w:w="139" w:type="dxa"/>
              <w:bottom w:w="69" w:type="dxa"/>
              <w:right w:w="139" w:type="dxa"/>
            </w:tcMar>
            <w:vAlign w:val="center"/>
          </w:tcPr>
          <w:p w14:paraId="0CDD4BC0">
            <w:pPr>
              <w:pStyle w:val="5"/>
              <w:keepNext w:val="0"/>
              <w:keepLines w:val="0"/>
              <w:pageBreakBefore w:val="0"/>
              <w:widowControl/>
              <w:suppressLineNumbers w:val="0"/>
              <w:kinsoku/>
              <w:wordWrap/>
              <w:overflowPunct/>
              <w:topLinePunct w:val="0"/>
              <w:bidi w:val="0"/>
              <w:snapToGrid/>
              <w:spacing w:before="0" w:beforeAutospacing="0" w:after="0" w:afterAutospacing="0" w:line="288" w:lineRule="auto"/>
              <w:ind w:left="0" w:firstLine="0"/>
              <w:jc w:val="left"/>
              <w:textAlignment w:val="auto"/>
              <w:rPr>
                <w:rFonts w:hint="eastAsia" w:ascii="宋体" w:hAnsi="宋体" w:eastAsia="宋体" w:cs="宋体"/>
                <w:sz w:val="21"/>
                <w:szCs w:val="21"/>
              </w:rPr>
            </w:pPr>
            <w:r>
              <w:rPr>
                <w:rFonts w:hint="eastAsia" w:ascii="宋体" w:hAnsi="宋体" w:eastAsia="宋体" w:cs="宋体"/>
                <w:b w:val="0"/>
                <w:bCs w:val="0"/>
                <w:i w:val="0"/>
                <w:iCs w:val="0"/>
                <w:color w:val="auto"/>
                <w:kern w:val="2"/>
                <w:sz w:val="21"/>
                <w:szCs w:val="21"/>
                <w:u w:val="none"/>
              </w:rPr>
              <w:t xml:space="preserve">借：合同负债—××公司 　 　420 000 </w:t>
            </w:r>
          </w:p>
          <w:p w14:paraId="062B651D">
            <w:pPr>
              <w:pStyle w:val="5"/>
              <w:keepNext w:val="0"/>
              <w:keepLines w:val="0"/>
              <w:pageBreakBefore w:val="0"/>
              <w:widowControl/>
              <w:suppressLineNumbers w:val="0"/>
              <w:kinsoku/>
              <w:wordWrap/>
              <w:overflowPunct/>
              <w:topLinePunct w:val="0"/>
              <w:bidi w:val="0"/>
              <w:snapToGrid/>
              <w:spacing w:before="0" w:beforeAutospacing="0" w:after="0" w:afterAutospacing="0" w:line="288" w:lineRule="auto"/>
              <w:ind w:left="0" w:firstLine="0"/>
              <w:jc w:val="left"/>
              <w:textAlignment w:val="auto"/>
              <w:rPr>
                <w:rFonts w:hint="eastAsia" w:ascii="宋体" w:hAnsi="宋体" w:eastAsia="宋体" w:cs="宋体"/>
                <w:sz w:val="21"/>
                <w:szCs w:val="21"/>
              </w:rPr>
            </w:pPr>
            <w:r>
              <w:rPr>
                <w:rFonts w:hint="eastAsia" w:ascii="宋体" w:hAnsi="宋体" w:eastAsia="宋体" w:cs="宋体"/>
                <w:b w:val="0"/>
                <w:bCs w:val="0"/>
                <w:i w:val="0"/>
                <w:iCs w:val="0"/>
                <w:color w:val="auto"/>
                <w:kern w:val="2"/>
                <w:sz w:val="21"/>
                <w:szCs w:val="21"/>
                <w:u w:val="none"/>
              </w:rPr>
              <w:t>　　贷：主营业务收入—设备安装  　420 000</w:t>
            </w:r>
          </w:p>
          <w:p w14:paraId="1D0DCF9D">
            <w:pPr>
              <w:pStyle w:val="5"/>
              <w:keepNext w:val="0"/>
              <w:keepLines w:val="0"/>
              <w:pageBreakBefore w:val="0"/>
              <w:widowControl/>
              <w:suppressLineNumbers w:val="0"/>
              <w:kinsoku/>
              <w:wordWrap/>
              <w:overflowPunct/>
              <w:topLinePunct w:val="0"/>
              <w:bidi w:val="0"/>
              <w:snapToGrid/>
              <w:spacing w:before="0" w:beforeAutospacing="0" w:after="0" w:afterAutospacing="0" w:line="288" w:lineRule="auto"/>
              <w:ind w:left="0" w:firstLine="0"/>
              <w:jc w:val="left"/>
              <w:textAlignment w:val="auto"/>
              <w:rPr>
                <w:rFonts w:hint="eastAsia" w:ascii="宋体" w:hAnsi="宋体" w:eastAsia="宋体" w:cs="宋体"/>
                <w:sz w:val="21"/>
                <w:szCs w:val="21"/>
              </w:rPr>
            </w:pPr>
            <w:r>
              <w:rPr>
                <w:rFonts w:hint="eastAsia" w:ascii="宋体" w:hAnsi="宋体" w:eastAsia="宋体" w:cs="宋体"/>
                <w:b w:val="0"/>
                <w:bCs w:val="0"/>
                <w:i w:val="0"/>
                <w:iCs w:val="0"/>
                <w:color w:val="auto"/>
                <w:kern w:val="2"/>
                <w:sz w:val="21"/>
                <w:szCs w:val="21"/>
                <w:u w:val="none"/>
              </w:rPr>
              <w:t>借：主营业务成本—设备安装　　</w:t>
            </w:r>
            <w:r>
              <w:rPr>
                <w:rFonts w:hint="eastAsia" w:ascii="宋体" w:hAnsi="宋体" w:eastAsia="宋体" w:cs="宋体"/>
                <w:b w:val="0"/>
                <w:bCs w:val="0"/>
                <w:i w:val="0"/>
                <w:iCs w:val="0"/>
                <w:color w:val="auto"/>
                <w:kern w:val="2"/>
                <w:position w:val="0"/>
                <w:sz w:val="21"/>
                <w:szCs w:val="21"/>
                <w:u w:val="none"/>
                <w:vertAlign w:val="baseline"/>
              </w:rPr>
              <w:t xml:space="preserve"> </w:t>
            </w:r>
            <w:r>
              <w:rPr>
                <w:rFonts w:hint="eastAsia" w:ascii="宋体" w:hAnsi="宋体" w:eastAsia="宋体" w:cs="宋体"/>
                <w:b w:val="0"/>
                <w:bCs w:val="0"/>
                <w:i w:val="0"/>
                <w:iCs w:val="0"/>
                <w:color w:val="auto"/>
                <w:kern w:val="2"/>
                <w:sz w:val="21"/>
                <w:szCs w:val="21"/>
                <w:u w:val="none"/>
              </w:rPr>
              <w:t xml:space="preserve">280 000 </w:t>
            </w:r>
          </w:p>
          <w:p w14:paraId="45F6AF84">
            <w:pPr>
              <w:pStyle w:val="5"/>
              <w:keepNext w:val="0"/>
              <w:keepLines w:val="0"/>
              <w:pageBreakBefore w:val="0"/>
              <w:widowControl/>
              <w:suppressLineNumbers w:val="0"/>
              <w:kinsoku/>
              <w:wordWrap/>
              <w:overflowPunct/>
              <w:topLinePunct w:val="0"/>
              <w:bidi w:val="0"/>
              <w:snapToGrid/>
              <w:spacing w:before="0" w:beforeAutospacing="0" w:after="0" w:afterAutospacing="0" w:line="288" w:lineRule="auto"/>
              <w:ind w:left="0" w:firstLine="0"/>
              <w:jc w:val="left"/>
              <w:textAlignment w:val="auto"/>
              <w:rPr>
                <w:rFonts w:hint="eastAsia" w:ascii="宋体" w:hAnsi="宋体" w:eastAsia="宋体" w:cs="宋体"/>
                <w:sz w:val="21"/>
                <w:szCs w:val="21"/>
              </w:rPr>
            </w:pPr>
            <w:r>
              <w:rPr>
                <w:rFonts w:hint="eastAsia" w:ascii="宋体" w:hAnsi="宋体" w:eastAsia="宋体" w:cs="宋体"/>
                <w:b w:val="0"/>
                <w:bCs w:val="0"/>
                <w:i w:val="0"/>
                <w:iCs w:val="0"/>
                <w:color w:val="auto"/>
                <w:kern w:val="2"/>
                <w:sz w:val="21"/>
                <w:szCs w:val="21"/>
                <w:u w:val="none"/>
              </w:rPr>
              <w:t>　　贷：合同履约成本—设备安装  　280 000</w:t>
            </w:r>
          </w:p>
        </w:tc>
      </w:tr>
    </w:tbl>
    <w:p w14:paraId="1896DE08">
      <w:pPr>
        <w:keepNext w:val="0"/>
        <w:keepLines w:val="0"/>
        <w:pageBreakBefore w:val="0"/>
        <w:widowControl w:val="0"/>
        <w:kinsoku/>
        <w:wordWrap/>
        <w:overflowPunct/>
        <w:topLinePunct w:val="0"/>
        <w:autoSpaceDE w:val="0"/>
        <w:autoSpaceDN w:val="0"/>
        <w:bidi w:val="0"/>
        <w:adjustRightInd w:val="0"/>
        <w:snapToGrid/>
        <w:spacing w:line="360" w:lineRule="auto"/>
        <w:ind w:left="0" w:firstLine="0"/>
        <w:textAlignment w:val="auto"/>
        <w:outlineLvl w:val="9"/>
        <w:rPr>
          <w:rFonts w:hint="eastAsia" w:ascii="宋体" w:hAnsi="宋体" w:eastAsia="宋体" w:cs="宋体"/>
          <w:color w:val="auto"/>
          <w:sz w:val="21"/>
          <w:szCs w:val="21"/>
        </w:rPr>
      </w:pPr>
    </w:p>
    <w:tbl>
      <w:tblPr>
        <w:tblStyle w:val="6"/>
        <w:tblW w:w="498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2266"/>
        <w:gridCol w:w="7897"/>
      </w:tblGrid>
      <w:tr w14:paraId="4AB78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4" w:hRule="atLeast"/>
        </w:trPr>
        <w:tc>
          <w:tcPr>
            <w:tcW w:w="5000" w:type="pct"/>
            <w:gridSpan w:val="2"/>
            <w:shd w:val="clear" w:color="auto" w:fill="auto"/>
            <w:tcMar>
              <w:top w:w="69" w:type="dxa"/>
              <w:left w:w="139" w:type="dxa"/>
              <w:bottom w:w="69" w:type="dxa"/>
              <w:right w:w="139" w:type="dxa"/>
            </w:tcMar>
            <w:vAlign w:val="center"/>
          </w:tcPr>
          <w:p w14:paraId="532C646F">
            <w:pPr>
              <w:pStyle w:val="5"/>
              <w:keepNext w:val="0"/>
              <w:keepLines w:val="0"/>
              <w:pageBreakBefore w:val="0"/>
              <w:widowControl/>
              <w:suppressLineNumbers w:val="0"/>
              <w:kinsoku/>
              <w:wordWrap/>
              <w:overflowPunct/>
              <w:topLinePunct w:val="0"/>
              <w:bidi w:val="0"/>
              <w:snapToGrid/>
              <w:spacing w:before="0" w:beforeAutospacing="0" w:after="0" w:afterAutospacing="0" w:line="288" w:lineRule="auto"/>
              <w:ind w:left="0" w:firstLine="0"/>
              <w:jc w:val="left"/>
              <w:textAlignment w:val="auto"/>
              <w:rPr>
                <w:rFonts w:hint="eastAsia" w:ascii="宋体" w:hAnsi="宋体" w:eastAsia="宋体" w:cs="宋体"/>
                <w:sz w:val="21"/>
                <w:szCs w:val="21"/>
              </w:rPr>
            </w:pPr>
            <w:r>
              <w:rPr>
                <w:rFonts w:hint="eastAsia" w:ascii="宋体" w:hAnsi="宋体" w:eastAsia="宋体" w:cs="宋体"/>
                <w:b w:val="0"/>
                <w:bCs w:val="0"/>
                <w:i w:val="0"/>
                <w:iCs w:val="0"/>
                <w:color w:val="auto"/>
                <w:kern w:val="2"/>
                <w:sz w:val="21"/>
                <w:szCs w:val="21"/>
                <w:u w:val="none"/>
              </w:rPr>
              <w:t>4.企业按照</w:t>
            </w:r>
            <w:r>
              <w:rPr>
                <w:rFonts w:hint="eastAsia" w:ascii="宋体" w:hAnsi="宋体" w:eastAsia="宋体" w:cs="宋体"/>
                <w:b w:val="0"/>
                <w:bCs w:val="0"/>
                <w:i w:val="0"/>
                <w:iCs w:val="0"/>
                <w:color w:val="FF0000"/>
                <w:kern w:val="2"/>
                <w:sz w:val="21"/>
                <w:szCs w:val="21"/>
                <w:u w:val="none"/>
              </w:rPr>
              <w:t>累计实际发生的成本占预计总成本的比例（即，成本法）确定履约进度</w:t>
            </w:r>
            <w:r>
              <w:rPr>
                <w:rFonts w:hint="eastAsia" w:ascii="宋体" w:hAnsi="宋体" w:eastAsia="宋体" w:cs="宋体"/>
                <w:b w:val="0"/>
                <w:bCs w:val="0"/>
                <w:i w:val="0"/>
                <w:iCs w:val="0"/>
                <w:color w:val="auto"/>
                <w:kern w:val="2"/>
                <w:sz w:val="21"/>
                <w:szCs w:val="21"/>
                <w:u w:val="none"/>
              </w:rPr>
              <w:t>。</w:t>
            </w:r>
          </w:p>
        </w:tc>
      </w:tr>
      <w:tr w14:paraId="16FE2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41" w:hRule="atLeast"/>
        </w:trPr>
        <w:tc>
          <w:tcPr>
            <w:tcW w:w="1115" w:type="pct"/>
            <w:vMerge w:val="restart"/>
            <w:shd w:val="clear" w:color="auto" w:fill="auto"/>
            <w:tcMar>
              <w:top w:w="69" w:type="dxa"/>
              <w:left w:w="139" w:type="dxa"/>
              <w:bottom w:w="69" w:type="dxa"/>
              <w:right w:w="139" w:type="dxa"/>
            </w:tcMar>
            <w:vAlign w:val="center"/>
          </w:tcPr>
          <w:p w14:paraId="0B28A749">
            <w:pPr>
              <w:pStyle w:val="5"/>
              <w:keepNext w:val="0"/>
              <w:keepLines w:val="0"/>
              <w:pageBreakBefore w:val="0"/>
              <w:widowControl/>
              <w:suppressLineNumbers w:val="0"/>
              <w:kinsoku/>
              <w:wordWrap/>
              <w:overflowPunct/>
              <w:topLinePunct w:val="0"/>
              <w:bidi w:val="0"/>
              <w:snapToGrid/>
              <w:spacing w:before="0" w:beforeAutospacing="0" w:after="0" w:afterAutospacing="0" w:line="288" w:lineRule="auto"/>
              <w:ind w:left="0" w:firstLine="0"/>
              <w:jc w:val="left"/>
              <w:textAlignment w:val="auto"/>
              <w:rPr>
                <w:rFonts w:hint="eastAsia" w:ascii="宋体" w:hAnsi="宋体" w:eastAsia="宋体" w:cs="宋体"/>
                <w:sz w:val="21"/>
                <w:szCs w:val="21"/>
              </w:rPr>
            </w:pPr>
            <w:r>
              <w:rPr>
                <w:rFonts w:hint="eastAsia" w:ascii="宋体" w:hAnsi="宋体" w:eastAsia="宋体" w:cs="宋体"/>
                <w:b w:val="0"/>
                <w:bCs w:val="0"/>
                <w:i w:val="0"/>
                <w:iCs w:val="0"/>
                <w:color w:val="auto"/>
                <w:kern w:val="2"/>
                <w:sz w:val="21"/>
                <w:szCs w:val="21"/>
                <w:u w:val="none"/>
              </w:rPr>
              <w:t>调整已发生的成本的</w:t>
            </w:r>
          </w:p>
          <w:p w14:paraId="342265F5">
            <w:pPr>
              <w:pStyle w:val="5"/>
              <w:keepNext w:val="0"/>
              <w:keepLines w:val="0"/>
              <w:pageBreakBefore w:val="0"/>
              <w:widowControl/>
              <w:suppressLineNumbers w:val="0"/>
              <w:kinsoku/>
              <w:wordWrap/>
              <w:overflowPunct/>
              <w:topLinePunct w:val="0"/>
              <w:bidi w:val="0"/>
              <w:snapToGrid/>
              <w:spacing w:before="0" w:beforeAutospacing="0" w:after="0" w:afterAutospacing="0" w:line="288" w:lineRule="auto"/>
              <w:ind w:left="0" w:firstLine="0"/>
              <w:jc w:val="left"/>
              <w:textAlignment w:val="auto"/>
              <w:rPr>
                <w:rFonts w:hint="eastAsia" w:ascii="宋体" w:hAnsi="宋体" w:eastAsia="宋体" w:cs="宋体"/>
                <w:sz w:val="21"/>
                <w:szCs w:val="21"/>
              </w:rPr>
            </w:pPr>
            <w:r>
              <w:rPr>
                <w:rFonts w:hint="eastAsia" w:ascii="宋体" w:hAnsi="宋体" w:eastAsia="宋体" w:cs="宋体"/>
                <w:b w:val="0"/>
                <w:bCs w:val="0"/>
                <w:i w:val="0"/>
                <w:iCs w:val="0"/>
                <w:color w:val="auto"/>
                <w:kern w:val="2"/>
                <w:sz w:val="21"/>
                <w:szCs w:val="21"/>
                <w:u w:val="none"/>
              </w:rPr>
              <w:t>情形</w:t>
            </w:r>
          </w:p>
        </w:tc>
        <w:tc>
          <w:tcPr>
            <w:tcW w:w="3884" w:type="pct"/>
            <w:shd w:val="clear" w:color="auto" w:fill="auto"/>
            <w:tcMar>
              <w:top w:w="69" w:type="dxa"/>
              <w:left w:w="139" w:type="dxa"/>
              <w:bottom w:w="69" w:type="dxa"/>
              <w:right w:w="139" w:type="dxa"/>
            </w:tcMar>
            <w:vAlign w:val="center"/>
          </w:tcPr>
          <w:p w14:paraId="48E1139D">
            <w:pPr>
              <w:pStyle w:val="5"/>
              <w:keepNext w:val="0"/>
              <w:keepLines w:val="0"/>
              <w:pageBreakBefore w:val="0"/>
              <w:widowControl/>
              <w:suppressLineNumbers w:val="0"/>
              <w:kinsoku/>
              <w:wordWrap/>
              <w:overflowPunct/>
              <w:topLinePunct w:val="0"/>
              <w:bidi w:val="0"/>
              <w:snapToGrid/>
              <w:spacing w:before="0" w:beforeAutospacing="0" w:after="0" w:afterAutospacing="0" w:line="288" w:lineRule="auto"/>
              <w:ind w:left="0" w:firstLine="0"/>
              <w:jc w:val="left"/>
              <w:textAlignment w:val="auto"/>
              <w:rPr>
                <w:rFonts w:hint="eastAsia" w:ascii="宋体" w:hAnsi="宋体" w:eastAsia="宋体" w:cs="宋体"/>
                <w:sz w:val="21"/>
                <w:szCs w:val="21"/>
              </w:rPr>
            </w:pPr>
            <w:r>
              <w:rPr>
                <w:rFonts w:hint="eastAsia" w:ascii="宋体" w:hAnsi="宋体" w:eastAsia="宋体" w:cs="宋体"/>
                <w:b w:val="0"/>
                <w:bCs w:val="0"/>
                <w:i w:val="0"/>
                <w:iCs w:val="0"/>
                <w:color w:val="auto"/>
                <w:kern w:val="2"/>
                <w:sz w:val="21"/>
                <w:szCs w:val="21"/>
                <w:u w:val="none"/>
              </w:rPr>
              <w:t>已发生的成本并</w:t>
            </w:r>
            <w:r>
              <w:rPr>
                <w:rFonts w:hint="eastAsia" w:ascii="宋体" w:hAnsi="宋体" w:eastAsia="宋体" w:cs="宋体"/>
                <w:b w:val="0"/>
                <w:bCs w:val="0"/>
                <w:i w:val="0"/>
                <w:iCs w:val="0"/>
                <w:color w:val="FF0000"/>
                <w:kern w:val="2"/>
                <w:sz w:val="21"/>
                <w:szCs w:val="21"/>
                <w:u w:val="none"/>
              </w:rPr>
              <w:t>未反映企业履行履约义务的进度</w:t>
            </w:r>
            <w:r>
              <w:rPr>
                <w:rFonts w:hint="eastAsia" w:ascii="宋体" w:hAnsi="宋体" w:eastAsia="宋体" w:cs="宋体"/>
                <w:b w:val="0"/>
                <w:bCs w:val="0"/>
                <w:i w:val="0"/>
                <w:iCs w:val="0"/>
                <w:color w:val="auto"/>
                <w:kern w:val="2"/>
                <w:sz w:val="21"/>
                <w:szCs w:val="21"/>
                <w:u w:val="none"/>
              </w:rPr>
              <w:t>。</w:t>
            </w:r>
          </w:p>
        </w:tc>
      </w:tr>
      <w:tr w14:paraId="5C4EC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17" w:hRule="atLeast"/>
        </w:trPr>
        <w:tc>
          <w:tcPr>
            <w:tcW w:w="1115" w:type="pct"/>
            <w:vMerge w:val="continue"/>
            <w:shd w:val="clear" w:color="auto" w:fill="auto"/>
            <w:tcMar>
              <w:top w:w="69" w:type="dxa"/>
              <w:left w:w="139" w:type="dxa"/>
              <w:bottom w:w="69" w:type="dxa"/>
              <w:right w:w="139" w:type="dxa"/>
            </w:tcMar>
            <w:vAlign w:val="center"/>
          </w:tcPr>
          <w:p w14:paraId="0A06C559">
            <w:pPr>
              <w:keepNext w:val="0"/>
              <w:keepLines w:val="0"/>
              <w:pageBreakBefore w:val="0"/>
              <w:kinsoku/>
              <w:wordWrap/>
              <w:overflowPunct/>
              <w:topLinePunct w:val="0"/>
              <w:bidi w:val="0"/>
              <w:snapToGrid/>
              <w:spacing w:before="0" w:beforeLines="0" w:after="0" w:afterLines="0"/>
              <w:textAlignment w:val="auto"/>
              <w:rPr>
                <w:rFonts w:hint="eastAsia" w:ascii="宋体" w:hAnsi="宋体" w:eastAsia="宋体" w:cs="宋体"/>
                <w:i w:val="0"/>
                <w:iCs w:val="0"/>
                <w:color w:val="auto"/>
                <w:sz w:val="21"/>
                <w:szCs w:val="21"/>
                <w:u w:val="none"/>
              </w:rPr>
            </w:pPr>
          </w:p>
        </w:tc>
        <w:tc>
          <w:tcPr>
            <w:tcW w:w="3884" w:type="pct"/>
            <w:shd w:val="clear" w:color="auto" w:fill="auto"/>
            <w:tcMar>
              <w:top w:w="69" w:type="dxa"/>
              <w:left w:w="139" w:type="dxa"/>
              <w:bottom w:w="69" w:type="dxa"/>
              <w:right w:w="139" w:type="dxa"/>
            </w:tcMar>
            <w:vAlign w:val="center"/>
          </w:tcPr>
          <w:p w14:paraId="285F26DB">
            <w:pPr>
              <w:pStyle w:val="5"/>
              <w:keepNext w:val="0"/>
              <w:keepLines w:val="0"/>
              <w:pageBreakBefore w:val="0"/>
              <w:widowControl/>
              <w:suppressLineNumbers w:val="0"/>
              <w:kinsoku/>
              <w:wordWrap/>
              <w:overflowPunct/>
              <w:topLinePunct w:val="0"/>
              <w:bidi w:val="0"/>
              <w:snapToGrid/>
              <w:spacing w:before="0" w:beforeAutospacing="0" w:after="0" w:afterAutospacing="0" w:line="288" w:lineRule="auto"/>
              <w:ind w:left="0" w:firstLine="0"/>
              <w:jc w:val="left"/>
              <w:textAlignment w:val="auto"/>
              <w:rPr>
                <w:rFonts w:hint="eastAsia" w:ascii="宋体" w:hAnsi="宋体" w:eastAsia="宋体" w:cs="宋体"/>
                <w:sz w:val="21"/>
                <w:szCs w:val="21"/>
              </w:rPr>
            </w:pPr>
            <w:r>
              <w:rPr>
                <w:rFonts w:hint="eastAsia" w:ascii="宋体" w:hAnsi="宋体" w:eastAsia="宋体" w:cs="宋体"/>
                <w:b w:val="0"/>
                <w:bCs w:val="0"/>
                <w:i w:val="0"/>
                <w:iCs w:val="0"/>
                <w:color w:val="auto"/>
                <w:kern w:val="2"/>
                <w:sz w:val="21"/>
                <w:szCs w:val="21"/>
                <w:u w:val="none"/>
              </w:rPr>
              <w:t>已发生的成本</w:t>
            </w:r>
            <w:r>
              <w:rPr>
                <w:rFonts w:hint="eastAsia" w:ascii="宋体" w:hAnsi="宋体" w:eastAsia="宋体" w:cs="宋体"/>
                <w:b w:val="0"/>
                <w:bCs w:val="0"/>
                <w:i w:val="0"/>
                <w:iCs w:val="0"/>
                <w:color w:val="FF0000"/>
                <w:kern w:val="2"/>
                <w:sz w:val="21"/>
                <w:szCs w:val="21"/>
                <w:u w:val="none"/>
              </w:rPr>
              <w:t>与企业履行履约义务的进度不成比例</w:t>
            </w:r>
            <w:r>
              <w:rPr>
                <w:rFonts w:hint="eastAsia" w:ascii="宋体" w:hAnsi="宋体" w:eastAsia="宋体" w:cs="宋体"/>
                <w:b w:val="0"/>
                <w:bCs w:val="0"/>
                <w:i w:val="0"/>
                <w:iCs w:val="0"/>
                <w:color w:val="auto"/>
                <w:kern w:val="2"/>
                <w:sz w:val="21"/>
                <w:szCs w:val="21"/>
                <w:u w:val="none"/>
              </w:rPr>
              <w:t>。</w:t>
            </w:r>
          </w:p>
        </w:tc>
      </w:tr>
      <w:tr w14:paraId="79E48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5" w:hRule="atLeast"/>
        </w:trPr>
        <w:tc>
          <w:tcPr>
            <w:tcW w:w="1115" w:type="pct"/>
            <w:vMerge w:val="restart"/>
            <w:shd w:val="clear" w:color="auto" w:fill="auto"/>
            <w:tcMar>
              <w:top w:w="69" w:type="dxa"/>
              <w:left w:w="139" w:type="dxa"/>
              <w:bottom w:w="69" w:type="dxa"/>
              <w:right w:w="139" w:type="dxa"/>
            </w:tcMar>
            <w:vAlign w:val="center"/>
          </w:tcPr>
          <w:p w14:paraId="65792965">
            <w:pPr>
              <w:pStyle w:val="5"/>
              <w:keepNext w:val="0"/>
              <w:keepLines w:val="0"/>
              <w:pageBreakBefore w:val="0"/>
              <w:widowControl/>
              <w:suppressLineNumbers w:val="0"/>
              <w:kinsoku/>
              <w:wordWrap/>
              <w:overflowPunct/>
              <w:topLinePunct w:val="0"/>
              <w:bidi w:val="0"/>
              <w:snapToGrid/>
              <w:spacing w:before="0" w:beforeAutospacing="0" w:after="0" w:afterAutospacing="0" w:line="288" w:lineRule="auto"/>
              <w:ind w:left="0" w:firstLine="0"/>
              <w:jc w:val="left"/>
              <w:textAlignment w:val="auto"/>
              <w:rPr>
                <w:rFonts w:hint="eastAsia" w:ascii="宋体" w:hAnsi="宋体" w:eastAsia="宋体" w:cs="宋体"/>
                <w:sz w:val="21"/>
                <w:szCs w:val="21"/>
              </w:rPr>
            </w:pPr>
            <w:r>
              <w:rPr>
                <w:rFonts w:hint="eastAsia" w:ascii="宋体" w:hAnsi="宋体" w:eastAsia="宋体" w:cs="宋体"/>
                <w:b w:val="0"/>
                <w:bCs w:val="0"/>
                <w:i w:val="0"/>
                <w:iCs w:val="0"/>
                <w:color w:val="auto"/>
                <w:kern w:val="2"/>
                <w:sz w:val="21"/>
                <w:szCs w:val="21"/>
                <w:u w:val="none"/>
              </w:rPr>
              <w:t>5.对于在</w:t>
            </w:r>
            <w:r>
              <w:rPr>
                <w:rFonts w:hint="eastAsia" w:ascii="宋体" w:hAnsi="宋体" w:eastAsia="宋体" w:cs="宋体"/>
                <w:b w:val="0"/>
                <w:bCs w:val="0"/>
                <w:i w:val="0"/>
                <w:iCs w:val="0"/>
                <w:color w:val="FF0000"/>
                <w:kern w:val="2"/>
                <w:sz w:val="21"/>
                <w:szCs w:val="21"/>
                <w:u w:val="none"/>
              </w:rPr>
              <w:t>某一时段内履行的履约义务</w:t>
            </w:r>
          </w:p>
        </w:tc>
        <w:tc>
          <w:tcPr>
            <w:tcW w:w="3884" w:type="pct"/>
            <w:shd w:val="clear" w:color="auto" w:fill="auto"/>
            <w:tcMar>
              <w:top w:w="69" w:type="dxa"/>
              <w:left w:w="139" w:type="dxa"/>
              <w:bottom w:w="69" w:type="dxa"/>
              <w:right w:w="139" w:type="dxa"/>
            </w:tcMar>
            <w:vAlign w:val="center"/>
          </w:tcPr>
          <w:p w14:paraId="1154430F">
            <w:pPr>
              <w:pStyle w:val="5"/>
              <w:keepNext w:val="0"/>
              <w:keepLines w:val="0"/>
              <w:pageBreakBefore w:val="0"/>
              <w:widowControl/>
              <w:suppressLineNumbers w:val="0"/>
              <w:kinsoku/>
              <w:wordWrap/>
              <w:overflowPunct/>
              <w:topLinePunct w:val="0"/>
              <w:bidi w:val="0"/>
              <w:snapToGrid/>
              <w:spacing w:before="0" w:beforeAutospacing="0" w:after="0" w:afterAutospacing="0" w:line="288" w:lineRule="auto"/>
              <w:ind w:left="0" w:firstLine="0"/>
              <w:jc w:val="left"/>
              <w:textAlignment w:val="auto"/>
              <w:rPr>
                <w:rFonts w:hint="eastAsia" w:ascii="宋体" w:hAnsi="宋体" w:eastAsia="宋体" w:cs="宋体"/>
                <w:sz w:val="21"/>
                <w:szCs w:val="21"/>
              </w:rPr>
            </w:pPr>
            <w:r>
              <w:rPr>
                <w:rFonts w:hint="eastAsia" w:ascii="宋体" w:hAnsi="宋体" w:eastAsia="宋体" w:cs="宋体"/>
                <w:b w:val="0"/>
                <w:bCs w:val="0"/>
                <w:i w:val="0"/>
                <w:iCs w:val="0"/>
                <w:color w:val="auto"/>
                <w:kern w:val="2"/>
                <w:sz w:val="21"/>
                <w:szCs w:val="21"/>
                <w:u w:val="none"/>
              </w:rPr>
              <w:t>履约进度</w:t>
            </w:r>
            <w:r>
              <w:rPr>
                <w:rFonts w:hint="eastAsia" w:ascii="宋体" w:hAnsi="宋体" w:eastAsia="宋体" w:cs="宋体"/>
                <w:b w:val="0"/>
                <w:bCs w:val="0"/>
                <w:i w:val="0"/>
                <w:iCs w:val="0"/>
                <w:color w:val="FF0000"/>
                <w:kern w:val="2"/>
                <w:sz w:val="21"/>
                <w:szCs w:val="21"/>
                <w:u w:val="none"/>
              </w:rPr>
              <w:t>能够合理确定时</w:t>
            </w:r>
            <w:r>
              <w:rPr>
                <w:rFonts w:hint="eastAsia" w:ascii="宋体" w:hAnsi="宋体" w:eastAsia="宋体" w:cs="宋体"/>
                <w:b w:val="0"/>
                <w:bCs w:val="0"/>
                <w:i w:val="0"/>
                <w:iCs w:val="0"/>
                <w:color w:val="auto"/>
                <w:kern w:val="2"/>
                <w:sz w:val="21"/>
                <w:szCs w:val="21"/>
                <w:u w:val="none"/>
              </w:rPr>
              <w:t>，</w:t>
            </w:r>
            <w:r>
              <w:rPr>
                <w:rFonts w:hint="eastAsia" w:ascii="宋体" w:hAnsi="宋体" w:eastAsia="宋体" w:cs="宋体"/>
                <w:b w:val="0"/>
                <w:bCs w:val="0"/>
                <w:i w:val="0"/>
                <w:iCs w:val="0"/>
                <w:color w:val="FF0000"/>
                <w:kern w:val="2"/>
                <w:sz w:val="21"/>
                <w:szCs w:val="21"/>
                <w:u w:val="none"/>
              </w:rPr>
              <w:t>应当按照履约进度确认收入</w:t>
            </w:r>
          </w:p>
        </w:tc>
      </w:tr>
      <w:tr w14:paraId="6EC13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0" w:hRule="atLeast"/>
        </w:trPr>
        <w:tc>
          <w:tcPr>
            <w:tcW w:w="1115" w:type="pct"/>
            <w:vMerge w:val="continue"/>
            <w:shd w:val="clear" w:color="auto" w:fill="auto"/>
            <w:tcMar>
              <w:top w:w="69" w:type="dxa"/>
              <w:left w:w="139" w:type="dxa"/>
              <w:bottom w:w="69" w:type="dxa"/>
              <w:right w:w="139" w:type="dxa"/>
            </w:tcMar>
            <w:vAlign w:val="center"/>
          </w:tcPr>
          <w:p w14:paraId="3EAFE925">
            <w:pPr>
              <w:keepNext w:val="0"/>
              <w:keepLines w:val="0"/>
              <w:pageBreakBefore w:val="0"/>
              <w:kinsoku/>
              <w:wordWrap/>
              <w:overflowPunct/>
              <w:topLinePunct w:val="0"/>
              <w:bidi w:val="0"/>
              <w:snapToGrid/>
              <w:spacing w:before="0" w:beforeLines="0" w:after="0" w:afterLines="0"/>
              <w:textAlignment w:val="auto"/>
              <w:rPr>
                <w:rFonts w:hint="eastAsia" w:ascii="宋体" w:hAnsi="宋体" w:eastAsia="宋体" w:cs="宋体"/>
                <w:i w:val="0"/>
                <w:iCs w:val="0"/>
                <w:color w:val="auto"/>
                <w:sz w:val="21"/>
                <w:szCs w:val="21"/>
                <w:u w:val="none"/>
              </w:rPr>
            </w:pPr>
          </w:p>
        </w:tc>
        <w:tc>
          <w:tcPr>
            <w:tcW w:w="3884" w:type="pct"/>
            <w:shd w:val="clear" w:color="auto" w:fill="auto"/>
            <w:tcMar>
              <w:top w:w="69" w:type="dxa"/>
              <w:left w:w="139" w:type="dxa"/>
              <w:bottom w:w="69" w:type="dxa"/>
              <w:right w:w="139" w:type="dxa"/>
            </w:tcMar>
            <w:vAlign w:val="center"/>
          </w:tcPr>
          <w:p w14:paraId="1B2E0B9A">
            <w:pPr>
              <w:pStyle w:val="5"/>
              <w:keepNext w:val="0"/>
              <w:keepLines w:val="0"/>
              <w:pageBreakBefore w:val="0"/>
              <w:widowControl/>
              <w:suppressLineNumbers w:val="0"/>
              <w:kinsoku/>
              <w:wordWrap/>
              <w:overflowPunct/>
              <w:topLinePunct w:val="0"/>
              <w:bidi w:val="0"/>
              <w:snapToGrid/>
              <w:spacing w:before="0" w:beforeAutospacing="0" w:after="0" w:afterAutospacing="0" w:line="288" w:lineRule="auto"/>
              <w:ind w:left="0" w:firstLine="0"/>
              <w:jc w:val="left"/>
              <w:textAlignment w:val="auto"/>
              <w:rPr>
                <w:rFonts w:hint="eastAsia" w:ascii="宋体" w:hAnsi="宋体" w:eastAsia="宋体" w:cs="宋体"/>
                <w:sz w:val="21"/>
                <w:szCs w:val="21"/>
              </w:rPr>
            </w:pPr>
            <w:r>
              <w:rPr>
                <w:rFonts w:hint="eastAsia" w:ascii="宋体" w:hAnsi="宋体" w:eastAsia="宋体" w:cs="宋体"/>
                <w:b w:val="0"/>
                <w:bCs w:val="0"/>
                <w:i w:val="0"/>
                <w:iCs w:val="0"/>
                <w:color w:val="auto"/>
                <w:kern w:val="2"/>
                <w:sz w:val="21"/>
                <w:szCs w:val="21"/>
                <w:u w:val="none"/>
              </w:rPr>
              <w:t>履约进度</w:t>
            </w:r>
            <w:r>
              <w:rPr>
                <w:rFonts w:hint="eastAsia" w:ascii="宋体" w:hAnsi="宋体" w:eastAsia="宋体" w:cs="宋体"/>
                <w:b w:val="0"/>
                <w:bCs w:val="0"/>
                <w:i w:val="0"/>
                <w:iCs w:val="0"/>
                <w:color w:val="FF0000"/>
                <w:kern w:val="2"/>
                <w:sz w:val="21"/>
                <w:szCs w:val="21"/>
                <w:u w:val="none"/>
              </w:rPr>
              <w:t>不能合理确定时</w:t>
            </w:r>
            <w:r>
              <w:rPr>
                <w:rFonts w:hint="eastAsia" w:ascii="宋体" w:hAnsi="宋体" w:eastAsia="宋体" w:cs="宋体"/>
                <w:b w:val="0"/>
                <w:bCs w:val="0"/>
                <w:i w:val="0"/>
                <w:iCs w:val="0"/>
                <w:color w:val="auto"/>
                <w:kern w:val="2"/>
                <w:sz w:val="21"/>
                <w:szCs w:val="21"/>
                <w:u w:val="none"/>
              </w:rPr>
              <w:t>，企业已经发生的成本预计能够得到补偿的，</w:t>
            </w:r>
            <w:r>
              <w:rPr>
                <w:rFonts w:hint="eastAsia" w:ascii="宋体" w:hAnsi="宋体" w:eastAsia="宋体" w:cs="宋体"/>
                <w:b w:val="0"/>
                <w:bCs w:val="0"/>
                <w:i w:val="0"/>
                <w:iCs w:val="0"/>
                <w:color w:val="FF0000"/>
                <w:kern w:val="2"/>
                <w:sz w:val="21"/>
                <w:szCs w:val="21"/>
                <w:u w:val="none"/>
              </w:rPr>
              <w:t>应当按照已经发生的成本金额确认收入</w:t>
            </w:r>
            <w:r>
              <w:rPr>
                <w:rFonts w:hint="eastAsia" w:ascii="宋体" w:hAnsi="宋体" w:eastAsia="宋体" w:cs="宋体"/>
                <w:b w:val="0"/>
                <w:bCs w:val="0"/>
                <w:i w:val="0"/>
                <w:iCs w:val="0"/>
                <w:color w:val="auto"/>
                <w:kern w:val="2"/>
                <w:sz w:val="21"/>
                <w:szCs w:val="21"/>
                <w:u w:val="none"/>
              </w:rPr>
              <w:t xml:space="preserve">，直到履约进度能够合理确定为止。 </w:t>
            </w:r>
          </w:p>
        </w:tc>
      </w:tr>
    </w:tbl>
    <w:p w14:paraId="27D4E3E4">
      <w:pPr>
        <w:keepNext w:val="0"/>
        <w:keepLines w:val="0"/>
        <w:pageBreakBefore w:val="0"/>
        <w:widowControl w:val="0"/>
        <w:kinsoku/>
        <w:wordWrap/>
        <w:overflowPunct/>
        <w:topLinePunct w:val="0"/>
        <w:autoSpaceDE w:val="0"/>
        <w:autoSpaceDN w:val="0"/>
        <w:bidi w:val="0"/>
        <w:adjustRightInd w:val="0"/>
        <w:snapToGrid/>
        <w:spacing w:line="360" w:lineRule="auto"/>
        <w:ind w:left="0" w:firstLine="0"/>
        <w:textAlignment w:val="auto"/>
        <w:outlineLvl w:val="9"/>
        <w:rPr>
          <w:rFonts w:hint="eastAsia" w:ascii="宋体" w:hAnsi="宋体" w:eastAsia="宋体" w:cs="宋体"/>
          <w:color w:val="auto"/>
          <w:sz w:val="21"/>
          <w:szCs w:val="21"/>
        </w:rPr>
      </w:pPr>
    </w:p>
    <w:p w14:paraId="42037CC6">
      <w:pPr>
        <w:keepNext w:val="0"/>
        <w:keepLines w:val="0"/>
        <w:pageBreakBefore w:val="0"/>
        <w:widowControl w:val="0"/>
        <w:numPr>
          <w:ilvl w:val="0"/>
          <w:numId w:val="1"/>
        </w:numPr>
        <w:kinsoku/>
        <w:wordWrap/>
        <w:overflowPunct w:val="0"/>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 xml:space="preserve"> 收入</w:t>
      </w:r>
    </w:p>
    <w:p w14:paraId="5193CDD1">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p>
    <w:tbl>
      <w:tblPr>
        <w:tblStyle w:val="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6"/>
        <w:gridCol w:w="2028"/>
        <w:gridCol w:w="2026"/>
        <w:gridCol w:w="2028"/>
        <w:gridCol w:w="2028"/>
      </w:tblGrid>
      <w:tr w14:paraId="74377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9" w:type="pct"/>
            <w:gridSpan w:val="2"/>
            <w:noWrap w:val="0"/>
            <w:vAlign w:val="top"/>
          </w:tcPr>
          <w:p w14:paraId="02FABD2F">
            <w:pPr>
              <w:keepNext w:val="0"/>
              <w:keepLines w:val="0"/>
              <w:pageBreakBefore w:val="0"/>
              <w:widowControl w:val="0"/>
              <w:kinsoku/>
              <w:wordWrap/>
              <w:overflowPunct w:val="0"/>
              <w:topLinePunct w:val="0"/>
              <w:autoSpaceDE/>
              <w:autoSpaceDN/>
              <w:bidi w:val="0"/>
              <w:adjustRightInd/>
              <w:snapToGrid/>
              <w:spacing w:line="360" w:lineRule="auto"/>
              <w:jc w:val="center"/>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掌握【例题】</w:t>
            </w:r>
            <w:r>
              <w:rPr>
                <w:rFonts w:hint="eastAsia" w:ascii="宋体" w:hAnsi="宋体" w:eastAsia="宋体" w:cs="宋体"/>
                <w:b w:val="0"/>
                <w:bCs w:val="0"/>
                <w:i w:val="0"/>
                <w:color w:val="FF0000"/>
                <w:sz w:val="21"/>
                <w:szCs w:val="21"/>
                <w:u w:val="none"/>
                <w:vertAlign w:val="baseline"/>
                <w:lang w:eastAsia="zh-CN"/>
              </w:rPr>
              <w:t>★★</w:t>
            </w:r>
          </w:p>
        </w:tc>
        <w:tc>
          <w:tcPr>
            <w:tcW w:w="999" w:type="pct"/>
            <w:noWrap w:val="0"/>
            <w:vAlign w:val="top"/>
          </w:tcPr>
          <w:p w14:paraId="7A5E125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color w:val="FF0000"/>
                <w:sz w:val="21"/>
                <w:szCs w:val="21"/>
                <w:u w:val="none"/>
                <w:vertAlign w:val="baseline"/>
                <w:lang w:eastAsia="zh-CN"/>
              </w:rPr>
            </w:pPr>
            <w:r>
              <w:rPr>
                <w:rFonts w:hint="eastAsia" w:ascii="宋体" w:hAnsi="宋体" w:eastAsia="宋体" w:cs="宋体"/>
                <w:b w:val="0"/>
                <w:bCs w:val="0"/>
                <w:i w:val="0"/>
                <w:color w:val="FF0000"/>
                <w:sz w:val="21"/>
                <w:szCs w:val="21"/>
                <w:u w:val="none"/>
                <w:vertAlign w:val="baseline"/>
                <w:lang w:eastAsia="zh-CN"/>
              </w:rPr>
              <w:t>已发生</w:t>
            </w:r>
          </w:p>
        </w:tc>
        <w:tc>
          <w:tcPr>
            <w:tcW w:w="1000" w:type="pct"/>
            <w:noWrap w:val="0"/>
            <w:vAlign w:val="top"/>
          </w:tcPr>
          <w:p w14:paraId="40A7007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color w:val="FF0000"/>
                <w:sz w:val="21"/>
                <w:szCs w:val="21"/>
                <w:u w:val="none"/>
                <w:vertAlign w:val="baseline"/>
                <w:lang w:eastAsia="zh-CN"/>
              </w:rPr>
            </w:pPr>
            <w:r>
              <w:rPr>
                <w:rFonts w:hint="eastAsia" w:ascii="宋体" w:hAnsi="宋体" w:eastAsia="宋体" w:cs="宋体"/>
                <w:b w:val="0"/>
                <w:bCs w:val="0"/>
                <w:i w:val="0"/>
                <w:color w:val="FF0000"/>
                <w:sz w:val="21"/>
                <w:szCs w:val="21"/>
                <w:u w:val="none"/>
                <w:vertAlign w:val="baseline"/>
                <w:lang w:eastAsia="zh-CN"/>
              </w:rPr>
              <w:t>履约进度</w:t>
            </w:r>
          </w:p>
        </w:tc>
        <w:tc>
          <w:tcPr>
            <w:tcW w:w="1000" w:type="pct"/>
            <w:noWrap w:val="0"/>
            <w:vAlign w:val="top"/>
          </w:tcPr>
          <w:p w14:paraId="13FD6AF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color w:val="FF0000"/>
                <w:sz w:val="21"/>
                <w:szCs w:val="21"/>
                <w:u w:val="none"/>
                <w:vertAlign w:val="baseline"/>
                <w:lang w:eastAsia="zh-CN"/>
              </w:rPr>
            </w:pPr>
            <w:r>
              <w:rPr>
                <w:rFonts w:hint="eastAsia" w:ascii="宋体" w:hAnsi="宋体" w:eastAsia="宋体" w:cs="宋体"/>
                <w:b w:val="0"/>
                <w:bCs w:val="0"/>
                <w:i w:val="0"/>
                <w:color w:val="FF0000"/>
                <w:sz w:val="21"/>
                <w:szCs w:val="21"/>
                <w:u w:val="none"/>
                <w:vertAlign w:val="baseline"/>
                <w:lang w:eastAsia="zh-CN"/>
              </w:rPr>
              <w:t>含电梯</w:t>
            </w:r>
          </w:p>
        </w:tc>
      </w:tr>
      <w:tr w14:paraId="289A9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Merge w:val="restart"/>
            <w:noWrap w:val="0"/>
            <w:vAlign w:val="top"/>
          </w:tcPr>
          <w:p w14:paraId="221ACB9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收入</w:t>
            </w:r>
          </w:p>
        </w:tc>
        <w:tc>
          <w:tcPr>
            <w:tcW w:w="999" w:type="pct"/>
            <w:noWrap w:val="0"/>
            <w:vAlign w:val="top"/>
          </w:tcPr>
          <w:p w14:paraId="037D7BC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含电梯 100万</w:t>
            </w:r>
          </w:p>
        </w:tc>
        <w:tc>
          <w:tcPr>
            <w:tcW w:w="999" w:type="pct"/>
            <w:noWrap w:val="0"/>
            <w:vAlign w:val="top"/>
          </w:tcPr>
          <w:p w14:paraId="7C563527">
            <w:pPr>
              <w:keepNext w:val="0"/>
              <w:keepLines w:val="0"/>
              <w:pageBreakBefore w:val="0"/>
              <w:widowControl w:val="0"/>
              <w:kinsoku/>
              <w:wordWrap/>
              <w:overflowPunct w:val="0"/>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p>
        </w:tc>
        <w:tc>
          <w:tcPr>
            <w:tcW w:w="1000" w:type="pct"/>
            <w:noWrap w:val="0"/>
            <w:vAlign w:val="top"/>
          </w:tcPr>
          <w:p w14:paraId="4B87C2EF">
            <w:pPr>
              <w:keepNext w:val="0"/>
              <w:keepLines w:val="0"/>
              <w:pageBreakBefore w:val="0"/>
              <w:widowControl w:val="0"/>
              <w:kinsoku/>
              <w:wordWrap/>
              <w:overflowPunct w:val="0"/>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p>
        </w:tc>
        <w:tc>
          <w:tcPr>
            <w:tcW w:w="1000" w:type="pct"/>
            <w:noWrap w:val="0"/>
            <w:vAlign w:val="top"/>
          </w:tcPr>
          <w:p w14:paraId="479CEBF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14+30=44</w:t>
            </w:r>
          </w:p>
        </w:tc>
      </w:tr>
      <w:tr w14:paraId="0C700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Merge w:val="continue"/>
            <w:noWrap w:val="0"/>
            <w:vAlign w:val="top"/>
          </w:tcPr>
          <w:p w14:paraId="44E552FC">
            <w:pPr>
              <w:keepNext w:val="0"/>
              <w:keepLines w:val="0"/>
              <w:pageBreakBefore w:val="0"/>
              <w:widowControl w:val="0"/>
              <w:kinsoku/>
              <w:wordWrap/>
              <w:overflowPunct w:val="0"/>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p>
        </w:tc>
        <w:tc>
          <w:tcPr>
            <w:tcW w:w="999" w:type="pct"/>
            <w:noWrap w:val="0"/>
            <w:vAlign w:val="top"/>
          </w:tcPr>
          <w:p w14:paraId="187068C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不含电梯70万</w:t>
            </w:r>
          </w:p>
        </w:tc>
        <w:tc>
          <w:tcPr>
            <w:tcW w:w="999" w:type="pct"/>
            <w:noWrap w:val="0"/>
            <w:vAlign w:val="top"/>
          </w:tcPr>
          <w:p w14:paraId="79E85FF1">
            <w:pPr>
              <w:keepNext w:val="0"/>
              <w:keepLines w:val="0"/>
              <w:pageBreakBefore w:val="0"/>
              <w:widowControl w:val="0"/>
              <w:kinsoku/>
              <w:wordWrap/>
              <w:overflowPunct w:val="0"/>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p>
        </w:tc>
        <w:tc>
          <w:tcPr>
            <w:tcW w:w="1000" w:type="pct"/>
            <w:noWrap w:val="0"/>
            <w:vAlign w:val="top"/>
          </w:tcPr>
          <w:p w14:paraId="298A7E0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70×20%=14</w:t>
            </w:r>
          </w:p>
        </w:tc>
        <w:tc>
          <w:tcPr>
            <w:tcW w:w="1000" w:type="pct"/>
            <w:noWrap w:val="0"/>
            <w:vAlign w:val="top"/>
          </w:tcPr>
          <w:p w14:paraId="28E7AB28">
            <w:pPr>
              <w:keepNext w:val="0"/>
              <w:keepLines w:val="0"/>
              <w:pageBreakBefore w:val="0"/>
              <w:widowControl w:val="0"/>
              <w:kinsoku/>
              <w:wordWrap/>
              <w:overflowPunct w:val="0"/>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p>
        </w:tc>
      </w:tr>
      <w:tr w14:paraId="02666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Merge w:val="restart"/>
            <w:noWrap w:val="0"/>
            <w:vAlign w:val="top"/>
          </w:tcPr>
          <w:p w14:paraId="767C696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成本</w:t>
            </w:r>
          </w:p>
        </w:tc>
        <w:tc>
          <w:tcPr>
            <w:tcW w:w="999" w:type="pct"/>
            <w:noWrap w:val="0"/>
            <w:vAlign w:val="top"/>
          </w:tcPr>
          <w:p w14:paraId="6CC1EEF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含电梯80万</w:t>
            </w:r>
          </w:p>
        </w:tc>
        <w:tc>
          <w:tcPr>
            <w:tcW w:w="999" w:type="pct"/>
            <w:noWrap w:val="0"/>
            <w:vAlign w:val="top"/>
          </w:tcPr>
          <w:p w14:paraId="6BC95B3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40</w:t>
            </w:r>
          </w:p>
        </w:tc>
        <w:tc>
          <w:tcPr>
            <w:tcW w:w="1000" w:type="pct"/>
            <w:noWrap w:val="0"/>
            <w:vAlign w:val="top"/>
          </w:tcPr>
          <w:p w14:paraId="63D2F838">
            <w:pPr>
              <w:keepNext w:val="0"/>
              <w:keepLines w:val="0"/>
              <w:pageBreakBefore w:val="0"/>
              <w:widowControl w:val="0"/>
              <w:kinsoku/>
              <w:wordWrap/>
              <w:overflowPunct w:val="0"/>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p>
        </w:tc>
        <w:tc>
          <w:tcPr>
            <w:tcW w:w="1000" w:type="pct"/>
            <w:noWrap w:val="0"/>
            <w:vAlign w:val="top"/>
          </w:tcPr>
          <w:p w14:paraId="7060ED6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10+30=40</w:t>
            </w:r>
          </w:p>
        </w:tc>
      </w:tr>
      <w:tr w14:paraId="038F8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Merge w:val="continue"/>
            <w:noWrap w:val="0"/>
            <w:vAlign w:val="top"/>
          </w:tcPr>
          <w:p w14:paraId="4C8AE0B9">
            <w:pPr>
              <w:keepNext w:val="0"/>
              <w:keepLines w:val="0"/>
              <w:pageBreakBefore w:val="0"/>
              <w:widowControl w:val="0"/>
              <w:kinsoku/>
              <w:wordWrap/>
              <w:overflowPunct w:val="0"/>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p>
        </w:tc>
        <w:tc>
          <w:tcPr>
            <w:tcW w:w="999" w:type="pct"/>
            <w:noWrap w:val="0"/>
            <w:vAlign w:val="top"/>
          </w:tcPr>
          <w:p w14:paraId="532C2FB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不含电梯50万</w:t>
            </w:r>
          </w:p>
        </w:tc>
        <w:tc>
          <w:tcPr>
            <w:tcW w:w="999" w:type="pct"/>
            <w:noWrap w:val="0"/>
            <w:vAlign w:val="top"/>
          </w:tcPr>
          <w:p w14:paraId="44B03CF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10</w:t>
            </w:r>
          </w:p>
        </w:tc>
        <w:tc>
          <w:tcPr>
            <w:tcW w:w="1000" w:type="pct"/>
            <w:noWrap w:val="0"/>
            <w:vAlign w:val="top"/>
          </w:tcPr>
          <w:p w14:paraId="06BF360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10÷50=20%</w:t>
            </w:r>
          </w:p>
        </w:tc>
        <w:tc>
          <w:tcPr>
            <w:tcW w:w="1000" w:type="pct"/>
            <w:noWrap w:val="0"/>
            <w:vAlign w:val="top"/>
          </w:tcPr>
          <w:p w14:paraId="559751EB">
            <w:pPr>
              <w:keepNext w:val="0"/>
              <w:keepLines w:val="0"/>
              <w:pageBreakBefore w:val="0"/>
              <w:widowControl w:val="0"/>
              <w:kinsoku/>
              <w:wordWrap/>
              <w:overflowPunct w:val="0"/>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p>
        </w:tc>
      </w:tr>
    </w:tbl>
    <w:p w14:paraId="38BDA6A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color w:val="FF0000"/>
          <w:sz w:val="21"/>
          <w:szCs w:val="21"/>
          <w:u w:val="none"/>
          <w:lang w:eastAsia="zh-CN"/>
        </w:rPr>
      </w:pPr>
      <w:r>
        <w:rPr>
          <w:rFonts w:hint="eastAsia" w:ascii="宋体" w:hAnsi="宋体" w:eastAsia="宋体" w:cs="宋体"/>
          <w:b w:val="0"/>
          <w:bCs w:val="0"/>
          <w:i w:val="0"/>
          <w:color w:val="FF0000"/>
          <w:sz w:val="21"/>
          <w:szCs w:val="21"/>
          <w:u w:val="none"/>
          <w:lang w:eastAsia="zh-CN"/>
        </w:rPr>
        <w:t>（二）★★★在某一时点履行的履约义务</w:t>
      </w:r>
    </w:p>
    <w:tbl>
      <w:tblPr>
        <w:tblStyle w:val="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9"/>
        <w:gridCol w:w="5347"/>
        <w:gridCol w:w="3380"/>
      </w:tblGrid>
      <w:tr w14:paraId="0D9EB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pct"/>
            <w:vMerge w:val="restart"/>
            <w:noWrap w:val="0"/>
            <w:vAlign w:val="top"/>
          </w:tcPr>
          <w:p w14:paraId="2E386EE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sz w:val="21"/>
                <w:szCs w:val="21"/>
                <w:u w:val="none"/>
                <w:vertAlign w:val="baseline"/>
                <w:lang w:eastAsia="zh-CN"/>
              </w:rPr>
            </w:pPr>
          </w:p>
          <w:p w14:paraId="468F182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在判断控制权是否转移时，企业应当考虑下列五个迹象：</w:t>
            </w:r>
          </w:p>
        </w:tc>
        <w:tc>
          <w:tcPr>
            <w:tcW w:w="4304" w:type="pct"/>
            <w:gridSpan w:val="2"/>
            <w:noWrap w:val="0"/>
            <w:vAlign w:val="top"/>
          </w:tcPr>
          <w:p w14:paraId="3B1CF74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1.企业就该商品</w:t>
            </w:r>
            <w:r>
              <w:rPr>
                <w:rFonts w:hint="eastAsia" w:ascii="宋体" w:hAnsi="宋体" w:eastAsia="宋体" w:cs="宋体"/>
                <w:b w:val="0"/>
                <w:bCs w:val="0"/>
                <w:i w:val="0"/>
                <w:color w:val="FF0000"/>
                <w:sz w:val="21"/>
                <w:szCs w:val="21"/>
                <w:u w:val="none"/>
                <w:vertAlign w:val="baseline"/>
                <w:lang w:eastAsia="zh-CN"/>
              </w:rPr>
              <w:t>享有现时收款权利</w:t>
            </w:r>
            <w:r>
              <w:rPr>
                <w:rFonts w:hint="eastAsia" w:ascii="宋体" w:hAnsi="宋体" w:eastAsia="宋体" w:cs="宋体"/>
                <w:b w:val="0"/>
                <w:bCs w:val="0"/>
                <w:i w:val="0"/>
                <w:sz w:val="21"/>
                <w:szCs w:val="21"/>
                <w:u w:val="none"/>
                <w:vertAlign w:val="baseline"/>
                <w:lang w:eastAsia="zh-CN"/>
              </w:rPr>
              <w:t>，即客户就该商品负有现时付款义务。</w:t>
            </w:r>
          </w:p>
        </w:tc>
      </w:tr>
      <w:tr w14:paraId="3C021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pct"/>
            <w:vMerge w:val="continue"/>
            <w:noWrap w:val="0"/>
            <w:vAlign w:val="top"/>
          </w:tcPr>
          <w:p w14:paraId="7B5417E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p>
        </w:tc>
        <w:tc>
          <w:tcPr>
            <w:tcW w:w="4304" w:type="pct"/>
            <w:gridSpan w:val="2"/>
            <w:noWrap w:val="0"/>
            <w:vAlign w:val="top"/>
          </w:tcPr>
          <w:p w14:paraId="0C04CB7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2.企业已将该商品的</w:t>
            </w:r>
            <w:r>
              <w:rPr>
                <w:rFonts w:hint="eastAsia" w:ascii="宋体" w:hAnsi="宋体" w:eastAsia="宋体" w:cs="宋体"/>
                <w:b w:val="0"/>
                <w:bCs w:val="0"/>
                <w:i w:val="0"/>
                <w:color w:val="FF0000"/>
                <w:sz w:val="21"/>
                <w:szCs w:val="21"/>
                <w:u w:val="none"/>
                <w:vertAlign w:val="baseline"/>
                <w:lang w:eastAsia="zh-CN"/>
              </w:rPr>
              <w:t>法定所有权转移给客户</w:t>
            </w:r>
            <w:r>
              <w:rPr>
                <w:rFonts w:hint="eastAsia" w:ascii="宋体" w:hAnsi="宋体" w:eastAsia="宋体" w:cs="宋体"/>
                <w:b w:val="0"/>
                <w:bCs w:val="0"/>
                <w:i w:val="0"/>
                <w:sz w:val="21"/>
                <w:szCs w:val="21"/>
                <w:u w:val="none"/>
                <w:vertAlign w:val="baseline"/>
                <w:lang w:eastAsia="zh-CN"/>
              </w:rPr>
              <w:t>，即客户已拥有该商品的法定所有权。</w:t>
            </w:r>
          </w:p>
        </w:tc>
      </w:tr>
      <w:tr w14:paraId="1F0B4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pct"/>
            <w:vMerge w:val="continue"/>
            <w:noWrap w:val="0"/>
            <w:vAlign w:val="top"/>
          </w:tcPr>
          <w:p w14:paraId="6D809E0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p>
        </w:tc>
        <w:tc>
          <w:tcPr>
            <w:tcW w:w="4304" w:type="pct"/>
            <w:gridSpan w:val="2"/>
            <w:noWrap w:val="0"/>
            <w:vAlign w:val="top"/>
          </w:tcPr>
          <w:p w14:paraId="66A9261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3.企业已将该商品</w:t>
            </w:r>
            <w:r>
              <w:rPr>
                <w:rFonts w:hint="eastAsia" w:ascii="宋体" w:hAnsi="宋体" w:eastAsia="宋体" w:cs="宋体"/>
                <w:b w:val="0"/>
                <w:bCs w:val="0"/>
                <w:i w:val="0"/>
                <w:color w:val="FF0000"/>
                <w:sz w:val="21"/>
                <w:szCs w:val="21"/>
                <w:u w:val="none"/>
                <w:vertAlign w:val="baseline"/>
                <w:lang w:eastAsia="zh-CN"/>
              </w:rPr>
              <w:t>所有权上的主要风险和报酬转移给客户</w:t>
            </w:r>
            <w:r>
              <w:rPr>
                <w:rFonts w:hint="eastAsia" w:ascii="宋体" w:hAnsi="宋体" w:eastAsia="宋体" w:cs="宋体"/>
                <w:b w:val="0"/>
                <w:bCs w:val="0"/>
                <w:i w:val="0"/>
                <w:sz w:val="21"/>
                <w:szCs w:val="21"/>
                <w:u w:val="none"/>
                <w:vertAlign w:val="baseline"/>
                <w:lang w:eastAsia="zh-CN"/>
              </w:rPr>
              <w:t>。</w:t>
            </w:r>
          </w:p>
        </w:tc>
      </w:tr>
      <w:tr w14:paraId="3C63E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pct"/>
            <w:vMerge w:val="continue"/>
            <w:noWrap w:val="0"/>
            <w:vAlign w:val="top"/>
          </w:tcPr>
          <w:p w14:paraId="3B8FF40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p>
        </w:tc>
        <w:tc>
          <w:tcPr>
            <w:tcW w:w="2637" w:type="pct"/>
            <w:vMerge w:val="restart"/>
            <w:noWrap w:val="0"/>
            <w:vAlign w:val="top"/>
          </w:tcPr>
          <w:p w14:paraId="357E6E9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color w:val="FF0000"/>
                <w:sz w:val="21"/>
                <w:szCs w:val="21"/>
                <w:u w:val="none"/>
                <w:vertAlign w:val="baseline"/>
                <w:lang w:eastAsia="zh-CN"/>
              </w:rPr>
            </w:pPr>
            <w:r>
              <w:rPr>
                <w:rFonts w:hint="eastAsia" w:ascii="宋体" w:hAnsi="宋体" w:eastAsia="宋体" w:cs="宋体"/>
                <w:b w:val="0"/>
                <w:bCs w:val="0"/>
                <w:i w:val="0"/>
                <w:color w:val="FF0000"/>
                <w:sz w:val="21"/>
                <w:szCs w:val="21"/>
                <w:u w:val="none"/>
                <w:vertAlign w:val="baseline"/>
                <w:lang w:eastAsia="zh-CN"/>
              </w:rPr>
              <w:t>4.客户已接受该商品。</w:t>
            </w:r>
          </w:p>
          <w:p w14:paraId="5D9F28F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当商品通过了客户的验收，通常表明客户已接受该商品。通过验收的情形：</w:t>
            </w:r>
          </w:p>
        </w:tc>
        <w:tc>
          <w:tcPr>
            <w:tcW w:w="1667" w:type="pct"/>
            <w:noWrap w:val="0"/>
            <w:vAlign w:val="top"/>
          </w:tcPr>
          <w:p w14:paraId="1547D98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一是</w:t>
            </w:r>
            <w:r>
              <w:rPr>
                <w:rFonts w:hint="eastAsia" w:ascii="宋体" w:hAnsi="宋体" w:eastAsia="宋体" w:cs="宋体"/>
                <w:b w:val="0"/>
                <w:bCs w:val="0"/>
                <w:i w:val="0"/>
                <w:color w:val="FF0000"/>
                <w:sz w:val="21"/>
                <w:szCs w:val="21"/>
                <w:u w:val="none"/>
                <w:vertAlign w:val="baseline"/>
                <w:lang w:eastAsia="zh-CN"/>
              </w:rPr>
              <w:t>验收只是一项例行程序</w:t>
            </w:r>
          </w:p>
        </w:tc>
      </w:tr>
      <w:tr w14:paraId="3FCE3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pct"/>
            <w:vMerge w:val="continue"/>
            <w:noWrap w:val="0"/>
            <w:vAlign w:val="top"/>
          </w:tcPr>
          <w:p w14:paraId="077036E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p>
        </w:tc>
        <w:tc>
          <w:tcPr>
            <w:tcW w:w="2637" w:type="pct"/>
            <w:vMerge w:val="continue"/>
            <w:noWrap w:val="0"/>
            <w:vAlign w:val="top"/>
          </w:tcPr>
          <w:p w14:paraId="406B147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p>
        </w:tc>
        <w:tc>
          <w:tcPr>
            <w:tcW w:w="1667" w:type="pct"/>
            <w:noWrap w:val="0"/>
            <w:vAlign w:val="top"/>
          </w:tcPr>
          <w:p w14:paraId="4599DBA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二是验收是一项重要（关键）程序。如：定制化程度越高的商品（旗袍）。</w:t>
            </w:r>
          </w:p>
        </w:tc>
      </w:tr>
      <w:tr w14:paraId="625BA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pct"/>
            <w:vMerge w:val="continue"/>
            <w:noWrap w:val="0"/>
            <w:vAlign w:val="top"/>
          </w:tcPr>
          <w:p w14:paraId="5B076D7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p>
        </w:tc>
        <w:tc>
          <w:tcPr>
            <w:tcW w:w="4304" w:type="pct"/>
            <w:gridSpan w:val="2"/>
            <w:noWrap w:val="0"/>
            <w:vAlign w:val="top"/>
          </w:tcPr>
          <w:p w14:paraId="102912C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5.企业已将该</w:t>
            </w:r>
            <w:r>
              <w:rPr>
                <w:rFonts w:hint="eastAsia" w:ascii="宋体" w:hAnsi="宋体" w:eastAsia="宋体" w:cs="宋体"/>
                <w:b w:val="0"/>
                <w:bCs w:val="0"/>
                <w:i w:val="0"/>
                <w:color w:val="FF0000"/>
                <w:sz w:val="21"/>
                <w:szCs w:val="21"/>
                <w:u w:val="none"/>
                <w:vertAlign w:val="baseline"/>
                <w:lang w:eastAsia="zh-CN"/>
              </w:rPr>
              <w:t>商品实物转移给客户</w:t>
            </w:r>
            <w:r>
              <w:rPr>
                <w:rFonts w:hint="eastAsia" w:ascii="宋体" w:hAnsi="宋体" w:eastAsia="宋体" w:cs="宋体"/>
                <w:b w:val="0"/>
                <w:bCs w:val="0"/>
                <w:i w:val="0"/>
                <w:sz w:val="21"/>
                <w:szCs w:val="21"/>
                <w:u w:val="none"/>
                <w:vertAlign w:val="baseline"/>
                <w:lang w:eastAsia="zh-CN"/>
              </w:rPr>
              <w:t>，即客户已占有该商品实物。</w:t>
            </w:r>
          </w:p>
        </w:tc>
      </w:tr>
    </w:tbl>
    <w:p w14:paraId="0967D48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p>
    <w:p w14:paraId="5B81BAA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color w:val="FF0000"/>
          <w:sz w:val="21"/>
          <w:szCs w:val="21"/>
          <w:u w:val="none"/>
          <w:lang w:eastAsia="zh-CN"/>
        </w:rPr>
      </w:pPr>
      <w:r>
        <w:rPr>
          <w:rFonts w:hint="eastAsia" w:ascii="宋体" w:hAnsi="宋体" w:eastAsia="宋体" w:cs="宋体"/>
          <w:b w:val="0"/>
          <w:bCs w:val="0"/>
          <w:i w:val="0"/>
          <w:color w:val="FF0000"/>
          <w:sz w:val="21"/>
          <w:szCs w:val="21"/>
          <w:u w:val="none"/>
          <w:lang w:eastAsia="zh-CN"/>
        </w:rPr>
        <w:t>【考点】★合同履约成本</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9"/>
        <w:gridCol w:w="5069"/>
      </w:tblGrid>
      <w:tr w14:paraId="6A288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vMerge w:val="restart"/>
            <w:noWrap w:val="0"/>
            <w:vAlign w:val="top"/>
          </w:tcPr>
          <w:p w14:paraId="0F24A01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企业为履行合同可能会发生各种成本，不属于本书其他章节（例如，第二章存货、第三章固定资产以及第四章无形资产等）范围且同时满足下列条件的，应当作为合同履约成本确认为一项资产：</w:t>
            </w:r>
          </w:p>
        </w:tc>
        <w:tc>
          <w:tcPr>
            <w:tcW w:w="2500" w:type="pct"/>
            <w:noWrap w:val="0"/>
            <w:vAlign w:val="top"/>
          </w:tcPr>
          <w:p w14:paraId="1E8F303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1.该成本与一份当前或预期取得的合同直接相关。</w:t>
            </w:r>
          </w:p>
        </w:tc>
      </w:tr>
      <w:tr w14:paraId="0C078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vMerge w:val="continue"/>
            <w:noWrap w:val="0"/>
            <w:vAlign w:val="top"/>
          </w:tcPr>
          <w:p w14:paraId="73A76C3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p>
        </w:tc>
        <w:tc>
          <w:tcPr>
            <w:tcW w:w="2500" w:type="pct"/>
            <w:noWrap w:val="0"/>
            <w:vAlign w:val="top"/>
          </w:tcPr>
          <w:p w14:paraId="74AF583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2.该成本增加了企业未来用于履行（或持续履行）履约义务的资源。</w:t>
            </w:r>
          </w:p>
        </w:tc>
      </w:tr>
      <w:tr w14:paraId="37146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vMerge w:val="continue"/>
            <w:noWrap w:val="0"/>
            <w:vAlign w:val="top"/>
          </w:tcPr>
          <w:p w14:paraId="66949EF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p>
        </w:tc>
        <w:tc>
          <w:tcPr>
            <w:tcW w:w="2500" w:type="pct"/>
            <w:noWrap w:val="0"/>
            <w:vAlign w:val="top"/>
          </w:tcPr>
          <w:p w14:paraId="4EEA29B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3.该成本预期能够收回。</w:t>
            </w:r>
          </w:p>
        </w:tc>
      </w:tr>
    </w:tbl>
    <w:p w14:paraId="784EDC7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3"/>
        <w:gridCol w:w="8185"/>
      </w:tblGrid>
      <w:tr w14:paraId="1A3C7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 w:type="pct"/>
            <w:vMerge w:val="restart"/>
            <w:noWrap w:val="0"/>
            <w:vAlign w:val="top"/>
          </w:tcPr>
          <w:p w14:paraId="2B8FA5F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sz w:val="21"/>
                <w:szCs w:val="21"/>
                <w:u w:val="none"/>
                <w:vertAlign w:val="baseline"/>
                <w:lang w:eastAsia="zh-CN"/>
              </w:rPr>
            </w:pPr>
          </w:p>
          <w:p w14:paraId="009EC30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sz w:val="21"/>
                <w:szCs w:val="21"/>
                <w:u w:val="none"/>
                <w:vertAlign w:val="baseline"/>
                <w:lang w:eastAsia="zh-CN"/>
              </w:rPr>
            </w:pPr>
          </w:p>
          <w:p w14:paraId="5F994C2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color w:val="FF0000"/>
                <w:sz w:val="21"/>
                <w:szCs w:val="21"/>
                <w:u w:val="none"/>
                <w:vertAlign w:val="baseline"/>
                <w:lang w:eastAsia="zh-CN"/>
              </w:rPr>
            </w:pPr>
            <w:r>
              <w:rPr>
                <w:rFonts w:hint="eastAsia" w:ascii="宋体" w:hAnsi="宋体" w:eastAsia="宋体" w:cs="宋体"/>
                <w:b w:val="0"/>
                <w:bCs w:val="0"/>
                <w:i w:val="0"/>
                <w:color w:val="FF0000"/>
                <w:sz w:val="21"/>
                <w:szCs w:val="21"/>
                <w:u w:val="none"/>
                <w:vertAlign w:val="baseline"/>
                <w:lang w:eastAsia="zh-CN"/>
              </w:rPr>
              <w:t>下列支出计入</w:t>
            </w:r>
          </w:p>
          <w:p w14:paraId="329073C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color w:val="FF0000"/>
                <w:sz w:val="21"/>
                <w:szCs w:val="21"/>
                <w:u w:val="none"/>
                <w:vertAlign w:val="baseline"/>
                <w:lang w:eastAsia="zh-CN"/>
              </w:rPr>
              <w:t>当期损益：</w:t>
            </w:r>
          </w:p>
        </w:tc>
        <w:tc>
          <w:tcPr>
            <w:tcW w:w="4036" w:type="pct"/>
            <w:noWrap w:val="0"/>
            <w:vAlign w:val="top"/>
          </w:tcPr>
          <w:p w14:paraId="5ED1495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（1）</w:t>
            </w:r>
            <w:r>
              <w:rPr>
                <w:rFonts w:hint="eastAsia" w:ascii="宋体" w:hAnsi="宋体" w:eastAsia="宋体" w:cs="宋体"/>
                <w:b w:val="0"/>
                <w:bCs w:val="0"/>
                <w:i w:val="0"/>
                <w:color w:val="FF0000"/>
                <w:sz w:val="21"/>
                <w:szCs w:val="21"/>
                <w:u w:val="none"/>
                <w:vertAlign w:val="baseline"/>
                <w:lang w:eastAsia="zh-CN"/>
              </w:rPr>
              <w:t>管理费用</w:t>
            </w:r>
            <w:r>
              <w:rPr>
                <w:rFonts w:hint="eastAsia" w:ascii="宋体" w:hAnsi="宋体" w:eastAsia="宋体" w:cs="宋体"/>
                <w:b w:val="0"/>
                <w:bCs w:val="0"/>
                <w:i w:val="0"/>
                <w:sz w:val="21"/>
                <w:szCs w:val="21"/>
                <w:u w:val="none"/>
                <w:vertAlign w:val="baseline"/>
                <w:lang w:eastAsia="zh-CN"/>
              </w:rPr>
              <w:t>，除非这些费用明确由客户承担。</w:t>
            </w:r>
          </w:p>
        </w:tc>
      </w:tr>
      <w:tr w14:paraId="0BAB3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pct"/>
            <w:vMerge w:val="continue"/>
            <w:noWrap w:val="0"/>
            <w:vAlign w:val="top"/>
          </w:tcPr>
          <w:p w14:paraId="113597E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sz w:val="21"/>
                <w:szCs w:val="21"/>
                <w:u w:val="none"/>
                <w:vertAlign w:val="baseline"/>
                <w:lang w:eastAsia="zh-CN"/>
              </w:rPr>
            </w:pPr>
          </w:p>
        </w:tc>
        <w:tc>
          <w:tcPr>
            <w:tcW w:w="4036" w:type="pct"/>
            <w:noWrap w:val="0"/>
            <w:vAlign w:val="top"/>
          </w:tcPr>
          <w:p w14:paraId="08A2072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（2）</w:t>
            </w:r>
            <w:r>
              <w:rPr>
                <w:rFonts w:hint="eastAsia" w:ascii="宋体" w:hAnsi="宋体" w:eastAsia="宋体" w:cs="宋体"/>
                <w:b w:val="0"/>
                <w:bCs w:val="0"/>
                <w:i w:val="0"/>
                <w:color w:val="FF0000"/>
                <w:sz w:val="21"/>
                <w:szCs w:val="21"/>
                <w:u w:val="none"/>
                <w:vertAlign w:val="baseline"/>
                <w:lang w:eastAsia="zh-CN"/>
              </w:rPr>
              <w:t>非正常消耗的直接材料、直接人工和制造费用</w:t>
            </w:r>
            <w:r>
              <w:rPr>
                <w:rFonts w:hint="eastAsia" w:ascii="宋体" w:hAnsi="宋体" w:eastAsia="宋体" w:cs="宋体"/>
                <w:b w:val="0"/>
                <w:bCs w:val="0"/>
                <w:i w:val="0"/>
                <w:sz w:val="21"/>
                <w:szCs w:val="21"/>
                <w:u w:val="none"/>
                <w:vertAlign w:val="baseline"/>
                <w:lang w:eastAsia="zh-CN"/>
              </w:rPr>
              <w:t>（或类似费用），这些支出为履行合同发生，但未反映在合同价格中。</w:t>
            </w:r>
          </w:p>
        </w:tc>
      </w:tr>
      <w:tr w14:paraId="0A3B5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pct"/>
            <w:vMerge w:val="continue"/>
            <w:noWrap w:val="0"/>
            <w:vAlign w:val="top"/>
          </w:tcPr>
          <w:p w14:paraId="3900884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sz w:val="21"/>
                <w:szCs w:val="21"/>
                <w:u w:val="none"/>
                <w:vertAlign w:val="baseline"/>
                <w:lang w:eastAsia="zh-CN"/>
              </w:rPr>
            </w:pPr>
          </w:p>
        </w:tc>
        <w:tc>
          <w:tcPr>
            <w:tcW w:w="4036" w:type="pct"/>
            <w:noWrap w:val="0"/>
            <w:vAlign w:val="top"/>
          </w:tcPr>
          <w:p w14:paraId="465AEE9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（3）与履约义务中已履行（包括已全部履行或部分履行）部分相关的支出，即该</w:t>
            </w:r>
            <w:r>
              <w:rPr>
                <w:rFonts w:hint="eastAsia" w:ascii="宋体" w:hAnsi="宋体" w:eastAsia="宋体" w:cs="宋体"/>
                <w:b w:val="0"/>
                <w:bCs w:val="0"/>
                <w:i w:val="0"/>
                <w:color w:val="FF0000"/>
                <w:sz w:val="21"/>
                <w:szCs w:val="21"/>
                <w:u w:val="none"/>
                <w:vertAlign w:val="baseline"/>
                <w:lang w:eastAsia="zh-CN"/>
              </w:rPr>
              <w:t>支出与企业过去的履约活动相关</w:t>
            </w:r>
            <w:r>
              <w:rPr>
                <w:rFonts w:hint="eastAsia" w:ascii="宋体" w:hAnsi="宋体" w:eastAsia="宋体" w:cs="宋体"/>
                <w:b w:val="0"/>
                <w:bCs w:val="0"/>
                <w:i w:val="0"/>
                <w:sz w:val="21"/>
                <w:szCs w:val="21"/>
                <w:u w:val="none"/>
                <w:vertAlign w:val="baseline"/>
                <w:lang w:eastAsia="zh-CN"/>
              </w:rPr>
              <w:t>。</w:t>
            </w:r>
          </w:p>
        </w:tc>
      </w:tr>
      <w:tr w14:paraId="66CF3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pct"/>
            <w:vMerge w:val="continue"/>
            <w:noWrap w:val="0"/>
            <w:vAlign w:val="top"/>
          </w:tcPr>
          <w:p w14:paraId="2259A06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sz w:val="21"/>
                <w:szCs w:val="21"/>
                <w:u w:val="none"/>
                <w:vertAlign w:val="baseline"/>
                <w:lang w:eastAsia="zh-CN"/>
              </w:rPr>
            </w:pPr>
          </w:p>
        </w:tc>
        <w:tc>
          <w:tcPr>
            <w:tcW w:w="4036" w:type="pct"/>
            <w:noWrap w:val="0"/>
            <w:vAlign w:val="top"/>
          </w:tcPr>
          <w:p w14:paraId="4DFCE8F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（4）无法在尚未履行的与已履行（或已部分履行）的履约义务之间</w:t>
            </w:r>
            <w:r>
              <w:rPr>
                <w:rFonts w:hint="eastAsia" w:ascii="宋体" w:hAnsi="宋体" w:eastAsia="宋体" w:cs="宋体"/>
                <w:b w:val="0"/>
                <w:bCs w:val="0"/>
                <w:i w:val="0"/>
                <w:color w:val="FF0000"/>
                <w:sz w:val="21"/>
                <w:szCs w:val="21"/>
                <w:u w:val="none"/>
                <w:vertAlign w:val="baseline"/>
                <w:lang w:eastAsia="zh-CN"/>
              </w:rPr>
              <w:t>区分的相关支出</w:t>
            </w:r>
            <w:r>
              <w:rPr>
                <w:rFonts w:hint="eastAsia" w:ascii="宋体" w:hAnsi="宋体" w:eastAsia="宋体" w:cs="宋体"/>
                <w:b w:val="0"/>
                <w:bCs w:val="0"/>
                <w:i w:val="0"/>
                <w:sz w:val="21"/>
                <w:szCs w:val="21"/>
                <w:u w:val="none"/>
                <w:vertAlign w:val="baseline"/>
                <w:lang w:eastAsia="zh-CN"/>
              </w:rPr>
              <w:t xml:space="preserve">。 </w:t>
            </w:r>
          </w:p>
        </w:tc>
      </w:tr>
      <w:tr w14:paraId="46507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pct"/>
            <w:noWrap w:val="0"/>
            <w:vAlign w:val="top"/>
          </w:tcPr>
          <w:p w14:paraId="41FFEDC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【例题】</w:t>
            </w:r>
          </w:p>
        </w:tc>
        <w:tc>
          <w:tcPr>
            <w:tcW w:w="4036" w:type="pct"/>
            <w:noWrap w:val="0"/>
            <w:vAlign w:val="top"/>
          </w:tcPr>
          <w:p w14:paraId="6019993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 xml:space="preserve">甲公司为乙公司信息中心提供管理服务：设计服务成本和测试成本属于合同取得成本。 </w:t>
            </w:r>
          </w:p>
        </w:tc>
      </w:tr>
      <w:tr w14:paraId="64E2A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pct"/>
            <w:vMerge w:val="restart"/>
            <w:noWrap w:val="0"/>
            <w:vAlign w:val="top"/>
          </w:tcPr>
          <w:p w14:paraId="4E2BD49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color w:val="FF0000"/>
                <w:sz w:val="21"/>
                <w:szCs w:val="21"/>
                <w:u w:val="none"/>
                <w:vertAlign w:val="baseline"/>
                <w:lang w:eastAsia="zh-CN"/>
              </w:rPr>
              <w:t>合同履约成本（合同取得成本）：</w:t>
            </w:r>
          </w:p>
        </w:tc>
        <w:tc>
          <w:tcPr>
            <w:tcW w:w="4036" w:type="pct"/>
            <w:noWrap w:val="0"/>
            <w:vAlign w:val="top"/>
          </w:tcPr>
          <w:p w14:paraId="40D0C3D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（1）不超过一年，表中列示为存货；</w:t>
            </w:r>
          </w:p>
        </w:tc>
      </w:tr>
      <w:tr w14:paraId="462C1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pct"/>
            <w:vMerge w:val="continue"/>
            <w:noWrap w:val="0"/>
            <w:vAlign w:val="top"/>
          </w:tcPr>
          <w:p w14:paraId="79AD295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p>
        </w:tc>
        <w:tc>
          <w:tcPr>
            <w:tcW w:w="4036" w:type="pct"/>
            <w:noWrap w:val="0"/>
            <w:vAlign w:val="top"/>
          </w:tcPr>
          <w:p w14:paraId="0A37896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（2）一年以上表中列示为其他非流动资产。</w:t>
            </w:r>
          </w:p>
        </w:tc>
      </w:tr>
    </w:tbl>
    <w:p w14:paraId="3834580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p>
    <w:p w14:paraId="2A64B65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color w:val="FF0000"/>
          <w:sz w:val="21"/>
          <w:szCs w:val="21"/>
          <w:u w:val="none"/>
          <w:lang w:eastAsia="zh-CN"/>
        </w:rPr>
      </w:pPr>
      <w:r>
        <w:rPr>
          <w:rFonts w:hint="eastAsia" w:ascii="宋体" w:hAnsi="宋体" w:eastAsia="宋体" w:cs="宋体"/>
          <w:b w:val="0"/>
          <w:bCs w:val="0"/>
          <w:i w:val="0"/>
          <w:color w:val="FF0000"/>
          <w:sz w:val="21"/>
          <w:szCs w:val="21"/>
          <w:u w:val="none"/>
          <w:lang w:eastAsia="zh-CN"/>
        </w:rPr>
        <w:t>【考点】★合同取得成本和合同（履约、取得）成本的减值</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1"/>
        <w:gridCol w:w="8317"/>
      </w:tblGrid>
      <w:tr w14:paraId="53953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pct"/>
            <w:vMerge w:val="restart"/>
            <w:noWrap w:val="0"/>
            <w:vAlign w:val="top"/>
          </w:tcPr>
          <w:p w14:paraId="6C13421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color w:val="FF0000"/>
                <w:sz w:val="21"/>
                <w:szCs w:val="21"/>
                <w:u w:val="none"/>
                <w:vertAlign w:val="baseline"/>
                <w:lang w:eastAsia="zh-CN"/>
              </w:rPr>
            </w:pPr>
          </w:p>
          <w:p w14:paraId="6806132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color w:val="FF0000"/>
                <w:sz w:val="21"/>
                <w:szCs w:val="21"/>
                <w:u w:val="none"/>
                <w:vertAlign w:val="baseline"/>
                <w:lang w:eastAsia="zh-CN"/>
              </w:rPr>
            </w:pPr>
            <w:r>
              <w:rPr>
                <w:rFonts w:hint="eastAsia" w:ascii="宋体" w:hAnsi="宋体" w:eastAsia="宋体" w:cs="宋体"/>
                <w:b w:val="0"/>
                <w:bCs w:val="0"/>
                <w:i w:val="0"/>
                <w:color w:val="FF0000"/>
                <w:sz w:val="21"/>
                <w:szCs w:val="21"/>
                <w:u w:val="none"/>
                <w:vertAlign w:val="baseline"/>
                <w:lang w:eastAsia="zh-CN"/>
              </w:rPr>
              <w:t>合同取得成本</w:t>
            </w:r>
          </w:p>
        </w:tc>
        <w:tc>
          <w:tcPr>
            <w:tcW w:w="4101" w:type="pct"/>
            <w:noWrap w:val="0"/>
            <w:vAlign w:val="top"/>
          </w:tcPr>
          <w:p w14:paraId="5346D2F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 xml:space="preserve">企业为取得合同发生的增量成本确认为一项资产。增量成本，是指企业不取得合同就不会发生的成本，例如销售佣金是增量成本； </w:t>
            </w:r>
            <w:r>
              <w:rPr>
                <w:rFonts w:hint="eastAsia" w:ascii="宋体" w:hAnsi="宋体" w:eastAsia="宋体" w:cs="宋体"/>
                <w:b w:val="0"/>
                <w:bCs w:val="0"/>
                <w:i w:val="0"/>
                <w:color w:val="FF0000"/>
                <w:sz w:val="21"/>
                <w:szCs w:val="21"/>
                <w:u w:val="none"/>
                <w:vertAlign w:val="baseline"/>
                <w:lang w:eastAsia="zh-CN"/>
              </w:rPr>
              <w:t>聘请外部律师进行尽职调查费、为投标发生的差旅费</w:t>
            </w:r>
            <w:r>
              <w:rPr>
                <w:rFonts w:hint="eastAsia" w:ascii="宋体" w:hAnsi="宋体" w:eastAsia="宋体" w:cs="宋体"/>
                <w:b w:val="0"/>
                <w:bCs w:val="0"/>
                <w:i w:val="0"/>
                <w:sz w:val="21"/>
                <w:szCs w:val="21"/>
                <w:u w:val="none"/>
                <w:vertAlign w:val="baseline"/>
                <w:lang w:eastAsia="zh-CN"/>
              </w:rPr>
              <w:t>，年终奖不属于该资产。</w:t>
            </w:r>
          </w:p>
        </w:tc>
      </w:tr>
      <w:tr w14:paraId="26BCF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pct"/>
            <w:vMerge w:val="continue"/>
            <w:noWrap w:val="0"/>
            <w:vAlign w:val="top"/>
          </w:tcPr>
          <w:p w14:paraId="1F55E32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color w:val="FF0000"/>
                <w:sz w:val="21"/>
                <w:szCs w:val="21"/>
                <w:u w:val="none"/>
                <w:vertAlign w:val="baseline"/>
                <w:lang w:eastAsia="zh-CN"/>
              </w:rPr>
            </w:pPr>
          </w:p>
        </w:tc>
        <w:tc>
          <w:tcPr>
            <w:tcW w:w="4101" w:type="pct"/>
            <w:noWrap w:val="0"/>
            <w:vAlign w:val="top"/>
          </w:tcPr>
          <w:p w14:paraId="65129A0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该资产摊销期限不超过一年的，可以在发生时计入当期损益。</w:t>
            </w:r>
          </w:p>
        </w:tc>
      </w:tr>
      <w:tr w14:paraId="08FA2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pct"/>
            <w:noWrap w:val="0"/>
            <w:vAlign w:val="top"/>
          </w:tcPr>
          <w:p w14:paraId="04983F7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color w:val="FF0000"/>
                <w:sz w:val="21"/>
                <w:szCs w:val="21"/>
                <w:u w:val="none"/>
                <w:vertAlign w:val="baseline"/>
                <w:lang w:eastAsia="zh-CN"/>
              </w:rPr>
            </w:pPr>
          </w:p>
          <w:p w14:paraId="368CAE7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color w:val="FF0000"/>
                <w:sz w:val="21"/>
                <w:szCs w:val="21"/>
                <w:u w:val="none"/>
                <w:vertAlign w:val="baseline"/>
                <w:lang w:eastAsia="zh-CN"/>
              </w:rPr>
            </w:pPr>
            <w:r>
              <w:rPr>
                <w:rFonts w:hint="eastAsia" w:ascii="宋体" w:hAnsi="宋体" w:eastAsia="宋体" w:cs="宋体"/>
                <w:b w:val="0"/>
                <w:bCs w:val="0"/>
                <w:i w:val="0"/>
                <w:color w:val="FF0000"/>
                <w:sz w:val="21"/>
                <w:szCs w:val="21"/>
                <w:u w:val="none"/>
                <w:vertAlign w:val="baseline"/>
                <w:lang w:eastAsia="zh-CN"/>
              </w:rPr>
              <w:t>减值</w:t>
            </w:r>
          </w:p>
        </w:tc>
        <w:tc>
          <w:tcPr>
            <w:tcW w:w="4101" w:type="pct"/>
            <w:noWrap w:val="0"/>
            <w:vAlign w:val="top"/>
          </w:tcPr>
          <w:p w14:paraId="7A89A4B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color w:val="FF0000"/>
                <w:sz w:val="21"/>
                <w:szCs w:val="21"/>
                <w:u w:val="none"/>
                <w:vertAlign w:val="baseline"/>
                <w:lang w:eastAsia="zh-CN"/>
              </w:rPr>
              <w:t>以前期间减值的因素之后发生变化，</w:t>
            </w:r>
            <w:r>
              <w:rPr>
                <w:rFonts w:hint="eastAsia" w:ascii="宋体" w:hAnsi="宋体" w:eastAsia="宋体" w:cs="宋体"/>
                <w:b w:val="0"/>
                <w:bCs w:val="0"/>
                <w:i w:val="0"/>
                <w:sz w:val="21"/>
                <w:szCs w:val="21"/>
                <w:u w:val="none"/>
                <w:vertAlign w:val="baseline"/>
                <w:lang w:eastAsia="zh-CN"/>
              </w:rPr>
              <w:t>使得第一项（收入）减去第二项（费用或成本）的差额高于该资产账面价值的，</w:t>
            </w:r>
            <w:r>
              <w:rPr>
                <w:rFonts w:hint="eastAsia" w:ascii="宋体" w:hAnsi="宋体" w:eastAsia="宋体" w:cs="宋体"/>
                <w:b w:val="0"/>
                <w:bCs w:val="0"/>
                <w:i w:val="0"/>
                <w:color w:val="FF0000"/>
                <w:sz w:val="21"/>
                <w:szCs w:val="21"/>
                <w:u w:val="none"/>
                <w:vertAlign w:val="baseline"/>
                <w:lang w:eastAsia="zh-CN"/>
              </w:rPr>
              <w:t>应当转回原已计提的资产减值准备，并计入当期损益</w:t>
            </w:r>
            <w:r>
              <w:rPr>
                <w:rFonts w:hint="eastAsia" w:ascii="宋体" w:hAnsi="宋体" w:eastAsia="宋体" w:cs="宋体"/>
                <w:b w:val="0"/>
                <w:bCs w:val="0"/>
                <w:i w:val="0"/>
                <w:sz w:val="21"/>
                <w:szCs w:val="21"/>
                <w:u w:val="none"/>
                <w:vertAlign w:val="baseline"/>
                <w:lang w:eastAsia="zh-CN"/>
              </w:rPr>
              <w:t>，但转回后的资产账面价值不应超过假定不计提减值准备情况下该资产在转回日的账面价值。</w:t>
            </w:r>
          </w:p>
        </w:tc>
      </w:tr>
    </w:tbl>
    <w:p w14:paraId="709B49B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p>
    <w:p w14:paraId="622BE64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color w:val="FF0000"/>
          <w:sz w:val="21"/>
          <w:szCs w:val="21"/>
          <w:u w:val="none"/>
          <w:lang w:eastAsia="zh-CN"/>
        </w:rPr>
      </w:pPr>
      <w:r>
        <w:rPr>
          <w:rFonts w:hint="eastAsia" w:ascii="宋体" w:hAnsi="宋体" w:eastAsia="宋体" w:cs="宋体"/>
          <w:b w:val="0"/>
          <w:bCs w:val="0"/>
          <w:i w:val="0"/>
          <w:color w:val="FF0000"/>
          <w:sz w:val="21"/>
          <w:szCs w:val="21"/>
          <w:u w:val="none"/>
          <w:lang w:eastAsia="zh-CN"/>
        </w:rPr>
        <w:t>【考点】★★★附有销售退回条款的销售</w:t>
      </w:r>
    </w:p>
    <w:tbl>
      <w:tblPr>
        <w:tblStyle w:val="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32"/>
        <w:gridCol w:w="2630"/>
        <w:gridCol w:w="2435"/>
        <w:gridCol w:w="2539"/>
      </w:tblGrid>
      <w:tr w14:paraId="01424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noWrap w:val="0"/>
            <w:vAlign w:val="top"/>
          </w:tcPr>
          <w:p w14:paraId="1574720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发出商品时</w:t>
            </w:r>
          </w:p>
        </w:tc>
        <w:tc>
          <w:tcPr>
            <w:tcW w:w="1297" w:type="pct"/>
            <w:noWrap w:val="0"/>
            <w:vAlign w:val="top"/>
          </w:tcPr>
          <w:p w14:paraId="07F53F9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资产负债表日</w:t>
            </w:r>
          </w:p>
        </w:tc>
        <w:tc>
          <w:tcPr>
            <w:tcW w:w="2453" w:type="pct"/>
            <w:gridSpan w:val="2"/>
            <w:noWrap w:val="0"/>
            <w:vAlign w:val="top"/>
          </w:tcPr>
          <w:p w14:paraId="22DE46D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退货日 退4%</w:t>
            </w:r>
          </w:p>
        </w:tc>
      </w:tr>
      <w:tr w14:paraId="2B48B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noWrap w:val="0"/>
            <w:vAlign w:val="top"/>
          </w:tcPr>
          <w:p w14:paraId="5A8A43F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确认收入 预计退20%</w:t>
            </w:r>
          </w:p>
        </w:tc>
        <w:tc>
          <w:tcPr>
            <w:tcW w:w="1297" w:type="pct"/>
            <w:noWrap w:val="0"/>
            <w:vAlign w:val="top"/>
          </w:tcPr>
          <w:p w14:paraId="0EA2468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重新估计退10% 确认收入</w:t>
            </w:r>
          </w:p>
        </w:tc>
        <w:tc>
          <w:tcPr>
            <w:tcW w:w="1201" w:type="pct"/>
            <w:noWrap w:val="0"/>
            <w:vAlign w:val="top"/>
          </w:tcPr>
          <w:p w14:paraId="753ECB0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确认收入6%</w:t>
            </w:r>
          </w:p>
        </w:tc>
        <w:tc>
          <w:tcPr>
            <w:tcW w:w="1251" w:type="pct"/>
            <w:noWrap w:val="0"/>
            <w:vAlign w:val="top"/>
          </w:tcPr>
          <w:p w14:paraId="3E91A3A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退款，开红票</w:t>
            </w:r>
          </w:p>
        </w:tc>
      </w:tr>
      <w:tr w14:paraId="12D62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noWrap w:val="0"/>
            <w:vAlign w:val="top"/>
          </w:tcPr>
          <w:p w14:paraId="5BE6C12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借：应收账款113</w:t>
            </w:r>
          </w:p>
          <w:p w14:paraId="3AA79E9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　　贷：主营业务收入 　　</w:t>
            </w:r>
          </w:p>
          <w:p w14:paraId="6DDB9E8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　  　　100－20</w:t>
            </w:r>
          </w:p>
          <w:p w14:paraId="68C3422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　          预计负债   20</w:t>
            </w:r>
          </w:p>
          <w:p w14:paraId="658D020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　         应交税费——应交增值税（销项税额）13</w:t>
            </w:r>
          </w:p>
        </w:tc>
        <w:tc>
          <w:tcPr>
            <w:tcW w:w="1297" w:type="pct"/>
            <w:noWrap w:val="0"/>
            <w:vAlign w:val="top"/>
          </w:tcPr>
          <w:p w14:paraId="289B767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借：预计负债 10</w:t>
            </w:r>
          </w:p>
          <w:p w14:paraId="7481F6F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　　贷：主营业务收入  10</w:t>
            </w:r>
          </w:p>
        </w:tc>
        <w:tc>
          <w:tcPr>
            <w:tcW w:w="1201" w:type="pct"/>
            <w:noWrap w:val="0"/>
            <w:vAlign w:val="top"/>
          </w:tcPr>
          <w:p w14:paraId="28DC461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借：预计负债 6</w:t>
            </w:r>
          </w:p>
          <w:p w14:paraId="65AE272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　　贷：主营业务收入    　　        6</w:t>
            </w:r>
          </w:p>
        </w:tc>
        <w:tc>
          <w:tcPr>
            <w:tcW w:w="1251" w:type="pct"/>
            <w:noWrap w:val="0"/>
            <w:vAlign w:val="top"/>
          </w:tcPr>
          <w:p w14:paraId="022FE60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借：预计负债  4</w:t>
            </w:r>
          </w:p>
          <w:p w14:paraId="0CA4A86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　　应交税费——应交增值税（销项税额）  0.52</w:t>
            </w:r>
          </w:p>
          <w:p w14:paraId="7D7484E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　　贷：银行存款  4.52</w:t>
            </w:r>
          </w:p>
        </w:tc>
      </w:tr>
      <w:tr w14:paraId="7DB38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noWrap w:val="0"/>
            <w:vAlign w:val="top"/>
          </w:tcPr>
          <w:p w14:paraId="68C4264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结转成本</w:t>
            </w:r>
          </w:p>
        </w:tc>
        <w:tc>
          <w:tcPr>
            <w:tcW w:w="1297" w:type="pct"/>
            <w:noWrap w:val="0"/>
            <w:vAlign w:val="top"/>
          </w:tcPr>
          <w:p w14:paraId="68D1A30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 xml:space="preserve">确认成本10%  </w:t>
            </w:r>
          </w:p>
        </w:tc>
        <w:tc>
          <w:tcPr>
            <w:tcW w:w="1201" w:type="pct"/>
            <w:noWrap w:val="0"/>
            <w:vAlign w:val="top"/>
          </w:tcPr>
          <w:p w14:paraId="391DCB4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 xml:space="preserve">确认成本6%  </w:t>
            </w:r>
          </w:p>
        </w:tc>
        <w:tc>
          <w:tcPr>
            <w:tcW w:w="1251" w:type="pct"/>
            <w:noWrap w:val="0"/>
            <w:vAlign w:val="top"/>
          </w:tcPr>
          <w:p w14:paraId="247D5B0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收货</w:t>
            </w:r>
          </w:p>
        </w:tc>
      </w:tr>
      <w:tr w14:paraId="1F7CF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noWrap w:val="0"/>
            <w:vAlign w:val="top"/>
          </w:tcPr>
          <w:p w14:paraId="5D49A56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借：主营业务成本  60－12</w:t>
            </w:r>
          </w:p>
          <w:p w14:paraId="4E3A7F8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　　应收退货成本         12</w:t>
            </w:r>
          </w:p>
          <w:p w14:paraId="08B3B44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　　贷：库存商品             60</w:t>
            </w:r>
          </w:p>
        </w:tc>
        <w:tc>
          <w:tcPr>
            <w:tcW w:w="1297" w:type="pct"/>
            <w:noWrap w:val="0"/>
            <w:vAlign w:val="top"/>
          </w:tcPr>
          <w:p w14:paraId="4558142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借：主营业务成本 　6</w:t>
            </w:r>
          </w:p>
          <w:p w14:paraId="74E81A4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　　贷：应收退货成本  6</w:t>
            </w:r>
          </w:p>
        </w:tc>
        <w:tc>
          <w:tcPr>
            <w:tcW w:w="1201" w:type="pct"/>
            <w:noWrap w:val="0"/>
            <w:vAlign w:val="top"/>
          </w:tcPr>
          <w:p w14:paraId="42B5C9F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借：主营业务成本3.6</w:t>
            </w:r>
          </w:p>
          <w:p w14:paraId="632D308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　　贷：应收退货成本3.6</w:t>
            </w:r>
          </w:p>
        </w:tc>
        <w:tc>
          <w:tcPr>
            <w:tcW w:w="1251" w:type="pct"/>
            <w:noWrap w:val="0"/>
            <w:vAlign w:val="top"/>
          </w:tcPr>
          <w:p w14:paraId="7BF4FAC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借：库存商品 2.4</w:t>
            </w:r>
          </w:p>
          <w:p w14:paraId="3DBBD54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　　贷：应收退货成本                    2.4</w:t>
            </w:r>
          </w:p>
        </w:tc>
      </w:tr>
    </w:tbl>
    <w:p w14:paraId="0214259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p>
    <w:p w14:paraId="6047EAD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p>
    <w:p w14:paraId="3C8D130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color w:val="FF0000"/>
          <w:sz w:val="21"/>
          <w:szCs w:val="21"/>
          <w:u w:val="none"/>
          <w:lang w:eastAsia="zh-CN"/>
        </w:rPr>
      </w:pPr>
      <w:r>
        <w:rPr>
          <w:rFonts w:hint="eastAsia" w:ascii="宋体" w:hAnsi="宋体" w:eastAsia="宋体" w:cs="宋体"/>
          <w:b w:val="0"/>
          <w:bCs w:val="0"/>
          <w:i w:val="0"/>
          <w:color w:val="FF0000"/>
          <w:sz w:val="21"/>
          <w:szCs w:val="21"/>
          <w:u w:val="none"/>
          <w:lang w:eastAsia="zh-CN"/>
        </w:rPr>
        <w:t xml:space="preserve">【考点】★附有质量保证条款的销售 </w:t>
      </w:r>
    </w:p>
    <w:p w14:paraId="2FD90A7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r>
        <w:rPr>
          <w:rFonts w:hint="eastAsia" w:ascii="宋体" w:hAnsi="宋体" w:eastAsia="宋体" w:cs="宋体"/>
          <w:b w:val="0"/>
          <w:bCs w:val="0"/>
          <w:i w:val="0"/>
          <w:color w:val="FF0000"/>
          <w:sz w:val="21"/>
          <w:szCs w:val="21"/>
          <w:u w:val="none"/>
          <w:lang w:eastAsia="zh-CN"/>
        </w:rPr>
        <w:t>【例题】</w:t>
      </w:r>
      <w:r>
        <w:rPr>
          <w:rFonts w:hint="eastAsia" w:ascii="宋体" w:hAnsi="宋体" w:eastAsia="宋体" w:cs="宋体"/>
          <w:b w:val="0"/>
          <w:bCs w:val="0"/>
          <w:i w:val="0"/>
          <w:sz w:val="21"/>
          <w:szCs w:val="21"/>
          <w:u w:val="none"/>
          <w:lang w:eastAsia="zh-CN"/>
        </w:rPr>
        <w:t>甲公司的履约义务有两项：销售手机和提供维修服务（进水维修），甲公司应当按照其各自单独售价的相对比将交易价格分摊至这两项履约义务，并在各项履约义务履行时分别确认收入。</w:t>
      </w:r>
    </w:p>
    <w:p w14:paraId="11D23D4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p>
    <w:p w14:paraId="1DF4C8E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color w:val="FF0000"/>
          <w:sz w:val="21"/>
          <w:szCs w:val="21"/>
          <w:u w:val="none"/>
          <w:lang w:eastAsia="zh-CN"/>
        </w:rPr>
      </w:pPr>
      <w:r>
        <w:rPr>
          <w:rFonts w:hint="eastAsia" w:ascii="宋体" w:hAnsi="宋体" w:eastAsia="宋体" w:cs="宋体"/>
          <w:b w:val="0"/>
          <w:bCs w:val="0"/>
          <w:i w:val="0"/>
          <w:color w:val="FF0000"/>
          <w:sz w:val="21"/>
          <w:szCs w:val="21"/>
          <w:u w:val="none"/>
          <w:lang w:eastAsia="zh-CN"/>
        </w:rPr>
        <w:t>【考点】★主要责任人和代理人</w:t>
      </w:r>
    </w:p>
    <w:tbl>
      <w:tblPr>
        <w:tblStyle w:val="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3"/>
        <w:gridCol w:w="5112"/>
        <w:gridCol w:w="3781"/>
      </w:tblGrid>
      <w:tr w14:paraId="7A845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 w:type="pct"/>
            <w:vMerge w:val="restart"/>
            <w:noWrap w:val="0"/>
            <w:vAlign w:val="top"/>
          </w:tcPr>
          <w:p w14:paraId="78E44C2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sz w:val="21"/>
                <w:szCs w:val="21"/>
                <w:u w:val="none"/>
                <w:vertAlign w:val="baseline"/>
                <w:lang w:eastAsia="zh-CN"/>
              </w:rPr>
            </w:pPr>
          </w:p>
          <w:p w14:paraId="1A89A2E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在判断时：</w:t>
            </w:r>
          </w:p>
        </w:tc>
        <w:tc>
          <w:tcPr>
            <w:tcW w:w="4386" w:type="pct"/>
            <w:gridSpan w:val="2"/>
            <w:noWrap w:val="0"/>
            <w:vAlign w:val="top"/>
          </w:tcPr>
          <w:p w14:paraId="504CF7A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（1）企业应当</w:t>
            </w:r>
            <w:r>
              <w:rPr>
                <w:rFonts w:hint="eastAsia" w:ascii="宋体" w:hAnsi="宋体" w:eastAsia="宋体" w:cs="宋体"/>
                <w:b w:val="0"/>
                <w:bCs w:val="0"/>
                <w:i w:val="0"/>
                <w:color w:val="FF0000"/>
                <w:sz w:val="21"/>
                <w:szCs w:val="21"/>
                <w:u w:val="none"/>
                <w:vertAlign w:val="baseline"/>
                <w:lang w:eastAsia="zh-CN"/>
              </w:rPr>
              <w:t>首先识别</w:t>
            </w:r>
            <w:r>
              <w:rPr>
                <w:rFonts w:hint="eastAsia" w:ascii="宋体" w:hAnsi="宋体" w:eastAsia="宋体" w:cs="宋体"/>
                <w:b w:val="0"/>
                <w:bCs w:val="0"/>
                <w:i w:val="0"/>
                <w:sz w:val="21"/>
                <w:szCs w:val="21"/>
                <w:u w:val="none"/>
                <w:vertAlign w:val="baseline"/>
                <w:lang w:eastAsia="zh-CN"/>
              </w:rPr>
              <w:t>向客户提供的</w:t>
            </w:r>
            <w:r>
              <w:rPr>
                <w:rFonts w:hint="eastAsia" w:ascii="宋体" w:hAnsi="宋体" w:eastAsia="宋体" w:cs="宋体"/>
                <w:b w:val="0"/>
                <w:bCs w:val="0"/>
                <w:i w:val="0"/>
                <w:color w:val="FF0000"/>
                <w:sz w:val="21"/>
                <w:szCs w:val="21"/>
                <w:u w:val="none"/>
                <w:vertAlign w:val="baseline"/>
                <w:lang w:eastAsia="zh-CN"/>
              </w:rPr>
              <w:t>特定商品</w:t>
            </w:r>
            <w:r>
              <w:rPr>
                <w:rFonts w:hint="eastAsia" w:ascii="宋体" w:hAnsi="宋体" w:eastAsia="宋体" w:cs="宋体"/>
                <w:b w:val="0"/>
                <w:bCs w:val="0"/>
                <w:i w:val="0"/>
                <w:sz w:val="21"/>
                <w:szCs w:val="21"/>
                <w:u w:val="none"/>
                <w:vertAlign w:val="baseline"/>
                <w:lang w:eastAsia="zh-CN"/>
              </w:rPr>
              <w:t>；</w:t>
            </w:r>
          </w:p>
        </w:tc>
      </w:tr>
      <w:tr w14:paraId="1001D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 w:type="pct"/>
            <w:vMerge w:val="continue"/>
            <w:noWrap w:val="0"/>
            <w:vAlign w:val="top"/>
          </w:tcPr>
          <w:p w14:paraId="260A8A0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p>
        </w:tc>
        <w:tc>
          <w:tcPr>
            <w:tcW w:w="2521" w:type="pct"/>
            <w:vMerge w:val="restart"/>
            <w:noWrap w:val="0"/>
            <w:vAlign w:val="top"/>
          </w:tcPr>
          <w:p w14:paraId="0AF9EC4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（2）该特定商品在转让给客户之前，</w:t>
            </w:r>
            <w:r>
              <w:rPr>
                <w:rFonts w:hint="eastAsia" w:ascii="宋体" w:hAnsi="宋体" w:eastAsia="宋体" w:cs="宋体"/>
                <w:b w:val="0"/>
                <w:bCs w:val="0"/>
                <w:i w:val="0"/>
                <w:color w:val="FF0000"/>
                <w:sz w:val="21"/>
                <w:szCs w:val="21"/>
                <w:u w:val="none"/>
                <w:vertAlign w:val="baseline"/>
                <w:lang w:eastAsia="zh-CN"/>
              </w:rPr>
              <w:t>是否控制这些商品</w:t>
            </w:r>
          </w:p>
        </w:tc>
        <w:tc>
          <w:tcPr>
            <w:tcW w:w="1865" w:type="pct"/>
            <w:noWrap w:val="0"/>
            <w:vAlign w:val="top"/>
          </w:tcPr>
          <w:p w14:paraId="23AC128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控制该商品的，企业为主要责任人；</w:t>
            </w:r>
          </w:p>
        </w:tc>
      </w:tr>
      <w:tr w14:paraId="15185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 w:type="pct"/>
            <w:vMerge w:val="continue"/>
            <w:noWrap w:val="0"/>
            <w:vAlign w:val="top"/>
          </w:tcPr>
          <w:p w14:paraId="4E029A8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p>
        </w:tc>
        <w:tc>
          <w:tcPr>
            <w:tcW w:w="2521" w:type="pct"/>
            <w:vMerge w:val="continue"/>
            <w:noWrap w:val="0"/>
            <w:vAlign w:val="top"/>
          </w:tcPr>
          <w:p w14:paraId="44C5F0F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p>
        </w:tc>
        <w:tc>
          <w:tcPr>
            <w:tcW w:w="1865" w:type="pct"/>
            <w:noWrap w:val="0"/>
            <w:vAlign w:val="top"/>
          </w:tcPr>
          <w:p w14:paraId="5EED6F0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不控制该商品的，企业为代理人。</w:t>
            </w:r>
          </w:p>
        </w:tc>
      </w:tr>
      <w:tr w14:paraId="31C8D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 w:type="pct"/>
            <w:vMerge w:val="restart"/>
            <w:noWrap w:val="0"/>
            <w:vAlign w:val="top"/>
          </w:tcPr>
          <w:p w14:paraId="192B372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color w:val="FF0000"/>
                <w:sz w:val="21"/>
                <w:szCs w:val="21"/>
                <w:u w:val="none"/>
                <w:vertAlign w:val="baseline"/>
                <w:lang w:eastAsia="zh-CN"/>
              </w:rPr>
            </w:pPr>
          </w:p>
          <w:p w14:paraId="326102A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color w:val="FF0000"/>
                <w:sz w:val="21"/>
                <w:szCs w:val="21"/>
                <w:u w:val="none"/>
                <w:vertAlign w:val="baseline"/>
                <w:lang w:eastAsia="zh-CN"/>
              </w:rPr>
            </w:pPr>
            <w:r>
              <w:rPr>
                <w:rFonts w:hint="eastAsia" w:ascii="宋体" w:hAnsi="宋体" w:eastAsia="宋体" w:cs="宋体"/>
                <w:b w:val="0"/>
                <w:bCs w:val="0"/>
                <w:i w:val="0"/>
                <w:color w:val="FF0000"/>
                <w:sz w:val="21"/>
                <w:szCs w:val="21"/>
                <w:u w:val="none"/>
                <w:vertAlign w:val="baseline"/>
                <w:lang w:eastAsia="zh-CN"/>
              </w:rPr>
              <w:t>企业作为主要责任人的情况</w:t>
            </w:r>
          </w:p>
        </w:tc>
        <w:tc>
          <w:tcPr>
            <w:tcW w:w="2521" w:type="pct"/>
            <w:noWrap w:val="0"/>
            <w:vAlign w:val="top"/>
          </w:tcPr>
          <w:p w14:paraId="6FB8474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color w:val="FF0000"/>
                <w:sz w:val="21"/>
                <w:szCs w:val="21"/>
                <w:u w:val="none"/>
                <w:vertAlign w:val="baseline"/>
                <w:lang w:eastAsia="zh-CN"/>
              </w:rPr>
            </w:pPr>
            <w:r>
              <w:rPr>
                <w:rFonts w:hint="eastAsia" w:ascii="宋体" w:hAnsi="宋体" w:eastAsia="宋体" w:cs="宋体"/>
                <w:b w:val="0"/>
                <w:bCs w:val="0"/>
                <w:i w:val="0"/>
                <w:color w:val="FF0000"/>
                <w:sz w:val="21"/>
                <w:szCs w:val="21"/>
                <w:u w:val="none"/>
                <w:vertAlign w:val="baseline"/>
                <w:lang w:eastAsia="zh-CN"/>
              </w:rPr>
              <w:t>（1）企业自第三方取得商品或其他资产控制权后，再转让给客户</w:t>
            </w:r>
          </w:p>
        </w:tc>
        <w:tc>
          <w:tcPr>
            <w:tcW w:w="1865" w:type="pct"/>
            <w:noWrap w:val="0"/>
            <w:vAlign w:val="top"/>
          </w:tcPr>
          <w:p w14:paraId="488D8EB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如：淘宝网：代理人</w:t>
            </w:r>
          </w:p>
        </w:tc>
      </w:tr>
      <w:tr w14:paraId="7A61A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 w:type="pct"/>
            <w:vMerge w:val="continue"/>
            <w:noWrap w:val="0"/>
            <w:vAlign w:val="top"/>
          </w:tcPr>
          <w:p w14:paraId="665C2C3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color w:val="FF0000"/>
                <w:sz w:val="21"/>
                <w:szCs w:val="21"/>
                <w:u w:val="none"/>
                <w:vertAlign w:val="baseline"/>
                <w:lang w:eastAsia="zh-CN"/>
              </w:rPr>
            </w:pPr>
          </w:p>
        </w:tc>
        <w:tc>
          <w:tcPr>
            <w:tcW w:w="2521" w:type="pct"/>
            <w:noWrap w:val="0"/>
            <w:vAlign w:val="top"/>
          </w:tcPr>
          <w:p w14:paraId="0B9D7CF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color w:val="FF0000"/>
                <w:sz w:val="21"/>
                <w:szCs w:val="21"/>
                <w:u w:val="none"/>
                <w:vertAlign w:val="baseline"/>
                <w:lang w:eastAsia="zh-CN"/>
              </w:rPr>
            </w:pPr>
            <w:r>
              <w:rPr>
                <w:rFonts w:hint="eastAsia" w:ascii="宋体" w:hAnsi="宋体" w:eastAsia="宋体" w:cs="宋体"/>
                <w:b w:val="0"/>
                <w:bCs w:val="0"/>
                <w:i w:val="0"/>
                <w:color w:val="FF0000"/>
                <w:sz w:val="21"/>
                <w:szCs w:val="21"/>
                <w:u w:val="none"/>
                <w:vertAlign w:val="baseline"/>
                <w:lang w:eastAsia="zh-CN"/>
              </w:rPr>
              <w:t>（2）企业能够主导第三方代表本企业向客户提供服务</w:t>
            </w:r>
          </w:p>
        </w:tc>
        <w:tc>
          <w:tcPr>
            <w:tcW w:w="1865" w:type="pct"/>
            <w:noWrap w:val="0"/>
            <w:vAlign w:val="top"/>
          </w:tcPr>
          <w:p w14:paraId="44E0E88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如：京东网：</w:t>
            </w:r>
            <w:r>
              <w:rPr>
                <w:rFonts w:hint="eastAsia" w:ascii="宋体" w:hAnsi="宋体" w:eastAsia="宋体" w:cs="宋体"/>
                <w:b w:val="0"/>
                <w:bCs w:val="0"/>
                <w:i w:val="0"/>
                <w:color w:val="FF0000"/>
                <w:sz w:val="21"/>
                <w:szCs w:val="21"/>
                <w:u w:val="none"/>
                <w:vertAlign w:val="baseline"/>
                <w:lang w:eastAsia="zh-CN"/>
              </w:rPr>
              <w:t>主要责任人</w:t>
            </w:r>
          </w:p>
        </w:tc>
      </w:tr>
      <w:tr w14:paraId="7A203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 w:type="pct"/>
            <w:vMerge w:val="continue"/>
            <w:noWrap w:val="0"/>
            <w:vAlign w:val="top"/>
          </w:tcPr>
          <w:p w14:paraId="566C76F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color w:val="FF0000"/>
                <w:sz w:val="21"/>
                <w:szCs w:val="21"/>
                <w:u w:val="none"/>
                <w:vertAlign w:val="baseline"/>
                <w:lang w:eastAsia="zh-CN"/>
              </w:rPr>
            </w:pPr>
          </w:p>
        </w:tc>
        <w:tc>
          <w:tcPr>
            <w:tcW w:w="2521" w:type="pct"/>
            <w:noWrap w:val="0"/>
            <w:vAlign w:val="top"/>
          </w:tcPr>
          <w:p w14:paraId="60275E8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color w:val="FF0000"/>
                <w:sz w:val="21"/>
                <w:szCs w:val="21"/>
                <w:u w:val="none"/>
                <w:vertAlign w:val="baseline"/>
                <w:lang w:eastAsia="zh-CN"/>
              </w:rPr>
            </w:pPr>
            <w:r>
              <w:rPr>
                <w:rFonts w:hint="eastAsia" w:ascii="宋体" w:hAnsi="宋体" w:eastAsia="宋体" w:cs="宋体"/>
                <w:b w:val="0"/>
                <w:bCs w:val="0"/>
                <w:i w:val="0"/>
                <w:color w:val="FF0000"/>
                <w:sz w:val="21"/>
                <w:szCs w:val="21"/>
                <w:u w:val="none"/>
                <w:vertAlign w:val="baseline"/>
                <w:lang w:eastAsia="zh-CN"/>
              </w:rPr>
              <w:t>（3）企业自第三方取得商品控制权后，通过提供重大的服务将该商品与其他商品整合成合同约定的某组合产出转让给客户</w:t>
            </w:r>
          </w:p>
        </w:tc>
        <w:tc>
          <w:tcPr>
            <w:tcW w:w="1865" w:type="pct"/>
            <w:noWrap w:val="0"/>
            <w:vAlign w:val="top"/>
          </w:tcPr>
          <w:p w14:paraId="3AB6FBE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甲与乙签订合同，甲设计，甲委托丙制造。</w:t>
            </w:r>
          </w:p>
          <w:p w14:paraId="6E5F6A6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color w:val="FF0000"/>
                <w:sz w:val="21"/>
                <w:szCs w:val="21"/>
                <w:u w:val="none"/>
                <w:vertAlign w:val="baseline"/>
                <w:lang w:eastAsia="zh-CN"/>
              </w:rPr>
              <w:t>甲：主要责任人</w:t>
            </w:r>
          </w:p>
        </w:tc>
      </w:tr>
    </w:tbl>
    <w:p w14:paraId="5A3AC0F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42"/>
        <w:gridCol w:w="6796"/>
      </w:tblGrid>
      <w:tr w14:paraId="0CBE7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pct"/>
            <w:vMerge w:val="restart"/>
            <w:noWrap w:val="0"/>
            <w:vAlign w:val="top"/>
          </w:tcPr>
          <w:p w14:paraId="2E331F6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主要责任人还是代理人，均应当在履约义务履行时确认收入</w:t>
            </w:r>
          </w:p>
        </w:tc>
        <w:tc>
          <w:tcPr>
            <w:tcW w:w="3351" w:type="pct"/>
            <w:noWrap w:val="0"/>
            <w:vAlign w:val="top"/>
          </w:tcPr>
          <w:p w14:paraId="50DD994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（1）</w:t>
            </w:r>
            <w:r>
              <w:rPr>
                <w:rFonts w:hint="eastAsia" w:ascii="宋体" w:hAnsi="宋体" w:eastAsia="宋体" w:cs="宋体"/>
                <w:b w:val="0"/>
                <w:bCs w:val="0"/>
                <w:i w:val="0"/>
                <w:color w:val="FF0000"/>
                <w:sz w:val="21"/>
                <w:szCs w:val="21"/>
                <w:u w:val="none"/>
                <w:vertAlign w:val="baseline"/>
                <w:lang w:eastAsia="zh-CN"/>
              </w:rPr>
              <w:t>企业为主要责任人</w:t>
            </w:r>
            <w:r>
              <w:rPr>
                <w:rFonts w:hint="eastAsia" w:ascii="宋体" w:hAnsi="宋体" w:eastAsia="宋体" w:cs="宋体"/>
                <w:b w:val="0"/>
                <w:bCs w:val="0"/>
                <w:i w:val="0"/>
                <w:sz w:val="21"/>
                <w:szCs w:val="21"/>
                <w:u w:val="none"/>
                <w:vertAlign w:val="baseline"/>
                <w:lang w:eastAsia="zh-CN"/>
              </w:rPr>
              <w:t>的，</w:t>
            </w:r>
            <w:r>
              <w:rPr>
                <w:rFonts w:hint="eastAsia" w:ascii="宋体" w:hAnsi="宋体" w:eastAsia="宋体" w:cs="宋体"/>
                <w:b w:val="0"/>
                <w:bCs w:val="0"/>
                <w:i w:val="0"/>
                <w:color w:val="FF0000"/>
                <w:sz w:val="21"/>
                <w:szCs w:val="21"/>
                <w:u w:val="none"/>
                <w:vertAlign w:val="baseline"/>
                <w:lang w:eastAsia="zh-CN"/>
              </w:rPr>
              <w:t>对价总额确认收入</w:t>
            </w:r>
            <w:r>
              <w:rPr>
                <w:rFonts w:hint="eastAsia" w:ascii="宋体" w:hAnsi="宋体" w:eastAsia="宋体" w:cs="宋体"/>
                <w:b w:val="0"/>
                <w:bCs w:val="0"/>
                <w:i w:val="0"/>
                <w:sz w:val="21"/>
                <w:szCs w:val="21"/>
                <w:u w:val="none"/>
                <w:vertAlign w:val="baseline"/>
                <w:lang w:eastAsia="zh-CN"/>
              </w:rPr>
              <w:t>；</w:t>
            </w:r>
          </w:p>
        </w:tc>
      </w:tr>
      <w:tr w14:paraId="05F45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pct"/>
            <w:vMerge w:val="continue"/>
            <w:noWrap w:val="0"/>
            <w:vAlign w:val="top"/>
          </w:tcPr>
          <w:p w14:paraId="681EE3A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p>
        </w:tc>
        <w:tc>
          <w:tcPr>
            <w:tcW w:w="3351" w:type="pct"/>
            <w:noWrap w:val="0"/>
            <w:vAlign w:val="top"/>
          </w:tcPr>
          <w:p w14:paraId="407F8E0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（2）</w:t>
            </w:r>
            <w:r>
              <w:rPr>
                <w:rFonts w:hint="eastAsia" w:ascii="宋体" w:hAnsi="宋体" w:eastAsia="宋体" w:cs="宋体"/>
                <w:b w:val="0"/>
                <w:bCs w:val="0"/>
                <w:i w:val="0"/>
                <w:color w:val="FF0000"/>
                <w:sz w:val="21"/>
                <w:szCs w:val="21"/>
                <w:u w:val="none"/>
                <w:vertAlign w:val="baseline"/>
                <w:lang w:eastAsia="zh-CN"/>
              </w:rPr>
              <w:t>企业为代理人</w:t>
            </w:r>
            <w:r>
              <w:rPr>
                <w:rFonts w:hint="eastAsia" w:ascii="宋体" w:hAnsi="宋体" w:eastAsia="宋体" w:cs="宋体"/>
                <w:b w:val="0"/>
                <w:bCs w:val="0"/>
                <w:i w:val="0"/>
                <w:sz w:val="21"/>
                <w:szCs w:val="21"/>
                <w:u w:val="none"/>
                <w:vertAlign w:val="baseline"/>
                <w:lang w:eastAsia="zh-CN"/>
              </w:rPr>
              <w:t>的，按照</w:t>
            </w:r>
            <w:r>
              <w:rPr>
                <w:rFonts w:hint="eastAsia" w:ascii="宋体" w:hAnsi="宋体" w:eastAsia="宋体" w:cs="宋体"/>
                <w:b w:val="0"/>
                <w:bCs w:val="0"/>
                <w:i w:val="0"/>
                <w:color w:val="FF0000"/>
                <w:sz w:val="21"/>
                <w:szCs w:val="21"/>
                <w:u w:val="none"/>
                <w:vertAlign w:val="baseline"/>
                <w:lang w:eastAsia="zh-CN"/>
              </w:rPr>
              <w:t>既定的佣金金额或比例计算收入</w:t>
            </w:r>
            <w:r>
              <w:rPr>
                <w:rFonts w:hint="eastAsia" w:ascii="宋体" w:hAnsi="宋体" w:eastAsia="宋体" w:cs="宋体"/>
                <w:b w:val="0"/>
                <w:bCs w:val="0"/>
                <w:i w:val="0"/>
                <w:sz w:val="21"/>
                <w:szCs w:val="21"/>
                <w:u w:val="none"/>
                <w:vertAlign w:val="baseline"/>
                <w:lang w:eastAsia="zh-CN"/>
              </w:rPr>
              <w:t>，或者差价</w:t>
            </w:r>
            <w:r>
              <w:rPr>
                <w:rFonts w:hint="eastAsia" w:ascii="宋体" w:hAnsi="宋体" w:eastAsia="宋体" w:cs="宋体"/>
                <w:b w:val="0"/>
                <w:bCs w:val="0"/>
                <w:i w:val="0"/>
                <w:color w:val="FF0000"/>
                <w:sz w:val="21"/>
                <w:szCs w:val="21"/>
                <w:u w:val="none"/>
                <w:vertAlign w:val="baseline"/>
                <w:lang w:eastAsia="zh-CN"/>
              </w:rPr>
              <w:t>确认收入</w:t>
            </w:r>
            <w:r>
              <w:rPr>
                <w:rFonts w:hint="eastAsia" w:ascii="宋体" w:hAnsi="宋体" w:eastAsia="宋体" w:cs="宋体"/>
                <w:b w:val="0"/>
                <w:bCs w:val="0"/>
                <w:i w:val="0"/>
                <w:sz w:val="21"/>
                <w:szCs w:val="21"/>
                <w:u w:val="none"/>
                <w:vertAlign w:val="baseline"/>
                <w:lang w:eastAsia="zh-CN"/>
              </w:rPr>
              <w:t>。</w:t>
            </w:r>
          </w:p>
        </w:tc>
      </w:tr>
    </w:tbl>
    <w:p w14:paraId="37B16A8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p>
    <w:p w14:paraId="5916E3F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color w:val="FF0000"/>
          <w:sz w:val="21"/>
          <w:szCs w:val="21"/>
          <w:u w:val="none"/>
          <w:lang w:eastAsia="zh-CN"/>
        </w:rPr>
      </w:pPr>
      <w:r>
        <w:rPr>
          <w:rFonts w:hint="eastAsia" w:ascii="宋体" w:hAnsi="宋体" w:eastAsia="宋体" w:cs="宋体"/>
          <w:b w:val="0"/>
          <w:bCs w:val="0"/>
          <w:i w:val="0"/>
          <w:color w:val="FF0000"/>
          <w:sz w:val="21"/>
          <w:szCs w:val="21"/>
          <w:u w:val="none"/>
          <w:lang w:eastAsia="zh-CN"/>
        </w:rPr>
        <w:t>【考点】★★★附有客户额外购买选择权的销售</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54"/>
        <w:gridCol w:w="5584"/>
      </w:tblGrid>
      <w:tr w14:paraId="0008E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00" w:type="pct"/>
            <w:gridSpan w:val="2"/>
            <w:noWrap w:val="0"/>
            <w:vAlign w:val="top"/>
          </w:tcPr>
          <w:p w14:paraId="69BFB0E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【例题】2020年1月1日甲公司推出计划，客户每消费10元可获1个积分</w:t>
            </w:r>
            <w:r>
              <w:rPr>
                <w:rFonts w:hint="eastAsia" w:ascii="宋体" w:hAnsi="宋体" w:eastAsia="宋体" w:cs="宋体"/>
                <w:b w:val="0"/>
                <w:bCs w:val="0"/>
                <w:i w:val="0"/>
                <w:sz w:val="21"/>
                <w:szCs w:val="21"/>
                <w:u w:val="none"/>
                <w:vertAlign w:val="baseline"/>
                <w:lang w:eastAsia="zh-CN"/>
              </w:rPr>
              <w:br w:type="textWrapping"/>
            </w:r>
            <w:r>
              <w:rPr>
                <w:rFonts w:hint="eastAsia" w:ascii="宋体" w:hAnsi="宋体" w:eastAsia="宋体" w:cs="宋体"/>
                <w:b w:val="0"/>
                <w:bCs w:val="0"/>
                <w:i w:val="0"/>
                <w:sz w:val="21"/>
                <w:szCs w:val="21"/>
                <w:u w:val="none"/>
                <w:vertAlign w:val="baseline"/>
                <w:lang w:eastAsia="zh-CN"/>
              </w:rPr>
              <w:t>（1元）。截至2020年1月31日，共消费100 000元（不含增值税），可获得10 000积分，根据经验，甲公司估计该积分的兑换率为95%。</w:t>
            </w:r>
          </w:p>
        </w:tc>
      </w:tr>
      <w:tr w14:paraId="56C81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6" w:type="pct"/>
            <w:noWrap w:val="0"/>
            <w:vAlign w:val="top"/>
          </w:tcPr>
          <w:p w14:paraId="018808F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1月31日</w:t>
            </w:r>
          </w:p>
        </w:tc>
        <w:tc>
          <w:tcPr>
            <w:tcW w:w="2753" w:type="pct"/>
            <w:noWrap w:val="0"/>
            <w:vAlign w:val="top"/>
          </w:tcPr>
          <w:p w14:paraId="204F8AC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[100 000/（100 000 +9 500）] ×100 000 =91 324（元）</w:t>
            </w:r>
          </w:p>
          <w:p w14:paraId="7CE5B87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[9 500 /（100 000 +9 500）] × 100 000 =8 676（元）</w:t>
            </w:r>
          </w:p>
          <w:p w14:paraId="612CA79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借：银行存款        100 000</w:t>
            </w:r>
          </w:p>
          <w:p w14:paraId="0CD5B47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　　贷：主营业务收入 　　91 324</w:t>
            </w:r>
          </w:p>
          <w:p w14:paraId="47F4AF1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 xml:space="preserve">           　合同负债          　　8 676 </w:t>
            </w:r>
          </w:p>
        </w:tc>
      </w:tr>
      <w:tr w14:paraId="11B5C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6" w:type="pct"/>
            <w:noWrap w:val="0"/>
            <w:vAlign w:val="top"/>
          </w:tcPr>
          <w:p w14:paraId="0CABD20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至2020年12月31日，共兑换了4 500个积分，预计总共会兑换9 500分。确认收入4 110元</w:t>
            </w:r>
            <w:r>
              <w:rPr>
                <w:rFonts w:hint="eastAsia" w:ascii="宋体" w:hAnsi="宋体" w:eastAsia="宋体" w:cs="宋体"/>
                <w:b w:val="0"/>
                <w:bCs w:val="0"/>
                <w:i w:val="0"/>
                <w:sz w:val="21"/>
                <w:szCs w:val="21"/>
                <w:u w:val="none"/>
                <w:vertAlign w:val="baseline"/>
                <w:lang w:eastAsia="zh-CN"/>
              </w:rPr>
              <w:br w:type="textWrapping"/>
            </w:r>
            <w:r>
              <w:rPr>
                <w:rFonts w:hint="eastAsia" w:ascii="宋体" w:hAnsi="宋体" w:eastAsia="宋体" w:cs="宋体"/>
                <w:b w:val="0"/>
                <w:bCs w:val="0"/>
                <w:i w:val="0"/>
                <w:color w:val="FF0000"/>
                <w:sz w:val="21"/>
                <w:szCs w:val="21"/>
                <w:u w:val="none"/>
                <w:vertAlign w:val="baseline"/>
                <w:lang w:eastAsia="zh-CN"/>
              </w:rPr>
              <w:t>（4 500/9 500×8 676）</w:t>
            </w:r>
            <w:r>
              <w:rPr>
                <w:rFonts w:hint="eastAsia" w:ascii="宋体" w:hAnsi="宋体" w:eastAsia="宋体" w:cs="宋体"/>
                <w:b w:val="0"/>
                <w:bCs w:val="0"/>
                <w:i w:val="0"/>
                <w:sz w:val="21"/>
                <w:szCs w:val="21"/>
                <w:u w:val="none"/>
                <w:vertAlign w:val="baseline"/>
                <w:lang w:eastAsia="zh-CN"/>
              </w:rPr>
              <w:t>。</w:t>
            </w:r>
          </w:p>
        </w:tc>
        <w:tc>
          <w:tcPr>
            <w:tcW w:w="2753" w:type="pct"/>
            <w:noWrap w:val="0"/>
            <w:vAlign w:val="top"/>
          </w:tcPr>
          <w:p w14:paraId="32F26E9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 xml:space="preserve">借：合同负债 　　4 110 </w:t>
            </w:r>
          </w:p>
          <w:p w14:paraId="1976149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 xml:space="preserve">　　贷：主营业务收入  4 110 </w:t>
            </w:r>
          </w:p>
        </w:tc>
      </w:tr>
      <w:tr w14:paraId="3C024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6" w:type="pct"/>
            <w:noWrap w:val="0"/>
            <w:vAlign w:val="top"/>
          </w:tcPr>
          <w:p w14:paraId="77AE4E7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至2021年12月31日，共兑换8 500个积分。预计会兑换9 700分。确认收入3 493 元</w:t>
            </w:r>
            <w:r>
              <w:rPr>
                <w:rFonts w:hint="eastAsia" w:ascii="宋体" w:hAnsi="宋体" w:eastAsia="宋体" w:cs="宋体"/>
                <w:b w:val="0"/>
                <w:bCs w:val="0"/>
                <w:i w:val="0"/>
                <w:color w:val="FF0000"/>
                <w:sz w:val="21"/>
                <w:szCs w:val="21"/>
                <w:u w:val="none"/>
                <w:vertAlign w:val="baseline"/>
                <w:lang w:eastAsia="zh-CN"/>
              </w:rPr>
              <w:t>（8 500/9 700×8 676－4 110）</w:t>
            </w:r>
            <w:r>
              <w:rPr>
                <w:rFonts w:hint="eastAsia" w:ascii="宋体" w:hAnsi="宋体" w:eastAsia="宋体" w:cs="宋体"/>
                <w:b w:val="0"/>
                <w:bCs w:val="0"/>
                <w:i w:val="0"/>
                <w:sz w:val="21"/>
                <w:szCs w:val="21"/>
                <w:u w:val="none"/>
                <w:vertAlign w:val="baseline"/>
                <w:lang w:eastAsia="zh-CN"/>
              </w:rPr>
              <w:t>。</w:t>
            </w:r>
          </w:p>
        </w:tc>
        <w:tc>
          <w:tcPr>
            <w:tcW w:w="2753" w:type="pct"/>
            <w:noWrap w:val="0"/>
            <w:vAlign w:val="top"/>
          </w:tcPr>
          <w:p w14:paraId="2A4B1D1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借：合同负债 　　3 493</w:t>
            </w:r>
          </w:p>
          <w:p w14:paraId="6400E1C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　　贷：主营业务收入  3 493</w:t>
            </w:r>
          </w:p>
        </w:tc>
      </w:tr>
    </w:tbl>
    <w:p w14:paraId="5FDBE3E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p>
    <w:p w14:paraId="15FF48C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color w:val="FF0000"/>
          <w:sz w:val="21"/>
          <w:szCs w:val="21"/>
          <w:u w:val="none"/>
          <w:lang w:eastAsia="zh-CN"/>
        </w:rPr>
      </w:pPr>
      <w:r>
        <w:rPr>
          <w:rFonts w:hint="eastAsia" w:ascii="宋体" w:hAnsi="宋体" w:eastAsia="宋体" w:cs="宋体"/>
          <w:b w:val="0"/>
          <w:bCs w:val="0"/>
          <w:i w:val="0"/>
          <w:color w:val="FF0000"/>
          <w:sz w:val="21"/>
          <w:szCs w:val="21"/>
          <w:u w:val="none"/>
          <w:lang w:eastAsia="zh-CN"/>
        </w:rPr>
        <w:t>【考点】★授予知识产权许可</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98"/>
        <w:gridCol w:w="4155"/>
        <w:gridCol w:w="3083"/>
        <w:gridCol w:w="2"/>
      </w:tblGrid>
      <w:tr w14:paraId="58DF8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2" w:type="dxa"/>
        </w:trPr>
        <w:tc>
          <w:tcPr>
            <w:tcW w:w="1429" w:type="pct"/>
            <w:vMerge w:val="restart"/>
            <w:noWrap w:val="0"/>
            <w:vAlign w:val="top"/>
          </w:tcPr>
          <w:p w14:paraId="4EAE647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color w:val="FF0000"/>
                <w:sz w:val="21"/>
                <w:szCs w:val="21"/>
                <w:u w:val="none"/>
                <w:vertAlign w:val="baseline"/>
                <w:lang w:eastAsia="zh-CN"/>
              </w:rPr>
            </w:pPr>
          </w:p>
          <w:p w14:paraId="08A533D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color w:val="FF0000"/>
                <w:sz w:val="21"/>
                <w:szCs w:val="21"/>
                <w:u w:val="none"/>
                <w:vertAlign w:val="baseline"/>
                <w:lang w:eastAsia="zh-CN"/>
              </w:rPr>
            </w:pPr>
            <w:r>
              <w:rPr>
                <w:rFonts w:hint="eastAsia" w:ascii="宋体" w:hAnsi="宋体" w:eastAsia="宋体" w:cs="宋体"/>
                <w:b w:val="0"/>
                <w:bCs w:val="0"/>
                <w:i w:val="0"/>
                <w:color w:val="FF0000"/>
                <w:sz w:val="21"/>
                <w:szCs w:val="21"/>
                <w:u w:val="none"/>
                <w:vertAlign w:val="baseline"/>
                <w:lang w:eastAsia="zh-CN"/>
              </w:rPr>
              <w:t>（一）授予知识产权许可是否构成单项履约义务</w:t>
            </w:r>
          </w:p>
        </w:tc>
        <w:tc>
          <w:tcPr>
            <w:tcW w:w="2049" w:type="pct"/>
            <w:vMerge w:val="restart"/>
            <w:noWrap w:val="0"/>
            <w:vAlign w:val="top"/>
          </w:tcPr>
          <w:p w14:paraId="741EBFF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p>
          <w:p w14:paraId="6EA3A9E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p>
          <w:p w14:paraId="334178F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知识产权许可与所售商品不可明确区分的情形包括：</w:t>
            </w:r>
          </w:p>
        </w:tc>
        <w:tc>
          <w:tcPr>
            <w:tcW w:w="1520" w:type="pct"/>
            <w:noWrap w:val="0"/>
            <w:vAlign w:val="top"/>
          </w:tcPr>
          <w:p w14:paraId="590A02F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一是该知识产权许可构成</w:t>
            </w:r>
            <w:r>
              <w:rPr>
                <w:rFonts w:hint="eastAsia" w:ascii="宋体" w:hAnsi="宋体" w:eastAsia="宋体" w:cs="宋体"/>
                <w:b w:val="0"/>
                <w:bCs w:val="0"/>
                <w:i w:val="0"/>
                <w:color w:val="FF0000"/>
                <w:sz w:val="21"/>
                <w:szCs w:val="21"/>
                <w:u w:val="none"/>
                <w:vertAlign w:val="baseline"/>
                <w:lang w:eastAsia="zh-CN"/>
              </w:rPr>
              <w:t>有形商品的组成部分</w:t>
            </w:r>
            <w:r>
              <w:rPr>
                <w:rFonts w:hint="eastAsia" w:ascii="宋体" w:hAnsi="宋体" w:eastAsia="宋体" w:cs="宋体"/>
                <w:b w:val="0"/>
                <w:bCs w:val="0"/>
                <w:i w:val="0"/>
                <w:sz w:val="21"/>
                <w:szCs w:val="21"/>
                <w:u w:val="none"/>
                <w:vertAlign w:val="baseline"/>
                <w:lang w:eastAsia="zh-CN"/>
              </w:rPr>
              <w:t>并且对于该</w:t>
            </w:r>
            <w:r>
              <w:rPr>
                <w:rFonts w:hint="eastAsia" w:ascii="宋体" w:hAnsi="宋体" w:eastAsia="宋体" w:cs="宋体"/>
                <w:b w:val="0"/>
                <w:bCs w:val="0"/>
                <w:i w:val="0"/>
                <w:color w:val="FF0000"/>
                <w:sz w:val="21"/>
                <w:szCs w:val="21"/>
                <w:u w:val="none"/>
                <w:vertAlign w:val="baseline"/>
                <w:lang w:eastAsia="zh-CN"/>
              </w:rPr>
              <w:t>商品的正常使用不可或缺；</w:t>
            </w:r>
          </w:p>
        </w:tc>
      </w:tr>
      <w:tr w14:paraId="71DFD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Pr>
        <w:tc>
          <w:tcPr>
            <w:tcW w:w="1429" w:type="pct"/>
            <w:vMerge w:val="continue"/>
            <w:noWrap w:val="0"/>
            <w:vAlign w:val="top"/>
          </w:tcPr>
          <w:p w14:paraId="475129E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color w:val="FF0000"/>
                <w:sz w:val="21"/>
                <w:szCs w:val="21"/>
                <w:u w:val="none"/>
                <w:vertAlign w:val="baseline"/>
                <w:lang w:eastAsia="zh-CN"/>
              </w:rPr>
            </w:pPr>
          </w:p>
        </w:tc>
        <w:tc>
          <w:tcPr>
            <w:tcW w:w="2049" w:type="pct"/>
            <w:vMerge w:val="continue"/>
            <w:noWrap w:val="0"/>
            <w:vAlign w:val="top"/>
          </w:tcPr>
          <w:p w14:paraId="3FDFA70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p>
        </w:tc>
        <w:tc>
          <w:tcPr>
            <w:tcW w:w="1520" w:type="pct"/>
            <w:noWrap w:val="0"/>
            <w:vAlign w:val="top"/>
          </w:tcPr>
          <w:p w14:paraId="54A923E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二是客户只有将该知识产权许可和相关服务</w:t>
            </w:r>
            <w:r>
              <w:rPr>
                <w:rFonts w:hint="eastAsia" w:ascii="宋体" w:hAnsi="宋体" w:eastAsia="宋体" w:cs="宋体"/>
                <w:b w:val="0"/>
                <w:bCs w:val="0"/>
                <w:i w:val="0"/>
                <w:color w:val="FF0000"/>
                <w:sz w:val="21"/>
                <w:szCs w:val="21"/>
                <w:u w:val="none"/>
                <w:vertAlign w:val="baseline"/>
                <w:lang w:eastAsia="zh-CN"/>
              </w:rPr>
              <w:t>一起使用才能够从中获益。</w:t>
            </w:r>
          </w:p>
        </w:tc>
      </w:tr>
      <w:tr w14:paraId="12DD9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Pr>
        <w:tc>
          <w:tcPr>
            <w:tcW w:w="1429" w:type="pct"/>
            <w:vMerge w:val="restart"/>
            <w:noWrap w:val="0"/>
            <w:vAlign w:val="top"/>
          </w:tcPr>
          <w:p w14:paraId="61A5906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color w:val="FF0000"/>
                <w:sz w:val="21"/>
                <w:szCs w:val="21"/>
                <w:u w:val="none"/>
                <w:vertAlign w:val="baseline"/>
                <w:lang w:eastAsia="zh-CN"/>
              </w:rPr>
            </w:pPr>
            <w:r>
              <w:rPr>
                <w:rFonts w:hint="eastAsia" w:ascii="宋体" w:hAnsi="宋体" w:eastAsia="宋体" w:cs="宋体"/>
                <w:b w:val="0"/>
                <w:bCs w:val="0"/>
                <w:i w:val="0"/>
                <w:color w:val="FF0000"/>
                <w:sz w:val="21"/>
                <w:szCs w:val="21"/>
                <w:u w:val="none"/>
                <w:vertAlign w:val="baseline"/>
                <w:lang w:eastAsia="zh-CN"/>
              </w:rPr>
              <w:t>（二）授予知识产权许可属于在某一时段履行的履约义务★★★</w:t>
            </w:r>
          </w:p>
        </w:tc>
        <w:tc>
          <w:tcPr>
            <w:tcW w:w="2049" w:type="pct"/>
            <w:noWrap w:val="0"/>
            <w:vAlign w:val="top"/>
          </w:tcPr>
          <w:p w14:paraId="388CF72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1.合同要求或客户能够合理预期企业将从事对该项知识产权有重大影响的活动。</w:t>
            </w:r>
          </w:p>
        </w:tc>
        <w:tc>
          <w:tcPr>
            <w:tcW w:w="1520" w:type="pct"/>
            <w:vMerge w:val="restart"/>
            <w:noWrap w:val="0"/>
            <w:vAlign w:val="top"/>
          </w:tcPr>
          <w:p w14:paraId="2C53D86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同时满足条件的，作为在</w:t>
            </w:r>
            <w:r>
              <w:rPr>
                <w:rFonts w:hint="eastAsia" w:ascii="宋体" w:hAnsi="宋体" w:eastAsia="宋体" w:cs="宋体"/>
                <w:b w:val="0"/>
                <w:bCs w:val="0"/>
                <w:i w:val="0"/>
                <w:color w:val="FF0000"/>
                <w:sz w:val="21"/>
                <w:szCs w:val="21"/>
                <w:u w:val="none"/>
                <w:vertAlign w:val="baseline"/>
                <w:lang w:eastAsia="zh-CN"/>
              </w:rPr>
              <w:t>某一时段内履行</w:t>
            </w:r>
            <w:r>
              <w:rPr>
                <w:rFonts w:hint="eastAsia" w:ascii="宋体" w:hAnsi="宋体" w:eastAsia="宋体" w:cs="宋体"/>
                <w:b w:val="0"/>
                <w:bCs w:val="0"/>
                <w:i w:val="0"/>
                <w:sz w:val="21"/>
                <w:szCs w:val="21"/>
                <w:u w:val="none"/>
                <w:vertAlign w:val="baseline"/>
                <w:lang w:eastAsia="zh-CN"/>
              </w:rPr>
              <w:t>的履约义务确认相关收入，</w:t>
            </w:r>
            <w:r>
              <w:rPr>
                <w:rFonts w:hint="eastAsia" w:ascii="宋体" w:hAnsi="宋体" w:eastAsia="宋体" w:cs="宋体"/>
                <w:b w:val="0"/>
                <w:bCs w:val="0"/>
                <w:i w:val="0"/>
                <w:color w:val="FF0000"/>
                <w:sz w:val="21"/>
                <w:szCs w:val="21"/>
                <w:u w:val="none"/>
                <w:vertAlign w:val="baseline"/>
                <w:lang w:eastAsia="zh-CN"/>
              </w:rPr>
              <w:t>否则</w:t>
            </w:r>
            <w:r>
              <w:rPr>
                <w:rFonts w:hint="eastAsia" w:ascii="宋体" w:hAnsi="宋体" w:eastAsia="宋体" w:cs="宋体"/>
                <w:b w:val="0"/>
                <w:bCs w:val="0"/>
                <w:i w:val="0"/>
                <w:sz w:val="21"/>
                <w:szCs w:val="21"/>
                <w:u w:val="none"/>
                <w:vertAlign w:val="baseline"/>
                <w:lang w:eastAsia="zh-CN"/>
              </w:rPr>
              <w:t>，作为</w:t>
            </w:r>
            <w:r>
              <w:rPr>
                <w:rFonts w:hint="eastAsia" w:ascii="宋体" w:hAnsi="宋体" w:eastAsia="宋体" w:cs="宋体"/>
                <w:b w:val="0"/>
                <w:bCs w:val="0"/>
                <w:i w:val="0"/>
                <w:color w:val="FF0000"/>
                <w:sz w:val="21"/>
                <w:szCs w:val="21"/>
                <w:u w:val="none"/>
                <w:vertAlign w:val="baseline"/>
                <w:lang w:eastAsia="zh-CN"/>
              </w:rPr>
              <w:t>某一时点履行</w:t>
            </w:r>
            <w:r>
              <w:rPr>
                <w:rFonts w:hint="eastAsia" w:ascii="宋体" w:hAnsi="宋体" w:eastAsia="宋体" w:cs="宋体"/>
                <w:b w:val="0"/>
                <w:bCs w:val="0"/>
                <w:i w:val="0"/>
                <w:sz w:val="21"/>
                <w:szCs w:val="21"/>
                <w:u w:val="none"/>
                <w:vertAlign w:val="baseline"/>
                <w:lang w:eastAsia="zh-CN"/>
              </w:rPr>
              <w:t>。</w:t>
            </w:r>
          </w:p>
        </w:tc>
      </w:tr>
      <w:tr w14:paraId="31E9E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Pr>
        <w:tc>
          <w:tcPr>
            <w:tcW w:w="1429" w:type="pct"/>
            <w:vMerge w:val="continue"/>
            <w:noWrap w:val="0"/>
            <w:vAlign w:val="top"/>
          </w:tcPr>
          <w:p w14:paraId="03760AD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p>
        </w:tc>
        <w:tc>
          <w:tcPr>
            <w:tcW w:w="2049" w:type="pct"/>
            <w:noWrap w:val="0"/>
            <w:vAlign w:val="top"/>
          </w:tcPr>
          <w:p w14:paraId="48F649A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2.该活动对客户将产生有利或不利影响。</w:t>
            </w:r>
          </w:p>
        </w:tc>
        <w:tc>
          <w:tcPr>
            <w:tcW w:w="1520" w:type="pct"/>
            <w:vMerge w:val="continue"/>
            <w:noWrap w:val="0"/>
            <w:vAlign w:val="top"/>
          </w:tcPr>
          <w:p w14:paraId="6AFE5A0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p>
        </w:tc>
      </w:tr>
      <w:tr w14:paraId="60445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Pr>
        <w:tc>
          <w:tcPr>
            <w:tcW w:w="1429" w:type="pct"/>
            <w:vMerge w:val="continue"/>
            <w:noWrap w:val="0"/>
            <w:vAlign w:val="top"/>
          </w:tcPr>
          <w:p w14:paraId="4469720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p>
        </w:tc>
        <w:tc>
          <w:tcPr>
            <w:tcW w:w="2049" w:type="pct"/>
            <w:noWrap w:val="0"/>
            <w:vAlign w:val="top"/>
          </w:tcPr>
          <w:p w14:paraId="4E44981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3.该活动不会导致向客户转让某项商品。</w:t>
            </w:r>
          </w:p>
        </w:tc>
        <w:tc>
          <w:tcPr>
            <w:tcW w:w="1520" w:type="pct"/>
            <w:vMerge w:val="continue"/>
            <w:noWrap w:val="0"/>
            <w:vAlign w:val="top"/>
          </w:tcPr>
          <w:p w14:paraId="3A48BAD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p>
        </w:tc>
      </w:tr>
      <w:tr w14:paraId="07739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pct"/>
            <w:noWrap w:val="0"/>
            <w:vAlign w:val="top"/>
          </w:tcPr>
          <w:p w14:paraId="004CBB9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color w:val="FF0000"/>
                <w:sz w:val="21"/>
                <w:szCs w:val="21"/>
                <w:u w:val="none"/>
                <w:vertAlign w:val="baseline"/>
                <w:lang w:eastAsia="zh-CN"/>
              </w:rPr>
            </w:pPr>
            <w:r>
              <w:rPr>
                <w:rFonts w:hint="eastAsia" w:ascii="宋体" w:hAnsi="宋体" w:eastAsia="宋体" w:cs="宋体"/>
                <w:b w:val="0"/>
                <w:bCs w:val="0"/>
                <w:i w:val="0"/>
                <w:color w:val="FF0000"/>
                <w:sz w:val="21"/>
                <w:szCs w:val="21"/>
                <w:u w:val="none"/>
                <w:vertAlign w:val="baseline"/>
                <w:lang w:eastAsia="zh-CN"/>
              </w:rPr>
              <w:t>（三）授予知识产权许可属于在某一时点履行的履约义务</w:t>
            </w:r>
          </w:p>
        </w:tc>
        <w:tc>
          <w:tcPr>
            <w:tcW w:w="3570" w:type="pct"/>
            <w:gridSpan w:val="3"/>
            <w:noWrap w:val="0"/>
            <w:vAlign w:val="top"/>
          </w:tcPr>
          <w:p w14:paraId="31BB064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 xml:space="preserve">例如企业授权客户使用软件，在企业提供密钥之前，客户无法使用该软件，企业不应确认收入。 </w:t>
            </w:r>
          </w:p>
        </w:tc>
      </w:tr>
      <w:tr w14:paraId="1E1D3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pct"/>
            <w:vMerge w:val="restart"/>
            <w:noWrap w:val="0"/>
            <w:vAlign w:val="top"/>
          </w:tcPr>
          <w:p w14:paraId="1C89973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color w:val="FF0000"/>
                <w:sz w:val="21"/>
                <w:szCs w:val="21"/>
                <w:u w:val="none"/>
                <w:vertAlign w:val="baseline"/>
                <w:lang w:eastAsia="zh-CN"/>
              </w:rPr>
            </w:pPr>
          </w:p>
          <w:p w14:paraId="4660359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color w:val="FF0000"/>
                <w:sz w:val="21"/>
                <w:szCs w:val="21"/>
                <w:u w:val="none"/>
                <w:vertAlign w:val="baseline"/>
                <w:lang w:eastAsia="zh-CN"/>
              </w:rPr>
            </w:pPr>
            <w:r>
              <w:rPr>
                <w:rFonts w:hint="eastAsia" w:ascii="宋体" w:hAnsi="宋体" w:eastAsia="宋体" w:cs="宋体"/>
                <w:b w:val="0"/>
                <w:bCs w:val="0"/>
                <w:i w:val="0"/>
                <w:color w:val="FF0000"/>
                <w:sz w:val="21"/>
                <w:szCs w:val="21"/>
                <w:u w:val="none"/>
                <w:vertAlign w:val="baseline"/>
                <w:lang w:eastAsia="zh-CN"/>
              </w:rPr>
              <w:t>（四）基于销售或使用情况的特许权使用费</w:t>
            </w:r>
          </w:p>
        </w:tc>
        <w:tc>
          <w:tcPr>
            <w:tcW w:w="3570" w:type="pct"/>
            <w:gridSpan w:val="3"/>
            <w:noWrap w:val="0"/>
            <w:vAlign w:val="top"/>
          </w:tcPr>
          <w:p w14:paraId="7BD5AA3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应当在（1）</w:t>
            </w:r>
            <w:r>
              <w:rPr>
                <w:rFonts w:hint="eastAsia" w:ascii="宋体" w:hAnsi="宋体" w:eastAsia="宋体" w:cs="宋体"/>
                <w:b w:val="0"/>
                <w:bCs w:val="0"/>
                <w:i w:val="0"/>
                <w:color w:val="FF0000"/>
                <w:sz w:val="21"/>
                <w:szCs w:val="21"/>
                <w:u w:val="none"/>
                <w:vertAlign w:val="baseline"/>
                <w:lang w:eastAsia="zh-CN"/>
              </w:rPr>
              <w:t>客户后续销售或使用行为实际发生</w:t>
            </w:r>
            <w:r>
              <w:rPr>
                <w:rFonts w:hint="eastAsia" w:ascii="宋体" w:hAnsi="宋体" w:eastAsia="宋体" w:cs="宋体"/>
                <w:b w:val="0"/>
                <w:bCs w:val="0"/>
                <w:i w:val="0"/>
                <w:sz w:val="21"/>
                <w:szCs w:val="21"/>
                <w:u w:val="none"/>
                <w:vertAlign w:val="baseline"/>
                <w:lang w:eastAsia="zh-CN"/>
              </w:rPr>
              <w:t>（2）</w:t>
            </w:r>
            <w:r>
              <w:rPr>
                <w:rFonts w:hint="eastAsia" w:ascii="宋体" w:hAnsi="宋体" w:eastAsia="宋体" w:cs="宋体"/>
                <w:b w:val="0"/>
                <w:bCs w:val="0"/>
                <w:i w:val="0"/>
                <w:color w:val="FF0000"/>
                <w:sz w:val="21"/>
                <w:szCs w:val="21"/>
                <w:u w:val="none"/>
                <w:vertAlign w:val="baseline"/>
                <w:lang w:eastAsia="zh-CN"/>
              </w:rPr>
              <w:t>企业履行相关履约义务</w:t>
            </w:r>
            <w:r>
              <w:rPr>
                <w:rFonts w:hint="eastAsia" w:ascii="宋体" w:hAnsi="宋体" w:eastAsia="宋体" w:cs="宋体"/>
                <w:b w:val="0"/>
                <w:bCs w:val="0"/>
                <w:i w:val="0"/>
                <w:sz w:val="21"/>
                <w:szCs w:val="21"/>
                <w:u w:val="none"/>
                <w:vertAlign w:val="baseline"/>
                <w:lang w:eastAsia="zh-CN"/>
              </w:rPr>
              <w:t>二者</w:t>
            </w:r>
            <w:r>
              <w:rPr>
                <w:rFonts w:hint="eastAsia" w:ascii="宋体" w:hAnsi="宋体" w:eastAsia="宋体" w:cs="宋体"/>
                <w:b w:val="0"/>
                <w:bCs w:val="0"/>
                <w:i w:val="0"/>
                <w:color w:val="FF0000"/>
                <w:sz w:val="21"/>
                <w:szCs w:val="21"/>
                <w:u w:val="none"/>
                <w:vertAlign w:val="baseline"/>
                <w:lang w:eastAsia="zh-CN"/>
              </w:rPr>
              <w:t>孰晚的时点</w:t>
            </w:r>
            <w:r>
              <w:rPr>
                <w:rFonts w:hint="eastAsia" w:ascii="宋体" w:hAnsi="宋体" w:eastAsia="宋体" w:cs="宋体"/>
                <w:b w:val="0"/>
                <w:bCs w:val="0"/>
                <w:i w:val="0"/>
                <w:sz w:val="21"/>
                <w:szCs w:val="21"/>
                <w:u w:val="none"/>
                <w:vertAlign w:val="baseline"/>
                <w:lang w:eastAsia="zh-CN"/>
              </w:rPr>
              <w:t>确认收入。</w:t>
            </w:r>
          </w:p>
        </w:tc>
      </w:tr>
      <w:tr w14:paraId="417A8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pct"/>
            <w:vMerge w:val="continue"/>
            <w:noWrap w:val="0"/>
            <w:vAlign w:val="top"/>
          </w:tcPr>
          <w:p w14:paraId="5571834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p>
        </w:tc>
        <w:tc>
          <w:tcPr>
            <w:tcW w:w="3570" w:type="pct"/>
            <w:gridSpan w:val="3"/>
            <w:noWrap w:val="0"/>
            <w:vAlign w:val="top"/>
          </w:tcPr>
          <w:p w14:paraId="07B8342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【例题】</w:t>
            </w:r>
            <w:r>
              <w:rPr>
                <w:rFonts w:hint="eastAsia" w:ascii="宋体" w:hAnsi="宋体" w:eastAsia="宋体" w:cs="宋体"/>
                <w:b w:val="0"/>
                <w:bCs w:val="0"/>
                <w:i w:val="0"/>
                <w:color w:val="FF0000"/>
                <w:sz w:val="21"/>
                <w:szCs w:val="21"/>
                <w:u w:val="none"/>
                <w:vertAlign w:val="baseline"/>
                <w:lang w:eastAsia="zh-CN"/>
              </w:rPr>
              <w:t xml:space="preserve">甲应当在乙放映电影期间按照约定分成比例确认收入。如果授予电影版权许可、提供电影片花以及广告服务分别构成单项履约义务，甲公司应当将该取得的分成收入在这些履约义务之间进行分摊。 </w:t>
            </w:r>
          </w:p>
        </w:tc>
      </w:tr>
    </w:tbl>
    <w:p w14:paraId="6D3AF62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p>
    <w:p w14:paraId="2DDA945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color w:val="FF0000"/>
          <w:sz w:val="21"/>
          <w:szCs w:val="21"/>
          <w:u w:val="none"/>
          <w:lang w:eastAsia="zh-CN"/>
        </w:rPr>
      </w:pPr>
      <w:r>
        <w:rPr>
          <w:rFonts w:hint="eastAsia" w:ascii="宋体" w:hAnsi="宋体" w:eastAsia="宋体" w:cs="宋体"/>
          <w:b w:val="0"/>
          <w:bCs w:val="0"/>
          <w:i w:val="0"/>
          <w:color w:val="FF0000"/>
          <w:sz w:val="21"/>
          <w:szCs w:val="21"/>
          <w:u w:val="none"/>
          <w:lang w:eastAsia="zh-CN"/>
        </w:rPr>
        <w:t>【考点】★★售后回购</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6"/>
        <w:gridCol w:w="7562"/>
      </w:tblGrid>
      <w:tr w14:paraId="1ADD2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pct"/>
            <w:vMerge w:val="restart"/>
            <w:noWrap w:val="0"/>
            <w:vAlign w:val="top"/>
          </w:tcPr>
          <w:p w14:paraId="537C7E1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color w:val="FF0000"/>
                <w:sz w:val="21"/>
                <w:szCs w:val="21"/>
                <w:u w:val="none"/>
                <w:vertAlign w:val="baseline"/>
                <w:lang w:eastAsia="zh-CN"/>
              </w:rPr>
            </w:pPr>
            <w:r>
              <w:rPr>
                <w:rFonts w:hint="eastAsia" w:ascii="宋体" w:hAnsi="宋体" w:eastAsia="宋体" w:cs="宋体"/>
                <w:b w:val="0"/>
                <w:bCs w:val="0"/>
                <w:i w:val="0"/>
                <w:color w:val="FF0000"/>
                <w:sz w:val="21"/>
                <w:szCs w:val="21"/>
                <w:u w:val="none"/>
                <w:vertAlign w:val="baseline"/>
                <w:lang w:eastAsia="zh-CN"/>
              </w:rPr>
              <w:t>（一）负有回购义务或企业享有回购权利的</w:t>
            </w:r>
          </w:p>
        </w:tc>
        <w:tc>
          <w:tcPr>
            <w:tcW w:w="3729" w:type="pct"/>
            <w:noWrap w:val="0"/>
            <w:vAlign w:val="top"/>
          </w:tcPr>
          <w:p w14:paraId="794ADD7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color w:val="FF0000"/>
                <w:sz w:val="21"/>
                <w:szCs w:val="21"/>
                <w:u w:val="none"/>
                <w:vertAlign w:val="baseline"/>
                <w:lang w:eastAsia="zh-CN"/>
              </w:rPr>
            </w:pPr>
            <w:r>
              <w:rPr>
                <w:rFonts w:hint="eastAsia" w:ascii="宋体" w:hAnsi="宋体" w:eastAsia="宋体" w:cs="宋体"/>
                <w:b w:val="0"/>
                <w:bCs w:val="0"/>
                <w:i w:val="0"/>
                <w:color w:val="FF0000"/>
                <w:sz w:val="21"/>
                <w:szCs w:val="21"/>
                <w:u w:val="none"/>
                <w:vertAlign w:val="baseline"/>
                <w:lang w:eastAsia="zh-CN"/>
              </w:rPr>
              <w:t>1.回购价格低于原售价的，应当视为租赁交易进行会计处理；</w:t>
            </w:r>
          </w:p>
        </w:tc>
      </w:tr>
      <w:tr w14:paraId="3A725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pct"/>
            <w:vMerge w:val="continue"/>
            <w:noWrap w:val="0"/>
            <w:vAlign w:val="top"/>
          </w:tcPr>
          <w:p w14:paraId="0ABF7C9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color w:val="FF0000"/>
                <w:sz w:val="21"/>
                <w:szCs w:val="21"/>
                <w:u w:val="none"/>
                <w:vertAlign w:val="baseline"/>
                <w:lang w:eastAsia="zh-CN"/>
              </w:rPr>
            </w:pPr>
          </w:p>
        </w:tc>
        <w:tc>
          <w:tcPr>
            <w:tcW w:w="3729" w:type="pct"/>
            <w:noWrap w:val="0"/>
            <w:vAlign w:val="top"/>
          </w:tcPr>
          <w:p w14:paraId="46C1D2E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color w:val="FF0000"/>
                <w:sz w:val="21"/>
                <w:szCs w:val="21"/>
                <w:u w:val="none"/>
                <w:vertAlign w:val="baseline"/>
                <w:lang w:eastAsia="zh-CN"/>
              </w:rPr>
            </w:pPr>
            <w:r>
              <w:rPr>
                <w:rFonts w:hint="eastAsia" w:ascii="宋体" w:hAnsi="宋体" w:eastAsia="宋体" w:cs="宋体"/>
                <w:b w:val="0"/>
                <w:bCs w:val="0"/>
                <w:i w:val="0"/>
                <w:color w:val="FF0000"/>
                <w:sz w:val="21"/>
                <w:szCs w:val="21"/>
                <w:u w:val="none"/>
                <w:vertAlign w:val="baseline"/>
                <w:lang w:eastAsia="zh-CN"/>
              </w:rPr>
              <w:t>2.回购价格不低于原售价的，应当视为融资交易。</w:t>
            </w:r>
          </w:p>
        </w:tc>
      </w:tr>
      <w:tr w14:paraId="3DFFB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pct"/>
            <w:vMerge w:val="restart"/>
            <w:noWrap w:val="0"/>
            <w:vAlign w:val="top"/>
          </w:tcPr>
          <w:p w14:paraId="5FF807A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color w:val="FF0000"/>
                <w:sz w:val="21"/>
                <w:szCs w:val="21"/>
                <w:u w:val="none"/>
                <w:vertAlign w:val="baseline"/>
                <w:lang w:eastAsia="zh-CN"/>
              </w:rPr>
            </w:pPr>
          </w:p>
          <w:p w14:paraId="0BE4BCD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color w:val="FF0000"/>
                <w:sz w:val="21"/>
                <w:szCs w:val="21"/>
                <w:u w:val="none"/>
                <w:vertAlign w:val="baseline"/>
                <w:lang w:eastAsia="zh-CN"/>
              </w:rPr>
            </w:pPr>
            <w:r>
              <w:rPr>
                <w:rFonts w:hint="eastAsia" w:ascii="宋体" w:hAnsi="宋体" w:eastAsia="宋体" w:cs="宋体"/>
                <w:b w:val="0"/>
                <w:bCs w:val="0"/>
                <w:i w:val="0"/>
                <w:color w:val="FF0000"/>
                <w:sz w:val="21"/>
                <w:szCs w:val="21"/>
                <w:u w:val="none"/>
                <w:vertAlign w:val="baseline"/>
                <w:lang w:eastAsia="zh-CN"/>
              </w:rPr>
              <w:t>（二）企业应客户要求回购商品的</w:t>
            </w:r>
          </w:p>
        </w:tc>
        <w:tc>
          <w:tcPr>
            <w:tcW w:w="3729" w:type="pct"/>
            <w:noWrap w:val="0"/>
            <w:vAlign w:val="top"/>
          </w:tcPr>
          <w:p w14:paraId="26B8648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在合同开始日评估客户是否具有行使该要求权的重大经济动因（</w:t>
            </w:r>
            <w:r>
              <w:rPr>
                <w:rFonts w:hint="eastAsia" w:ascii="宋体" w:hAnsi="宋体" w:eastAsia="宋体" w:cs="宋体"/>
                <w:b w:val="0"/>
                <w:bCs w:val="0"/>
                <w:i w:val="0"/>
                <w:color w:val="FF0000"/>
                <w:sz w:val="21"/>
                <w:szCs w:val="21"/>
                <w:u w:val="none"/>
                <w:vertAlign w:val="baseline"/>
                <w:lang w:eastAsia="zh-CN"/>
              </w:rPr>
              <w:t>当回购价格明显高于该商品回购时的市场价值时</w:t>
            </w:r>
            <w:r>
              <w:rPr>
                <w:rFonts w:hint="eastAsia" w:ascii="宋体" w:hAnsi="宋体" w:eastAsia="宋体" w:cs="宋体"/>
                <w:b w:val="0"/>
                <w:bCs w:val="0"/>
                <w:i w:val="0"/>
                <w:sz w:val="21"/>
                <w:szCs w:val="21"/>
                <w:u w:val="none"/>
                <w:vertAlign w:val="baseline"/>
                <w:lang w:eastAsia="zh-CN"/>
              </w:rPr>
              <w:t>）。</w:t>
            </w:r>
          </w:p>
        </w:tc>
      </w:tr>
      <w:tr w14:paraId="21B92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pct"/>
            <w:vMerge w:val="continue"/>
            <w:noWrap w:val="0"/>
            <w:vAlign w:val="top"/>
          </w:tcPr>
          <w:p w14:paraId="2CE9CA3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p>
        </w:tc>
        <w:tc>
          <w:tcPr>
            <w:tcW w:w="3729" w:type="pct"/>
            <w:noWrap w:val="0"/>
            <w:vAlign w:val="top"/>
          </w:tcPr>
          <w:p w14:paraId="670CD56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1.客户具有行使该要求权的</w:t>
            </w:r>
            <w:r>
              <w:rPr>
                <w:rFonts w:hint="eastAsia" w:ascii="宋体" w:hAnsi="宋体" w:eastAsia="宋体" w:cs="宋体"/>
                <w:b w:val="0"/>
                <w:bCs w:val="0"/>
                <w:i w:val="0"/>
                <w:color w:val="FF0000"/>
                <w:sz w:val="21"/>
                <w:szCs w:val="21"/>
                <w:u w:val="none"/>
                <w:vertAlign w:val="baseline"/>
                <w:lang w:eastAsia="zh-CN"/>
              </w:rPr>
              <w:t>重大经济动因</w:t>
            </w:r>
            <w:r>
              <w:rPr>
                <w:rFonts w:hint="eastAsia" w:ascii="宋体" w:hAnsi="宋体" w:eastAsia="宋体" w:cs="宋体"/>
                <w:b w:val="0"/>
                <w:bCs w:val="0"/>
                <w:i w:val="0"/>
                <w:sz w:val="21"/>
                <w:szCs w:val="21"/>
                <w:u w:val="none"/>
                <w:vertAlign w:val="baseline"/>
                <w:lang w:eastAsia="zh-CN"/>
              </w:rPr>
              <w:t>的，按（一）会计处理。</w:t>
            </w:r>
          </w:p>
        </w:tc>
      </w:tr>
      <w:tr w14:paraId="4894B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pct"/>
            <w:vMerge w:val="continue"/>
            <w:noWrap w:val="0"/>
            <w:vAlign w:val="top"/>
          </w:tcPr>
          <w:p w14:paraId="4E2F6B4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p>
        </w:tc>
        <w:tc>
          <w:tcPr>
            <w:tcW w:w="3729" w:type="pct"/>
            <w:noWrap w:val="0"/>
            <w:vAlign w:val="top"/>
          </w:tcPr>
          <w:p w14:paraId="6928C3F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2.客户</w:t>
            </w:r>
            <w:r>
              <w:rPr>
                <w:rFonts w:hint="eastAsia" w:ascii="宋体" w:hAnsi="宋体" w:eastAsia="宋体" w:cs="宋体"/>
                <w:b w:val="0"/>
                <w:bCs w:val="0"/>
                <w:i w:val="0"/>
                <w:color w:val="FF0000"/>
                <w:sz w:val="21"/>
                <w:szCs w:val="21"/>
                <w:u w:val="none"/>
                <w:vertAlign w:val="baseline"/>
                <w:lang w:eastAsia="zh-CN"/>
              </w:rPr>
              <w:t>不具有行使该要求权的重大经济动因</w:t>
            </w:r>
            <w:r>
              <w:rPr>
                <w:rFonts w:hint="eastAsia" w:ascii="宋体" w:hAnsi="宋体" w:eastAsia="宋体" w:cs="宋体"/>
                <w:b w:val="0"/>
                <w:bCs w:val="0"/>
                <w:i w:val="0"/>
                <w:sz w:val="21"/>
                <w:szCs w:val="21"/>
                <w:u w:val="none"/>
                <w:vertAlign w:val="baseline"/>
                <w:lang w:eastAsia="zh-CN"/>
              </w:rPr>
              <w:t>的，企业应当将该售后回购作为附有销售退回条款的销售交易进行相应的会计处理。</w:t>
            </w:r>
          </w:p>
        </w:tc>
      </w:tr>
    </w:tbl>
    <w:p w14:paraId="6A346C7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p>
    <w:p w14:paraId="5866247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color w:val="FF0000"/>
          <w:sz w:val="21"/>
          <w:szCs w:val="21"/>
          <w:u w:val="none"/>
          <w:lang w:eastAsia="zh-CN"/>
        </w:rPr>
      </w:pPr>
      <w:r>
        <w:rPr>
          <w:rFonts w:hint="eastAsia" w:ascii="宋体" w:hAnsi="宋体" w:eastAsia="宋体" w:cs="宋体"/>
          <w:b w:val="0"/>
          <w:bCs w:val="0"/>
          <w:i w:val="0"/>
          <w:color w:val="FF0000"/>
          <w:sz w:val="21"/>
          <w:szCs w:val="21"/>
          <w:u w:val="none"/>
          <w:lang w:eastAsia="zh-CN"/>
        </w:rPr>
        <w:t>【考点】★★客户未行使的权利（例如，放弃储值卡的使用等。按比例确认为收入）</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9"/>
        <w:gridCol w:w="5069"/>
      </w:tblGrid>
      <w:tr w14:paraId="30FF0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noWrap w:val="0"/>
            <w:vAlign w:val="top"/>
          </w:tcPr>
          <w:p w14:paraId="75F06EE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【例题】2021年，甲公司销售储值卡100万元（含税价）。根据经验，甲公司预期客户将有5%的部分不会被消费。年末，客户使用该储值卡消费的金额为40万元（含税价）。</w:t>
            </w:r>
          </w:p>
        </w:tc>
      </w:tr>
      <w:tr w14:paraId="6A157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noWrap w:val="0"/>
            <w:vAlign w:val="top"/>
          </w:tcPr>
          <w:p w14:paraId="126F039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color w:val="FF0000"/>
                <w:sz w:val="21"/>
                <w:szCs w:val="21"/>
                <w:u w:val="none"/>
                <w:vertAlign w:val="baseline"/>
                <w:lang w:eastAsia="zh-CN"/>
              </w:rPr>
              <w:t>解析：</w:t>
            </w:r>
            <w:r>
              <w:rPr>
                <w:rFonts w:hint="eastAsia" w:ascii="宋体" w:hAnsi="宋体" w:eastAsia="宋体" w:cs="宋体"/>
                <w:b w:val="0"/>
                <w:bCs w:val="0"/>
                <w:i w:val="0"/>
                <w:sz w:val="21"/>
                <w:szCs w:val="21"/>
                <w:u w:val="none"/>
                <w:vertAlign w:val="baseline"/>
                <w:lang w:eastAsia="zh-CN"/>
              </w:rPr>
              <w:t>收入为372 613元 [（400 000 + 50 000×400 000 /950000）/（1+13%）]</w:t>
            </w:r>
          </w:p>
        </w:tc>
      </w:tr>
      <w:tr w14:paraId="01E84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0CB4EF4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（1）销售储值卡</w:t>
            </w:r>
          </w:p>
        </w:tc>
        <w:tc>
          <w:tcPr>
            <w:tcW w:w="2500" w:type="pct"/>
            <w:noWrap w:val="0"/>
            <w:vAlign w:val="top"/>
          </w:tcPr>
          <w:p w14:paraId="6F225DF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（2）根据消费金额确认收入，待转销项税额确认为销项税额：</w:t>
            </w:r>
          </w:p>
        </w:tc>
      </w:tr>
      <w:tr w14:paraId="31D30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558BFD6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借：库存现金</w:t>
            </w:r>
          </w:p>
          <w:p w14:paraId="7191A6F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 xml:space="preserve">   1 000 000</w:t>
            </w:r>
          </w:p>
          <w:p w14:paraId="735DAAC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 xml:space="preserve">　　贷：合同负债      </w:t>
            </w:r>
          </w:p>
          <w:p w14:paraId="6BE4816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 xml:space="preserve">                     884 956</w:t>
            </w:r>
          </w:p>
          <w:p w14:paraId="61A736B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 xml:space="preserve">　           应交税费——待转销项税额  115 044 </w:t>
            </w:r>
          </w:p>
        </w:tc>
        <w:tc>
          <w:tcPr>
            <w:tcW w:w="2500" w:type="pct"/>
            <w:noWrap w:val="0"/>
            <w:vAlign w:val="top"/>
          </w:tcPr>
          <w:p w14:paraId="6420A54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 xml:space="preserve">借：合同负债        　372 613 </w:t>
            </w:r>
          </w:p>
          <w:p w14:paraId="5935B9A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　　应交税费——待转销项税额</w:t>
            </w:r>
          </w:p>
          <w:p w14:paraId="5E04391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[400 000/（1+13%）×13% ] 46 018</w:t>
            </w:r>
          </w:p>
          <w:p w14:paraId="6052ECA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　　贷：主营业务收入 　　372 613</w:t>
            </w:r>
          </w:p>
          <w:p w14:paraId="22FD91E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 xml:space="preserve">          　应交税费——应交增值税（销项税额）　                                     46 018</w:t>
            </w:r>
          </w:p>
        </w:tc>
      </w:tr>
    </w:tbl>
    <w:p w14:paraId="0A6E899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p>
    <w:p w14:paraId="7737F72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color w:val="FF0000"/>
          <w:sz w:val="21"/>
          <w:szCs w:val="21"/>
          <w:u w:val="none"/>
          <w:lang w:eastAsia="zh-CN"/>
        </w:rPr>
      </w:pPr>
      <w:r>
        <w:rPr>
          <w:rFonts w:hint="eastAsia" w:ascii="宋体" w:hAnsi="宋体" w:eastAsia="宋体" w:cs="宋体"/>
          <w:b w:val="0"/>
          <w:bCs w:val="0"/>
          <w:i w:val="0"/>
          <w:color w:val="FF0000"/>
          <w:sz w:val="21"/>
          <w:szCs w:val="21"/>
          <w:u w:val="none"/>
          <w:lang w:eastAsia="zh-CN"/>
        </w:rPr>
        <w:t>【考点】★无须退回的初始费</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9"/>
        <w:gridCol w:w="5069"/>
      </w:tblGrid>
      <w:tr w14:paraId="19D9F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528E1B0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包括入会费、接驳费、初装费等。</w:t>
            </w:r>
          </w:p>
        </w:tc>
        <w:tc>
          <w:tcPr>
            <w:tcW w:w="2500" w:type="pct"/>
            <w:vMerge w:val="restart"/>
            <w:noWrap w:val="0"/>
            <w:vAlign w:val="top"/>
          </w:tcPr>
          <w:p w14:paraId="711B05D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掌握【例题】俱乐部的年费2 000元，还向客户收取了50元的入会费。</w:t>
            </w:r>
          </w:p>
        </w:tc>
      </w:tr>
      <w:tr w14:paraId="3A41D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362CAEA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color w:val="FF0000"/>
                <w:sz w:val="21"/>
                <w:szCs w:val="21"/>
                <w:u w:val="none"/>
                <w:vertAlign w:val="baseline"/>
                <w:lang w:eastAsia="zh-CN"/>
              </w:rPr>
              <w:t>与向客户转让已承诺的商品相关：按照分摊至该商品的交易价格确认收入；</w:t>
            </w:r>
          </w:p>
        </w:tc>
        <w:tc>
          <w:tcPr>
            <w:tcW w:w="2500" w:type="pct"/>
            <w:vMerge w:val="continue"/>
            <w:noWrap w:val="0"/>
            <w:vAlign w:val="top"/>
          </w:tcPr>
          <w:p w14:paraId="0C2A45A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p>
        </w:tc>
      </w:tr>
      <w:tr w14:paraId="0A64D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238C9E0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color w:val="FF0000"/>
                <w:sz w:val="21"/>
                <w:szCs w:val="21"/>
                <w:u w:val="none"/>
                <w:vertAlign w:val="baseline"/>
                <w:lang w:eastAsia="zh-CN"/>
              </w:rPr>
              <w:t>与向客户转让已承诺的商品不相关的</w:t>
            </w:r>
            <w:r>
              <w:rPr>
                <w:rFonts w:hint="eastAsia" w:ascii="宋体" w:hAnsi="宋体" w:eastAsia="宋体" w:cs="宋体"/>
                <w:b w:val="0"/>
                <w:bCs w:val="0"/>
                <w:i w:val="0"/>
                <w:sz w:val="21"/>
                <w:szCs w:val="21"/>
                <w:u w:val="none"/>
                <w:vertAlign w:val="baseline"/>
                <w:lang w:eastAsia="zh-CN"/>
              </w:rPr>
              <w:t>，作为</w:t>
            </w:r>
            <w:r>
              <w:rPr>
                <w:rFonts w:hint="eastAsia" w:ascii="宋体" w:hAnsi="宋体" w:eastAsia="宋体" w:cs="宋体"/>
                <w:b w:val="0"/>
                <w:bCs w:val="0"/>
                <w:i w:val="0"/>
                <w:color w:val="FF0000"/>
                <w:sz w:val="21"/>
                <w:szCs w:val="21"/>
                <w:u w:val="none"/>
                <w:vertAlign w:val="baseline"/>
                <w:lang w:eastAsia="zh-CN"/>
              </w:rPr>
              <w:t>预收款</w:t>
            </w:r>
            <w:r>
              <w:rPr>
                <w:rFonts w:hint="eastAsia" w:ascii="宋体" w:hAnsi="宋体" w:eastAsia="宋体" w:cs="宋体"/>
                <w:b w:val="0"/>
                <w:bCs w:val="0"/>
                <w:i w:val="0"/>
                <w:sz w:val="21"/>
                <w:szCs w:val="21"/>
                <w:u w:val="none"/>
                <w:vertAlign w:val="baseline"/>
                <w:lang w:eastAsia="zh-CN"/>
              </w:rPr>
              <w:t>，在未来转让该商品时确认为收入</w:t>
            </w:r>
          </w:p>
        </w:tc>
        <w:tc>
          <w:tcPr>
            <w:tcW w:w="2500" w:type="pct"/>
            <w:noWrap w:val="0"/>
            <w:vAlign w:val="top"/>
          </w:tcPr>
          <w:p w14:paraId="24BFB57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50元与</w:t>
            </w:r>
            <w:r>
              <w:rPr>
                <w:rFonts w:hint="eastAsia" w:ascii="宋体" w:hAnsi="宋体" w:eastAsia="宋体" w:cs="宋体"/>
                <w:b w:val="0"/>
                <w:bCs w:val="0"/>
                <w:i w:val="0"/>
                <w:color w:val="FF0000"/>
                <w:sz w:val="21"/>
                <w:szCs w:val="21"/>
                <w:u w:val="none"/>
                <w:vertAlign w:val="baseline"/>
                <w:lang w:eastAsia="zh-CN"/>
              </w:rPr>
              <w:t>收取的年费一起在2年内分摊确认为收入</w:t>
            </w:r>
            <w:r>
              <w:rPr>
                <w:rFonts w:hint="eastAsia" w:ascii="宋体" w:hAnsi="宋体" w:eastAsia="宋体" w:cs="宋体"/>
                <w:b w:val="0"/>
                <w:bCs w:val="0"/>
                <w:i w:val="0"/>
                <w:sz w:val="21"/>
                <w:szCs w:val="21"/>
                <w:u w:val="none"/>
                <w:vertAlign w:val="baseline"/>
                <w:lang w:eastAsia="zh-CN"/>
              </w:rPr>
              <w:t>。</w:t>
            </w:r>
          </w:p>
        </w:tc>
      </w:tr>
    </w:tbl>
    <w:p w14:paraId="1FD4705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p>
    <w:p w14:paraId="02DDE7C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p>
    <w:p w14:paraId="1B7C20A3">
      <w:pPr>
        <w:keepNext w:val="0"/>
        <w:keepLines w:val="0"/>
        <w:pageBreakBefore w:val="0"/>
        <w:widowControl w:val="0"/>
        <w:kinsoku/>
        <w:wordWrap/>
        <w:overflowPunct w:val="0"/>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第十四章  政府补助</w:t>
      </w:r>
    </w:p>
    <w:p w14:paraId="7174E99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p>
    <w:p w14:paraId="58B7469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 xml:space="preserve">预计今年考核客观题和主观题，分值为2-6分。 </w:t>
      </w:r>
    </w:p>
    <w:p w14:paraId="4022F5A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color w:val="FF0000"/>
          <w:sz w:val="21"/>
          <w:szCs w:val="21"/>
          <w:u w:val="none"/>
          <w:lang w:eastAsia="zh-CN"/>
        </w:rPr>
      </w:pPr>
      <w:r>
        <w:rPr>
          <w:rFonts w:hint="eastAsia" w:ascii="宋体" w:hAnsi="宋体" w:eastAsia="宋体" w:cs="宋体"/>
          <w:b w:val="0"/>
          <w:bCs w:val="0"/>
          <w:i w:val="0"/>
          <w:color w:val="FF0000"/>
          <w:sz w:val="21"/>
          <w:szCs w:val="21"/>
          <w:u w:val="none"/>
          <w:lang w:eastAsia="zh-CN"/>
        </w:rPr>
        <w:t>【考点】★政府补助特征及分类</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6"/>
        <w:gridCol w:w="8262"/>
      </w:tblGrid>
      <w:tr w14:paraId="4F95C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pct"/>
            <w:noWrap w:val="0"/>
            <w:vAlign w:val="top"/>
          </w:tcPr>
          <w:p w14:paraId="632570A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政府补助</w:t>
            </w:r>
          </w:p>
        </w:tc>
        <w:tc>
          <w:tcPr>
            <w:tcW w:w="4074" w:type="pct"/>
            <w:noWrap w:val="0"/>
            <w:vAlign w:val="top"/>
          </w:tcPr>
          <w:p w14:paraId="4C1B16C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是指企业从政府</w:t>
            </w:r>
            <w:r>
              <w:rPr>
                <w:rFonts w:hint="eastAsia" w:ascii="宋体" w:hAnsi="宋体" w:eastAsia="宋体" w:cs="宋体"/>
                <w:b w:val="0"/>
                <w:bCs w:val="0"/>
                <w:i w:val="0"/>
                <w:color w:val="FF0000"/>
                <w:sz w:val="21"/>
                <w:szCs w:val="21"/>
                <w:u w:val="none"/>
                <w:vertAlign w:val="baseline"/>
                <w:lang w:eastAsia="zh-CN"/>
              </w:rPr>
              <w:t>无偿取得</w:t>
            </w:r>
            <w:r>
              <w:rPr>
                <w:rFonts w:hint="eastAsia" w:ascii="宋体" w:hAnsi="宋体" w:eastAsia="宋体" w:cs="宋体"/>
                <w:b w:val="0"/>
                <w:bCs w:val="0"/>
                <w:i w:val="0"/>
                <w:sz w:val="21"/>
                <w:szCs w:val="21"/>
                <w:u w:val="none"/>
                <w:vertAlign w:val="baseline"/>
                <w:lang w:eastAsia="zh-CN"/>
              </w:rPr>
              <w:t>货币性资产或非货币性资产，不含免债和投资</w:t>
            </w:r>
          </w:p>
        </w:tc>
      </w:tr>
      <w:tr w14:paraId="68682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pct"/>
            <w:noWrap w:val="0"/>
            <w:vAlign w:val="top"/>
          </w:tcPr>
          <w:p w14:paraId="487BD24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特征</w:t>
            </w:r>
          </w:p>
        </w:tc>
        <w:tc>
          <w:tcPr>
            <w:tcW w:w="4074" w:type="pct"/>
            <w:noWrap w:val="0"/>
            <w:vAlign w:val="top"/>
          </w:tcPr>
          <w:p w14:paraId="48EFD54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color w:val="FF0000"/>
                <w:sz w:val="21"/>
                <w:szCs w:val="21"/>
                <w:u w:val="none"/>
                <w:vertAlign w:val="baseline"/>
                <w:lang w:eastAsia="zh-CN"/>
              </w:rPr>
              <w:t>无偿性</w:t>
            </w:r>
            <w:r>
              <w:rPr>
                <w:rFonts w:hint="eastAsia" w:ascii="宋体" w:hAnsi="宋体" w:eastAsia="宋体" w:cs="宋体"/>
                <w:b w:val="0"/>
                <w:bCs w:val="0"/>
                <w:i w:val="0"/>
                <w:sz w:val="21"/>
                <w:szCs w:val="21"/>
                <w:u w:val="none"/>
                <w:vertAlign w:val="baseline"/>
                <w:lang w:eastAsia="zh-CN"/>
              </w:rPr>
              <w:t>；直接取得资产</w:t>
            </w:r>
          </w:p>
        </w:tc>
      </w:tr>
      <w:tr w14:paraId="5BCE3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pct"/>
            <w:noWrap w:val="0"/>
            <w:vAlign w:val="top"/>
          </w:tcPr>
          <w:p w14:paraId="218AC83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属于</w:t>
            </w:r>
          </w:p>
        </w:tc>
        <w:tc>
          <w:tcPr>
            <w:tcW w:w="4074" w:type="pct"/>
            <w:noWrap w:val="0"/>
            <w:vAlign w:val="top"/>
          </w:tcPr>
          <w:p w14:paraId="4F90325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无偿拨款、税收返还、财政贴息，无偿给予的非货币性资产。</w:t>
            </w:r>
          </w:p>
        </w:tc>
      </w:tr>
      <w:tr w14:paraId="07180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pct"/>
            <w:noWrap w:val="0"/>
            <w:vAlign w:val="top"/>
          </w:tcPr>
          <w:p w14:paraId="716BDD5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color w:val="FF0000"/>
                <w:sz w:val="21"/>
                <w:szCs w:val="21"/>
                <w:u w:val="none"/>
                <w:vertAlign w:val="baseline"/>
                <w:lang w:eastAsia="zh-CN"/>
              </w:rPr>
              <w:t>不属于</w:t>
            </w:r>
          </w:p>
        </w:tc>
        <w:tc>
          <w:tcPr>
            <w:tcW w:w="4074" w:type="pct"/>
            <w:noWrap w:val="0"/>
            <w:vAlign w:val="top"/>
          </w:tcPr>
          <w:p w14:paraId="43EBA60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债务豁免，直接减征、免征、增加计税抵扣额、抵免部分税额；</w:t>
            </w:r>
            <w:r>
              <w:rPr>
                <w:rFonts w:hint="eastAsia" w:ascii="宋体" w:hAnsi="宋体" w:eastAsia="宋体" w:cs="宋体"/>
                <w:b w:val="0"/>
                <w:bCs w:val="0"/>
                <w:i w:val="0"/>
                <w:color w:val="FF0000"/>
                <w:sz w:val="21"/>
                <w:szCs w:val="21"/>
                <w:u w:val="none"/>
                <w:vertAlign w:val="baseline"/>
                <w:lang w:eastAsia="zh-CN"/>
              </w:rPr>
              <w:t>增值税出口退税</w:t>
            </w:r>
            <w:r>
              <w:rPr>
                <w:rFonts w:hint="eastAsia" w:ascii="宋体" w:hAnsi="宋体" w:eastAsia="宋体" w:cs="宋体"/>
                <w:b w:val="0"/>
                <w:bCs w:val="0"/>
                <w:i w:val="0"/>
                <w:sz w:val="21"/>
                <w:szCs w:val="21"/>
                <w:u w:val="none"/>
                <w:vertAlign w:val="baseline"/>
                <w:lang w:eastAsia="zh-CN"/>
              </w:rPr>
              <w:t xml:space="preserve">（属于税法“免抵退”政策） </w:t>
            </w:r>
          </w:p>
        </w:tc>
      </w:tr>
      <w:tr w14:paraId="67B13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pct"/>
            <w:vMerge w:val="restart"/>
            <w:noWrap w:val="0"/>
            <w:vAlign w:val="top"/>
          </w:tcPr>
          <w:p w14:paraId="6C96F95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分类</w:t>
            </w:r>
          </w:p>
        </w:tc>
        <w:tc>
          <w:tcPr>
            <w:tcW w:w="4074" w:type="pct"/>
            <w:noWrap w:val="0"/>
            <w:vAlign w:val="top"/>
          </w:tcPr>
          <w:p w14:paraId="7A8F2C4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与资产相关的政府补助</w:t>
            </w:r>
          </w:p>
        </w:tc>
      </w:tr>
      <w:tr w14:paraId="4361F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pct"/>
            <w:vMerge w:val="continue"/>
            <w:noWrap w:val="0"/>
            <w:vAlign w:val="top"/>
          </w:tcPr>
          <w:p w14:paraId="0393439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p>
        </w:tc>
        <w:tc>
          <w:tcPr>
            <w:tcW w:w="4074" w:type="pct"/>
            <w:noWrap w:val="0"/>
            <w:vAlign w:val="top"/>
          </w:tcPr>
          <w:p w14:paraId="723B9CF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 xml:space="preserve">与收益相关的政府补助 </w:t>
            </w:r>
          </w:p>
        </w:tc>
      </w:tr>
    </w:tbl>
    <w:p w14:paraId="57FE8DA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p>
    <w:p w14:paraId="4A13FCE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color w:val="FF0000"/>
          <w:sz w:val="21"/>
          <w:szCs w:val="21"/>
          <w:u w:val="none"/>
          <w:lang w:eastAsia="zh-CN"/>
        </w:rPr>
      </w:pPr>
      <w:r>
        <w:rPr>
          <w:rFonts w:hint="eastAsia" w:ascii="宋体" w:hAnsi="宋体" w:eastAsia="宋体" w:cs="宋体"/>
          <w:b w:val="0"/>
          <w:bCs w:val="0"/>
          <w:i w:val="0"/>
          <w:color w:val="FF0000"/>
          <w:sz w:val="21"/>
          <w:szCs w:val="21"/>
          <w:u w:val="none"/>
          <w:lang w:eastAsia="zh-CN"/>
        </w:rPr>
        <w:t>【考点】会计处理方法</w:t>
      </w:r>
    </w:p>
    <w:tbl>
      <w:tblPr>
        <w:tblStyle w:val="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3"/>
        <w:gridCol w:w="2123"/>
        <w:gridCol w:w="6440"/>
      </w:tblGrid>
      <w:tr w14:paraId="15320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pct"/>
            <w:vMerge w:val="restart"/>
            <w:noWrap w:val="0"/>
            <w:vAlign w:val="top"/>
          </w:tcPr>
          <w:p w14:paraId="12B47F3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p>
          <w:p w14:paraId="4488C5D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p>
          <w:p w14:paraId="571B26C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会计处理方法</w:t>
            </w:r>
          </w:p>
        </w:tc>
        <w:tc>
          <w:tcPr>
            <w:tcW w:w="1047" w:type="pct"/>
            <w:noWrap w:val="0"/>
            <w:vAlign w:val="top"/>
          </w:tcPr>
          <w:p w14:paraId="311C143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总额法</w:t>
            </w:r>
          </w:p>
        </w:tc>
        <w:tc>
          <w:tcPr>
            <w:tcW w:w="3175" w:type="pct"/>
            <w:noWrap w:val="0"/>
            <w:vAlign w:val="top"/>
          </w:tcPr>
          <w:p w14:paraId="280CCBA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政府补助全额确认为收益</w:t>
            </w:r>
          </w:p>
        </w:tc>
      </w:tr>
      <w:tr w14:paraId="5B503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pct"/>
            <w:vMerge w:val="continue"/>
            <w:noWrap w:val="0"/>
            <w:vAlign w:val="top"/>
          </w:tcPr>
          <w:p w14:paraId="43B21E4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p>
        </w:tc>
        <w:tc>
          <w:tcPr>
            <w:tcW w:w="1047" w:type="pct"/>
            <w:noWrap w:val="0"/>
            <w:vAlign w:val="top"/>
          </w:tcPr>
          <w:p w14:paraId="5252DAE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净额法</w:t>
            </w:r>
          </w:p>
        </w:tc>
        <w:tc>
          <w:tcPr>
            <w:tcW w:w="3175" w:type="pct"/>
            <w:noWrap w:val="0"/>
            <w:vAlign w:val="top"/>
          </w:tcPr>
          <w:p w14:paraId="723F4F1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政府补助扣减相关资产账面价值或者所补偿费用</w:t>
            </w:r>
          </w:p>
        </w:tc>
      </w:tr>
      <w:tr w14:paraId="448ED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pct"/>
            <w:vMerge w:val="continue"/>
            <w:noWrap w:val="0"/>
            <w:vAlign w:val="top"/>
          </w:tcPr>
          <w:p w14:paraId="4D64D12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p>
        </w:tc>
        <w:tc>
          <w:tcPr>
            <w:tcW w:w="4223" w:type="pct"/>
            <w:gridSpan w:val="2"/>
            <w:noWrap w:val="0"/>
            <w:vAlign w:val="top"/>
          </w:tcPr>
          <w:p w14:paraId="096BA2F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根据经济业务实质，判断某一类政府补助采用总额法还是净额法，对同类或类似政府补助业务只能选用一种方法，一经选定，不得随意变更。</w:t>
            </w:r>
          </w:p>
        </w:tc>
      </w:tr>
      <w:tr w14:paraId="03CB2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pct"/>
            <w:vMerge w:val="continue"/>
            <w:noWrap w:val="0"/>
            <w:vAlign w:val="top"/>
          </w:tcPr>
          <w:p w14:paraId="0DEE6B1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p>
        </w:tc>
        <w:tc>
          <w:tcPr>
            <w:tcW w:w="1047" w:type="pct"/>
            <w:noWrap w:val="0"/>
            <w:vAlign w:val="top"/>
          </w:tcPr>
          <w:p w14:paraId="4EB2440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与</w:t>
            </w:r>
            <w:r>
              <w:rPr>
                <w:rFonts w:hint="eastAsia" w:ascii="宋体" w:hAnsi="宋体" w:eastAsia="宋体" w:cs="宋体"/>
                <w:b w:val="0"/>
                <w:bCs w:val="0"/>
                <w:i w:val="0"/>
                <w:color w:val="FF0000"/>
                <w:sz w:val="21"/>
                <w:szCs w:val="21"/>
                <w:u w:val="none"/>
                <w:vertAlign w:val="baseline"/>
                <w:lang w:eastAsia="zh-CN"/>
              </w:rPr>
              <w:t>日常活动相关</w:t>
            </w:r>
          </w:p>
        </w:tc>
        <w:tc>
          <w:tcPr>
            <w:tcW w:w="3175" w:type="pct"/>
            <w:noWrap w:val="0"/>
            <w:vAlign w:val="top"/>
          </w:tcPr>
          <w:p w14:paraId="4E32B09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计入其他收益或冲减相关成本费用</w:t>
            </w:r>
          </w:p>
        </w:tc>
      </w:tr>
      <w:tr w14:paraId="1743B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pct"/>
            <w:vMerge w:val="continue"/>
            <w:noWrap w:val="0"/>
            <w:vAlign w:val="top"/>
          </w:tcPr>
          <w:p w14:paraId="55DBB69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p>
        </w:tc>
        <w:tc>
          <w:tcPr>
            <w:tcW w:w="1047" w:type="pct"/>
            <w:noWrap w:val="0"/>
            <w:vAlign w:val="top"/>
          </w:tcPr>
          <w:p w14:paraId="480B0BC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color w:val="FF0000"/>
                <w:sz w:val="21"/>
                <w:szCs w:val="21"/>
                <w:u w:val="none"/>
                <w:vertAlign w:val="baseline"/>
                <w:lang w:eastAsia="zh-CN"/>
              </w:rPr>
              <w:t>日常活动无关</w:t>
            </w:r>
          </w:p>
        </w:tc>
        <w:tc>
          <w:tcPr>
            <w:tcW w:w="3175" w:type="pct"/>
            <w:noWrap w:val="0"/>
            <w:vAlign w:val="top"/>
          </w:tcPr>
          <w:p w14:paraId="7124EFB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计入营业外收支</w:t>
            </w:r>
          </w:p>
        </w:tc>
      </w:tr>
    </w:tbl>
    <w:p w14:paraId="33E7694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r>
        <w:drawing>
          <wp:anchor distT="0" distB="0" distL="114300" distR="114300" simplePos="0" relativeHeight="251659264" behindDoc="1" locked="0" layoutInCell="1" allowOverlap="1">
            <wp:simplePos x="0" y="0"/>
            <wp:positionH relativeFrom="column">
              <wp:posOffset>421640</wp:posOffset>
            </wp:positionH>
            <wp:positionV relativeFrom="paragraph">
              <wp:posOffset>92710</wp:posOffset>
            </wp:positionV>
            <wp:extent cx="5276850" cy="2501900"/>
            <wp:effectExtent l="0" t="0" r="0" b="12700"/>
            <wp:wrapTight wrapText="bothSides">
              <wp:wrapPolygon>
                <wp:start x="0" y="0"/>
                <wp:lineTo x="0" y="21381"/>
                <wp:lineTo x="21522" y="21381"/>
                <wp:lineTo x="21522"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5276850" cy="2501900"/>
                    </a:xfrm>
                    <a:prstGeom prst="rect">
                      <a:avLst/>
                    </a:prstGeom>
                    <a:noFill/>
                    <a:ln>
                      <a:noFill/>
                    </a:ln>
                  </pic:spPr>
                </pic:pic>
              </a:graphicData>
            </a:graphic>
          </wp:anchor>
        </w:drawing>
      </w:r>
    </w:p>
    <w:p w14:paraId="0B0713F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p>
    <w:p w14:paraId="3F2D476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p>
    <w:p w14:paraId="3C2CF65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p>
    <w:p w14:paraId="30CE00E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p>
    <w:p w14:paraId="6943532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p>
    <w:p w14:paraId="635A982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p>
    <w:p w14:paraId="784784A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p>
    <w:p w14:paraId="2B75861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p>
    <w:p w14:paraId="1028475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p>
    <w:p w14:paraId="1428EAA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color w:val="FF0000"/>
          <w:sz w:val="21"/>
          <w:szCs w:val="21"/>
          <w:u w:val="none"/>
          <w:lang w:eastAsia="zh-CN"/>
        </w:rPr>
      </w:pPr>
      <w:r>
        <w:rPr>
          <w:rFonts w:hint="eastAsia" w:ascii="宋体" w:hAnsi="宋体" w:eastAsia="宋体" w:cs="宋体"/>
          <w:b w:val="0"/>
          <w:bCs w:val="0"/>
          <w:i w:val="0"/>
          <w:color w:val="FF0000"/>
          <w:sz w:val="21"/>
          <w:szCs w:val="21"/>
          <w:u w:val="none"/>
          <w:lang w:eastAsia="zh-CN"/>
        </w:rPr>
        <w:t>【考点】★★★与资产相关的政府补助</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78"/>
        <w:gridCol w:w="3380"/>
        <w:gridCol w:w="3378"/>
        <w:gridCol w:w="2"/>
      </w:tblGrid>
      <w:tr w14:paraId="2598B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noWrap w:val="0"/>
            <w:vAlign w:val="top"/>
          </w:tcPr>
          <w:p w14:paraId="449A3CE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 xml:space="preserve">企业取得的政府补助为非货币性资产的，应当按照公允价值计量，公允价值不能可靠取得的，按照名义金额（1元）计量。 </w:t>
            </w:r>
          </w:p>
          <w:p w14:paraId="1B7C990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对以</w:t>
            </w:r>
            <w:r>
              <w:rPr>
                <w:rFonts w:hint="eastAsia" w:ascii="宋体" w:hAnsi="宋体" w:eastAsia="宋体" w:cs="宋体"/>
                <w:b w:val="0"/>
                <w:bCs w:val="0"/>
                <w:i w:val="0"/>
                <w:color w:val="FF0000"/>
                <w:sz w:val="21"/>
                <w:szCs w:val="21"/>
                <w:u w:val="none"/>
                <w:vertAlign w:val="baseline"/>
                <w:lang w:eastAsia="zh-CN"/>
              </w:rPr>
              <w:t>名义金额计量</w:t>
            </w:r>
            <w:r>
              <w:rPr>
                <w:rFonts w:hint="eastAsia" w:ascii="宋体" w:hAnsi="宋体" w:eastAsia="宋体" w:cs="宋体"/>
                <w:b w:val="0"/>
                <w:bCs w:val="0"/>
                <w:i w:val="0"/>
                <w:sz w:val="21"/>
                <w:szCs w:val="21"/>
                <w:u w:val="none"/>
                <w:vertAlign w:val="baseline"/>
                <w:lang w:eastAsia="zh-CN"/>
              </w:rPr>
              <w:t>的政府补助，在取得时计入</w:t>
            </w:r>
            <w:r>
              <w:rPr>
                <w:rFonts w:hint="eastAsia" w:ascii="宋体" w:hAnsi="宋体" w:eastAsia="宋体" w:cs="宋体"/>
                <w:b w:val="0"/>
                <w:bCs w:val="0"/>
                <w:i w:val="0"/>
                <w:color w:val="FF0000"/>
                <w:sz w:val="21"/>
                <w:szCs w:val="21"/>
                <w:u w:val="none"/>
                <w:vertAlign w:val="baseline"/>
                <w:lang w:eastAsia="zh-CN"/>
              </w:rPr>
              <w:t>当期损益</w:t>
            </w:r>
            <w:r>
              <w:rPr>
                <w:rFonts w:hint="eastAsia" w:ascii="宋体" w:hAnsi="宋体" w:eastAsia="宋体" w:cs="宋体"/>
                <w:b w:val="0"/>
                <w:bCs w:val="0"/>
                <w:i w:val="0"/>
                <w:sz w:val="21"/>
                <w:szCs w:val="21"/>
                <w:u w:val="none"/>
                <w:vertAlign w:val="baseline"/>
                <w:lang w:eastAsia="zh-CN"/>
              </w:rPr>
              <w:t>。</w:t>
            </w:r>
          </w:p>
        </w:tc>
      </w:tr>
      <w:tr w14:paraId="19FBF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3" w:type="pct"/>
            <w:gridSpan w:val="2"/>
            <w:noWrap w:val="0"/>
            <w:vAlign w:val="top"/>
          </w:tcPr>
          <w:p w14:paraId="7B50940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总额法</w:t>
            </w:r>
          </w:p>
        </w:tc>
        <w:tc>
          <w:tcPr>
            <w:tcW w:w="1666" w:type="pct"/>
            <w:gridSpan w:val="2"/>
            <w:noWrap w:val="0"/>
            <w:vAlign w:val="top"/>
          </w:tcPr>
          <w:p w14:paraId="53ED4B4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净额法</w:t>
            </w:r>
          </w:p>
        </w:tc>
      </w:tr>
      <w:tr w14:paraId="104F8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noWrap w:val="0"/>
            <w:vAlign w:val="top"/>
          </w:tcPr>
          <w:p w14:paraId="020499F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 xml:space="preserve">【思路】两条线：一条是固定资产 </w:t>
            </w:r>
          </w:p>
        </w:tc>
        <w:tc>
          <w:tcPr>
            <w:tcW w:w="1666" w:type="pct"/>
            <w:noWrap w:val="0"/>
            <w:vAlign w:val="top"/>
          </w:tcPr>
          <w:p w14:paraId="21307C8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 xml:space="preserve">一条是递延收益（非流动负债）： </w:t>
            </w:r>
          </w:p>
        </w:tc>
        <w:tc>
          <w:tcPr>
            <w:tcW w:w="1666" w:type="pct"/>
            <w:gridSpan w:val="2"/>
            <w:noWrap w:val="0"/>
            <w:vAlign w:val="top"/>
          </w:tcPr>
          <w:p w14:paraId="132CAC8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【思路】取得递延收益→购买固定资产→递延收益冲减固定资产→计提折旧→固定资产清理</w:t>
            </w:r>
          </w:p>
        </w:tc>
      </w:tr>
      <w:tr w14:paraId="7EECA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noWrap w:val="0"/>
            <w:vAlign w:val="top"/>
          </w:tcPr>
          <w:p w14:paraId="59FBB94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 xml:space="preserve">固定资产→计提折旧→固定资产清理； </w:t>
            </w:r>
          </w:p>
        </w:tc>
        <w:tc>
          <w:tcPr>
            <w:tcW w:w="1666" w:type="pct"/>
            <w:noWrap w:val="0"/>
            <w:vAlign w:val="top"/>
          </w:tcPr>
          <w:p w14:paraId="180B0D7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 xml:space="preserve">递延收益→其他收益\营业外收入 </w:t>
            </w:r>
          </w:p>
        </w:tc>
        <w:tc>
          <w:tcPr>
            <w:tcW w:w="1666" w:type="pct"/>
            <w:gridSpan w:val="2"/>
            <w:noWrap w:val="0"/>
            <w:vAlign w:val="top"/>
          </w:tcPr>
          <w:p w14:paraId="473A1B3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 xml:space="preserve">1.实际收到财政拨款 </w:t>
            </w:r>
          </w:p>
          <w:p w14:paraId="5667260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 xml:space="preserve">借：银行存款　　  A </w:t>
            </w:r>
          </w:p>
          <w:p w14:paraId="4B4C0F7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 xml:space="preserve">　　贷：递延收益　  A </w:t>
            </w:r>
          </w:p>
        </w:tc>
      </w:tr>
      <w:tr w14:paraId="6EF2F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noWrap w:val="0"/>
            <w:vAlign w:val="top"/>
          </w:tcPr>
          <w:p w14:paraId="2DCC914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 xml:space="preserve">2.购入设备 </w:t>
            </w:r>
          </w:p>
          <w:p w14:paraId="711B956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借：固定资产   B　　</w:t>
            </w:r>
            <w:r>
              <w:rPr>
                <w:rFonts w:hint="eastAsia" w:ascii="宋体" w:hAnsi="宋体" w:eastAsia="宋体" w:cs="宋体"/>
                <w:b w:val="0"/>
                <w:bCs w:val="0"/>
                <w:i w:val="0"/>
                <w:sz w:val="21"/>
                <w:szCs w:val="21"/>
                <w:u w:val="none"/>
                <w:vertAlign w:val="baseline"/>
                <w:lang w:eastAsia="zh-CN"/>
              </w:rPr>
              <w:br w:type="textWrapping"/>
            </w:r>
            <w:r>
              <w:rPr>
                <w:rFonts w:hint="eastAsia" w:ascii="宋体" w:hAnsi="宋体" w:eastAsia="宋体" w:cs="宋体"/>
                <w:b w:val="0"/>
                <w:bCs w:val="0"/>
                <w:i w:val="0"/>
                <w:sz w:val="21"/>
                <w:szCs w:val="21"/>
                <w:u w:val="none"/>
                <w:vertAlign w:val="baseline"/>
                <w:lang w:eastAsia="zh-CN"/>
              </w:rPr>
              <w:t xml:space="preserve">　　贷：银行存款 B </w:t>
            </w:r>
          </w:p>
        </w:tc>
        <w:tc>
          <w:tcPr>
            <w:tcW w:w="1666" w:type="pct"/>
            <w:noWrap w:val="0"/>
            <w:vAlign w:val="top"/>
          </w:tcPr>
          <w:p w14:paraId="308AEDB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 xml:space="preserve">1.实际收到财政拨款 </w:t>
            </w:r>
          </w:p>
          <w:p w14:paraId="64F453B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 xml:space="preserve">借：银行存款       A　 </w:t>
            </w:r>
          </w:p>
          <w:p w14:paraId="582B3E0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 xml:space="preserve">　　贷：递延收益　A </w:t>
            </w:r>
          </w:p>
        </w:tc>
        <w:tc>
          <w:tcPr>
            <w:tcW w:w="1666" w:type="pct"/>
            <w:gridSpan w:val="2"/>
            <w:noWrap w:val="0"/>
            <w:vAlign w:val="top"/>
          </w:tcPr>
          <w:p w14:paraId="07422B6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 xml:space="preserve">2.购入设备 </w:t>
            </w:r>
          </w:p>
          <w:p w14:paraId="2953561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 xml:space="preserve">借：固定资产　　B </w:t>
            </w:r>
          </w:p>
          <w:p w14:paraId="743C19E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 xml:space="preserve">　　贷：银行存款　B </w:t>
            </w:r>
          </w:p>
        </w:tc>
      </w:tr>
      <w:tr w14:paraId="3F7EB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Pr>
        <w:tc>
          <w:tcPr>
            <w:tcW w:w="1666" w:type="pct"/>
            <w:noWrap w:val="0"/>
            <w:vAlign w:val="top"/>
          </w:tcPr>
          <w:p w14:paraId="4B9A532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 xml:space="preserve">3.月末计提折旧 </w:t>
            </w:r>
          </w:p>
          <w:p w14:paraId="49ED3A9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 xml:space="preserve">借：制造费用  B/期限 </w:t>
            </w:r>
          </w:p>
          <w:p w14:paraId="1E9D7BF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 xml:space="preserve">　　贷：累计折旧　 </w:t>
            </w:r>
          </w:p>
        </w:tc>
        <w:tc>
          <w:tcPr>
            <w:tcW w:w="1666" w:type="pct"/>
            <w:noWrap w:val="0"/>
            <w:vAlign w:val="top"/>
          </w:tcPr>
          <w:p w14:paraId="3A1AB5D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 xml:space="preserve">4.分摊递延收益 </w:t>
            </w:r>
          </w:p>
          <w:p w14:paraId="424A0A2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 xml:space="preserve">借：递延收益  A/期限 </w:t>
            </w:r>
          </w:p>
          <w:p w14:paraId="546DBA7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 xml:space="preserve">　　贷：其他收益  日常活动 </w:t>
            </w:r>
          </w:p>
          <w:p w14:paraId="1DD7425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 xml:space="preserve">　营业外收入 非日常活动　 </w:t>
            </w:r>
          </w:p>
        </w:tc>
        <w:tc>
          <w:tcPr>
            <w:tcW w:w="1666" w:type="pct"/>
            <w:noWrap w:val="0"/>
            <w:vAlign w:val="top"/>
          </w:tcPr>
          <w:p w14:paraId="68DE257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 xml:space="preserve">3.递延收益冲减固定资产 </w:t>
            </w:r>
          </w:p>
          <w:p w14:paraId="56BE6DA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 xml:space="preserve">借：递延收益       A </w:t>
            </w:r>
          </w:p>
          <w:p w14:paraId="0493627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 xml:space="preserve">　　贷：固定资产　A </w:t>
            </w:r>
          </w:p>
          <w:p w14:paraId="24CB0A6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 xml:space="preserve">4.月末计提折旧 </w:t>
            </w:r>
          </w:p>
          <w:p w14:paraId="4EFC794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 xml:space="preserve">借：制造费用（B－A）/折旧月 </w:t>
            </w:r>
          </w:p>
          <w:p w14:paraId="52A91A1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 xml:space="preserve">　　贷：累计折旧　 </w:t>
            </w:r>
          </w:p>
        </w:tc>
      </w:tr>
      <w:tr w14:paraId="0B6B2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Pr>
        <w:tc>
          <w:tcPr>
            <w:tcW w:w="1666" w:type="pct"/>
            <w:noWrap w:val="0"/>
            <w:vAlign w:val="top"/>
          </w:tcPr>
          <w:p w14:paraId="3403125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 xml:space="preserve">6.处置设备 </w:t>
            </w:r>
          </w:p>
          <w:p w14:paraId="71B3565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 xml:space="preserve">借：固定资产清理 </w:t>
            </w:r>
          </w:p>
          <w:p w14:paraId="1C311D0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 xml:space="preserve">　　累计折旧　　 </w:t>
            </w:r>
          </w:p>
          <w:p w14:paraId="32F4234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 xml:space="preserve">　　贷：固定资产　　 </w:t>
            </w:r>
          </w:p>
          <w:p w14:paraId="15F9A99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 xml:space="preserve">借：资产处置损益（出售：可能在贷方） </w:t>
            </w:r>
          </w:p>
          <w:p w14:paraId="2C77567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 xml:space="preserve">　　营业外支出（报废） </w:t>
            </w:r>
          </w:p>
          <w:p w14:paraId="28393CC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 xml:space="preserve">　　贷：固定资产清理 </w:t>
            </w:r>
          </w:p>
          <w:p w14:paraId="418C8E4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 xml:space="preserve">　            营业外收入 </w:t>
            </w:r>
          </w:p>
        </w:tc>
        <w:tc>
          <w:tcPr>
            <w:tcW w:w="1666" w:type="pct"/>
            <w:noWrap w:val="0"/>
            <w:vAlign w:val="top"/>
          </w:tcPr>
          <w:p w14:paraId="378AACD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 xml:space="preserve">5.结转剩余递延收益 </w:t>
            </w:r>
          </w:p>
          <w:p w14:paraId="2A3E4C9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 xml:space="preserve">借：递延收益  剩余金额 </w:t>
            </w:r>
          </w:p>
          <w:p w14:paraId="5A78257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 xml:space="preserve">　　贷：固定资产清理　　 </w:t>
            </w:r>
          </w:p>
        </w:tc>
        <w:tc>
          <w:tcPr>
            <w:tcW w:w="1666" w:type="pct"/>
            <w:noWrap w:val="0"/>
            <w:vAlign w:val="top"/>
          </w:tcPr>
          <w:p w14:paraId="0B5F96D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 xml:space="preserve">5.处置设备 </w:t>
            </w:r>
          </w:p>
          <w:p w14:paraId="464B41B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 xml:space="preserve">借：固定资产清理 </w:t>
            </w:r>
          </w:p>
          <w:p w14:paraId="6C5718D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 xml:space="preserve">　　累计折旧　 </w:t>
            </w:r>
            <w:r>
              <w:rPr>
                <w:rFonts w:hint="eastAsia" w:ascii="宋体" w:hAnsi="宋体" w:eastAsia="宋体" w:cs="宋体"/>
                <w:b w:val="0"/>
                <w:bCs w:val="0"/>
                <w:i w:val="0"/>
                <w:sz w:val="21"/>
                <w:szCs w:val="21"/>
                <w:u w:val="none"/>
                <w:vertAlign w:val="baseline"/>
                <w:lang w:eastAsia="zh-CN"/>
              </w:rPr>
              <w:br w:type="textWrapping"/>
            </w:r>
            <w:r>
              <w:rPr>
                <w:rFonts w:hint="eastAsia" w:ascii="宋体" w:hAnsi="宋体" w:eastAsia="宋体" w:cs="宋体"/>
                <w:b w:val="0"/>
                <w:bCs w:val="0"/>
                <w:i w:val="0"/>
                <w:sz w:val="21"/>
                <w:szCs w:val="21"/>
                <w:u w:val="none"/>
                <w:vertAlign w:val="baseline"/>
                <w:lang w:eastAsia="zh-CN"/>
              </w:rPr>
              <w:t xml:space="preserve">　　贷：固定资产　 </w:t>
            </w:r>
          </w:p>
          <w:p w14:paraId="39A185A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 xml:space="preserve">借：资产处置损益（出售：可能在贷方） </w:t>
            </w:r>
          </w:p>
          <w:p w14:paraId="20FE2A5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 xml:space="preserve">　　营业外支出 </w:t>
            </w:r>
          </w:p>
          <w:p w14:paraId="13A7C1E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 xml:space="preserve">　　贷：固定资产清理 </w:t>
            </w:r>
          </w:p>
          <w:p w14:paraId="3DEAC6E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 xml:space="preserve">　            营业外收入　 </w:t>
            </w:r>
          </w:p>
        </w:tc>
      </w:tr>
    </w:tbl>
    <w:p w14:paraId="6B2783AD">
      <w:pPr>
        <w:keepNext w:val="0"/>
        <w:keepLines w:val="0"/>
        <w:pageBreakBefore w:val="0"/>
        <w:widowControl w:val="0"/>
        <w:kinsoku/>
        <w:wordWrap/>
        <w:overflowPunct w:val="0"/>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p>
    <w:p w14:paraId="77FE811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color w:val="FF0000"/>
          <w:sz w:val="21"/>
          <w:szCs w:val="21"/>
          <w:u w:val="none"/>
          <w:lang w:eastAsia="zh-CN"/>
        </w:rPr>
      </w:pPr>
      <w:r>
        <w:rPr>
          <w:rFonts w:hint="eastAsia" w:ascii="宋体" w:hAnsi="宋体" w:eastAsia="宋体" w:cs="宋体"/>
          <w:b w:val="0"/>
          <w:bCs w:val="0"/>
          <w:i w:val="0"/>
          <w:color w:val="FF0000"/>
          <w:sz w:val="21"/>
          <w:szCs w:val="21"/>
          <w:u w:val="none"/>
          <w:lang w:eastAsia="zh-CN"/>
        </w:rPr>
        <w:t>【考点】★★与收益相关的政府补助；</w:t>
      </w:r>
    </w:p>
    <w:tbl>
      <w:tblPr>
        <w:tblStyle w:val="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31"/>
        <w:gridCol w:w="2535"/>
        <w:gridCol w:w="2535"/>
        <w:gridCol w:w="2535"/>
      </w:tblGrid>
      <w:tr w14:paraId="6D6B0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gridSpan w:val="2"/>
            <w:noWrap w:val="0"/>
            <w:vAlign w:val="top"/>
          </w:tcPr>
          <w:p w14:paraId="7648860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活未干（</w:t>
            </w:r>
            <w:r>
              <w:rPr>
                <w:rFonts w:hint="eastAsia" w:ascii="宋体" w:hAnsi="宋体" w:eastAsia="宋体" w:cs="宋体"/>
                <w:b w:val="0"/>
                <w:bCs w:val="0"/>
                <w:i w:val="0"/>
                <w:color w:val="FF0000"/>
                <w:sz w:val="21"/>
                <w:szCs w:val="21"/>
                <w:u w:val="none"/>
                <w:vertAlign w:val="baseline"/>
                <w:lang w:eastAsia="zh-CN"/>
              </w:rPr>
              <w:t>补偿以后期间</w:t>
            </w:r>
            <w:r>
              <w:rPr>
                <w:rFonts w:hint="eastAsia" w:ascii="宋体" w:hAnsi="宋体" w:eastAsia="宋体" w:cs="宋体"/>
                <w:b w:val="0"/>
                <w:bCs w:val="0"/>
                <w:i w:val="0"/>
                <w:sz w:val="21"/>
                <w:szCs w:val="21"/>
                <w:u w:val="none"/>
                <w:vertAlign w:val="baseline"/>
                <w:lang w:eastAsia="zh-CN"/>
              </w:rPr>
              <w:t>）</w:t>
            </w:r>
          </w:p>
        </w:tc>
        <w:tc>
          <w:tcPr>
            <w:tcW w:w="2500" w:type="pct"/>
            <w:gridSpan w:val="2"/>
            <w:noWrap w:val="0"/>
            <w:vAlign w:val="top"/>
          </w:tcPr>
          <w:p w14:paraId="6E5B5DD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活已干（</w:t>
            </w:r>
            <w:r>
              <w:rPr>
                <w:rFonts w:hint="eastAsia" w:ascii="宋体" w:hAnsi="宋体" w:eastAsia="宋体" w:cs="宋体"/>
                <w:b w:val="0"/>
                <w:bCs w:val="0"/>
                <w:i w:val="0"/>
                <w:color w:val="FF0000"/>
                <w:sz w:val="21"/>
                <w:szCs w:val="21"/>
                <w:u w:val="none"/>
                <w:vertAlign w:val="baseline"/>
                <w:lang w:eastAsia="zh-CN"/>
              </w:rPr>
              <w:t>补偿企业已发生</w:t>
            </w:r>
            <w:r>
              <w:rPr>
                <w:rFonts w:hint="eastAsia" w:ascii="宋体" w:hAnsi="宋体" w:eastAsia="宋体" w:cs="宋体"/>
                <w:b w:val="0"/>
                <w:bCs w:val="0"/>
                <w:i w:val="0"/>
                <w:sz w:val="21"/>
                <w:szCs w:val="21"/>
                <w:u w:val="none"/>
                <w:vertAlign w:val="baseline"/>
                <w:lang w:eastAsia="zh-CN"/>
              </w:rPr>
              <w:t>）</w:t>
            </w:r>
          </w:p>
        </w:tc>
      </w:tr>
      <w:tr w14:paraId="21814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gridSpan w:val="2"/>
            <w:noWrap w:val="0"/>
            <w:vAlign w:val="top"/>
          </w:tcPr>
          <w:p w14:paraId="7146B1C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先计入递延收益，逐步冲减成本或计入当期损益</w:t>
            </w:r>
          </w:p>
        </w:tc>
        <w:tc>
          <w:tcPr>
            <w:tcW w:w="2500" w:type="pct"/>
            <w:gridSpan w:val="2"/>
            <w:noWrap w:val="0"/>
            <w:vAlign w:val="top"/>
          </w:tcPr>
          <w:p w14:paraId="4E97E77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直接冲减成本或计入收益</w:t>
            </w:r>
          </w:p>
        </w:tc>
      </w:tr>
      <w:tr w14:paraId="67BF2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noWrap w:val="0"/>
            <w:vAlign w:val="top"/>
          </w:tcPr>
          <w:p w14:paraId="5E6E132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总额法</w:t>
            </w:r>
          </w:p>
        </w:tc>
        <w:tc>
          <w:tcPr>
            <w:tcW w:w="1249" w:type="pct"/>
            <w:noWrap w:val="0"/>
            <w:vAlign w:val="top"/>
          </w:tcPr>
          <w:p w14:paraId="5228DBB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净额法</w:t>
            </w:r>
          </w:p>
        </w:tc>
        <w:tc>
          <w:tcPr>
            <w:tcW w:w="1250" w:type="pct"/>
            <w:noWrap w:val="0"/>
            <w:vAlign w:val="top"/>
          </w:tcPr>
          <w:p w14:paraId="590A6EC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总额法</w:t>
            </w:r>
          </w:p>
        </w:tc>
        <w:tc>
          <w:tcPr>
            <w:tcW w:w="1250" w:type="pct"/>
            <w:noWrap w:val="0"/>
            <w:vAlign w:val="top"/>
          </w:tcPr>
          <w:p w14:paraId="2B9CF9F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净额法</w:t>
            </w:r>
          </w:p>
        </w:tc>
      </w:tr>
      <w:tr w14:paraId="01CB0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noWrap w:val="0"/>
            <w:vAlign w:val="top"/>
          </w:tcPr>
          <w:p w14:paraId="345DD71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 xml:space="preserve">1.收到补助资金： </w:t>
            </w:r>
          </w:p>
          <w:p w14:paraId="6F63FA6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 xml:space="preserve">借：银行存款                                       </w:t>
            </w:r>
          </w:p>
          <w:p w14:paraId="5F0FF09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 xml:space="preserve">　　贷：递延收益                                 </w:t>
            </w:r>
          </w:p>
        </w:tc>
        <w:tc>
          <w:tcPr>
            <w:tcW w:w="1249" w:type="pct"/>
            <w:noWrap w:val="0"/>
            <w:vAlign w:val="top"/>
          </w:tcPr>
          <w:p w14:paraId="149A9C4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 xml:space="preserve">1.收到补助资金： </w:t>
            </w:r>
          </w:p>
          <w:p w14:paraId="6997908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 xml:space="preserve">借：银行存款                                       </w:t>
            </w:r>
          </w:p>
          <w:p w14:paraId="60F906C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 xml:space="preserve">　　贷：递延收益                                 </w:t>
            </w:r>
          </w:p>
        </w:tc>
        <w:tc>
          <w:tcPr>
            <w:tcW w:w="1250" w:type="pct"/>
            <w:vMerge w:val="restart"/>
            <w:noWrap w:val="0"/>
            <w:vAlign w:val="top"/>
          </w:tcPr>
          <w:p w14:paraId="7847286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借：银行存款或其他应收款</w:t>
            </w:r>
            <w:r>
              <w:rPr>
                <w:rFonts w:hint="eastAsia" w:ascii="宋体" w:hAnsi="宋体" w:eastAsia="宋体" w:cs="宋体"/>
                <w:b w:val="0"/>
                <w:bCs w:val="0"/>
                <w:i w:val="0"/>
                <w:sz w:val="21"/>
                <w:szCs w:val="21"/>
                <w:u w:val="none"/>
                <w:vertAlign w:val="baseline"/>
                <w:lang w:eastAsia="zh-CN"/>
              </w:rPr>
              <w:br w:type="textWrapping"/>
            </w:r>
            <w:r>
              <w:rPr>
                <w:rFonts w:hint="eastAsia" w:ascii="宋体" w:hAnsi="宋体" w:eastAsia="宋体" w:cs="宋体"/>
                <w:b w:val="0"/>
                <w:bCs w:val="0"/>
                <w:i w:val="0"/>
                <w:sz w:val="21"/>
                <w:szCs w:val="21"/>
                <w:u w:val="none"/>
                <w:vertAlign w:val="baseline"/>
                <w:lang w:eastAsia="zh-CN"/>
              </w:rPr>
              <w:t>　　贷：其他收益（日常活动）</w:t>
            </w:r>
          </w:p>
          <w:p w14:paraId="65071D2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 xml:space="preserve">　营业外收入（非日常活动）     </w:t>
            </w:r>
          </w:p>
        </w:tc>
        <w:tc>
          <w:tcPr>
            <w:tcW w:w="1250" w:type="pct"/>
            <w:vMerge w:val="restart"/>
            <w:noWrap w:val="0"/>
            <w:vAlign w:val="top"/>
          </w:tcPr>
          <w:p w14:paraId="4F4C933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借：银行存款或其他应收款</w:t>
            </w:r>
            <w:r>
              <w:rPr>
                <w:rFonts w:hint="eastAsia" w:ascii="宋体" w:hAnsi="宋体" w:eastAsia="宋体" w:cs="宋体"/>
                <w:b w:val="0"/>
                <w:bCs w:val="0"/>
                <w:i w:val="0"/>
                <w:sz w:val="21"/>
                <w:szCs w:val="21"/>
                <w:u w:val="none"/>
                <w:vertAlign w:val="baseline"/>
                <w:lang w:eastAsia="zh-CN"/>
              </w:rPr>
              <w:br w:type="textWrapping"/>
            </w:r>
            <w:r>
              <w:rPr>
                <w:rFonts w:hint="eastAsia" w:ascii="宋体" w:hAnsi="宋体" w:eastAsia="宋体" w:cs="宋体"/>
                <w:b w:val="0"/>
                <w:bCs w:val="0"/>
                <w:i w:val="0"/>
                <w:sz w:val="21"/>
                <w:szCs w:val="21"/>
                <w:u w:val="none"/>
                <w:vertAlign w:val="baseline"/>
                <w:lang w:eastAsia="zh-CN"/>
              </w:rPr>
              <w:t xml:space="preserve">　　贷：管理费用等（日常活动） </w:t>
            </w:r>
          </w:p>
          <w:p w14:paraId="3878F1B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 xml:space="preserve">　营业外支出（非日常活动） </w:t>
            </w:r>
          </w:p>
        </w:tc>
      </w:tr>
      <w:tr w14:paraId="22DE1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noWrap w:val="0"/>
            <w:vAlign w:val="top"/>
          </w:tcPr>
          <w:p w14:paraId="74A2B3A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 xml:space="preserve">2.补助资金发放高管奖金，相应结转递延收益： </w:t>
            </w:r>
          </w:p>
          <w:p w14:paraId="1E6E3C6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 xml:space="preserve">借：递延收益 </w:t>
            </w:r>
          </w:p>
          <w:p w14:paraId="0CFA891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 xml:space="preserve">　　贷：其他收益 </w:t>
            </w:r>
          </w:p>
        </w:tc>
        <w:tc>
          <w:tcPr>
            <w:tcW w:w="1249" w:type="pct"/>
            <w:noWrap w:val="0"/>
            <w:vAlign w:val="top"/>
          </w:tcPr>
          <w:p w14:paraId="1F9859B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 xml:space="preserve">2.补助资金发放高管奖金，相应结转递延收益： </w:t>
            </w:r>
          </w:p>
          <w:p w14:paraId="4659BF3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 xml:space="preserve">借：递延收益                                        </w:t>
            </w:r>
          </w:p>
          <w:p w14:paraId="1D0B67F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 xml:space="preserve">　　贷：管理费用 </w:t>
            </w:r>
          </w:p>
        </w:tc>
        <w:tc>
          <w:tcPr>
            <w:tcW w:w="1250" w:type="pct"/>
            <w:vMerge w:val="continue"/>
            <w:noWrap w:val="0"/>
            <w:vAlign w:val="top"/>
          </w:tcPr>
          <w:p w14:paraId="2D3B9A8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p>
        </w:tc>
        <w:tc>
          <w:tcPr>
            <w:tcW w:w="1250" w:type="pct"/>
            <w:vMerge w:val="continue"/>
            <w:noWrap w:val="0"/>
            <w:vAlign w:val="top"/>
          </w:tcPr>
          <w:p w14:paraId="3C59F69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p>
        </w:tc>
      </w:tr>
    </w:tbl>
    <w:p w14:paraId="4933C35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p>
    <w:p w14:paraId="63A183C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r>
        <w:rPr>
          <w:rFonts w:hint="eastAsia" w:ascii="宋体" w:hAnsi="宋体" w:eastAsia="宋体" w:cs="宋体"/>
          <w:b w:val="0"/>
          <w:bCs w:val="0"/>
          <w:i w:val="0"/>
          <w:color w:val="FF0000"/>
          <w:sz w:val="21"/>
          <w:szCs w:val="21"/>
          <w:u w:val="none"/>
          <w:lang w:eastAsia="zh-CN"/>
        </w:rPr>
        <w:t>【考点】综合性项目和政府补助退回</w:t>
      </w:r>
    </w:p>
    <w:tbl>
      <w:tblPr>
        <w:tblStyle w:val="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1"/>
        <w:gridCol w:w="5324"/>
        <w:gridCol w:w="3381"/>
      </w:tblGrid>
      <w:tr w14:paraId="084CB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pct"/>
            <w:vMerge w:val="restart"/>
            <w:noWrap w:val="0"/>
            <w:vAlign w:val="top"/>
          </w:tcPr>
          <w:p w14:paraId="7FBCECF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sz w:val="21"/>
                <w:szCs w:val="21"/>
                <w:u w:val="none"/>
                <w:vertAlign w:val="baseline"/>
                <w:lang w:eastAsia="zh-CN"/>
              </w:rPr>
            </w:pPr>
          </w:p>
          <w:p w14:paraId="7F8051D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综合性项目</w:t>
            </w:r>
          </w:p>
        </w:tc>
        <w:tc>
          <w:tcPr>
            <w:tcW w:w="4293" w:type="pct"/>
            <w:gridSpan w:val="2"/>
            <w:noWrap w:val="0"/>
            <w:vAlign w:val="top"/>
          </w:tcPr>
          <w:p w14:paraId="2049656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 xml:space="preserve">对于同时包含与资产相关部分和与收益相关部分的政府补助，企业应当将其区分不同部分分别进行会计处理； </w:t>
            </w:r>
          </w:p>
        </w:tc>
      </w:tr>
      <w:tr w14:paraId="184CB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pct"/>
            <w:vMerge w:val="continue"/>
            <w:noWrap w:val="0"/>
            <w:vAlign w:val="top"/>
          </w:tcPr>
          <w:p w14:paraId="0DDC0B5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sz w:val="21"/>
                <w:szCs w:val="21"/>
                <w:u w:val="none"/>
                <w:vertAlign w:val="baseline"/>
                <w:lang w:eastAsia="zh-CN"/>
              </w:rPr>
            </w:pPr>
          </w:p>
        </w:tc>
        <w:tc>
          <w:tcPr>
            <w:tcW w:w="4293" w:type="pct"/>
            <w:gridSpan w:val="2"/>
            <w:noWrap w:val="0"/>
            <w:vAlign w:val="top"/>
          </w:tcPr>
          <w:p w14:paraId="31ABEC2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 xml:space="preserve">难以区分的，企业应当将其整体归类为与收益相关的政府补助进行会计处理。 </w:t>
            </w:r>
          </w:p>
        </w:tc>
      </w:tr>
      <w:tr w14:paraId="31DCD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pct"/>
            <w:vMerge w:val="restart"/>
            <w:noWrap w:val="0"/>
            <w:vAlign w:val="top"/>
          </w:tcPr>
          <w:p w14:paraId="0B7989D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sz w:val="21"/>
                <w:szCs w:val="21"/>
                <w:u w:val="none"/>
                <w:vertAlign w:val="baseline"/>
                <w:lang w:eastAsia="zh-CN"/>
              </w:rPr>
            </w:pPr>
          </w:p>
          <w:p w14:paraId="3BB9971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补助退回的会计处理</w:t>
            </w:r>
          </w:p>
        </w:tc>
        <w:tc>
          <w:tcPr>
            <w:tcW w:w="2626" w:type="pct"/>
            <w:noWrap w:val="0"/>
            <w:vAlign w:val="top"/>
          </w:tcPr>
          <w:p w14:paraId="388D6C3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 xml:space="preserve">1.初始确认时冲减相关资产账面价值的，调整资产账面价值； </w:t>
            </w:r>
          </w:p>
        </w:tc>
        <w:tc>
          <w:tcPr>
            <w:tcW w:w="1667" w:type="pct"/>
            <w:vMerge w:val="restart"/>
            <w:noWrap w:val="0"/>
            <w:vAlign w:val="top"/>
          </w:tcPr>
          <w:p w14:paraId="4FE67A9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 xml:space="preserve">借：递延收益                            </w:t>
            </w:r>
          </w:p>
          <w:p w14:paraId="418BF95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 xml:space="preserve">　　营业外收入/其他收益 </w:t>
            </w:r>
          </w:p>
          <w:p w14:paraId="25A9637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 xml:space="preserve">　　贷：银行存款 </w:t>
            </w:r>
          </w:p>
          <w:p w14:paraId="3B03298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 xml:space="preserve">　其他应付款 </w:t>
            </w:r>
          </w:p>
        </w:tc>
      </w:tr>
      <w:tr w14:paraId="205DE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pct"/>
            <w:vMerge w:val="continue"/>
            <w:noWrap w:val="0"/>
            <w:vAlign w:val="top"/>
          </w:tcPr>
          <w:p w14:paraId="33F2417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p>
        </w:tc>
        <w:tc>
          <w:tcPr>
            <w:tcW w:w="2626" w:type="pct"/>
            <w:noWrap w:val="0"/>
            <w:vAlign w:val="top"/>
          </w:tcPr>
          <w:p w14:paraId="77FBB8A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 xml:space="preserve">2.存在相关递延收益的，冲减相关递延收益账面余额，超出部分计入当期损益； </w:t>
            </w:r>
          </w:p>
        </w:tc>
        <w:tc>
          <w:tcPr>
            <w:tcW w:w="1667" w:type="pct"/>
            <w:vMerge w:val="continue"/>
            <w:noWrap w:val="0"/>
            <w:vAlign w:val="top"/>
          </w:tcPr>
          <w:p w14:paraId="0E9DDD7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p>
        </w:tc>
      </w:tr>
      <w:tr w14:paraId="7D590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pct"/>
            <w:vMerge w:val="continue"/>
            <w:noWrap w:val="0"/>
            <w:vAlign w:val="top"/>
          </w:tcPr>
          <w:p w14:paraId="7120360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p>
        </w:tc>
        <w:tc>
          <w:tcPr>
            <w:tcW w:w="2626" w:type="pct"/>
            <w:noWrap w:val="0"/>
            <w:vAlign w:val="top"/>
          </w:tcPr>
          <w:p w14:paraId="5BB6B74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r>
              <w:rPr>
                <w:rFonts w:hint="eastAsia" w:ascii="宋体" w:hAnsi="宋体" w:eastAsia="宋体" w:cs="宋体"/>
                <w:b w:val="0"/>
                <w:bCs w:val="0"/>
                <w:i w:val="0"/>
                <w:sz w:val="21"/>
                <w:szCs w:val="21"/>
                <w:u w:val="none"/>
                <w:vertAlign w:val="baseline"/>
                <w:lang w:eastAsia="zh-CN"/>
              </w:rPr>
              <w:t xml:space="preserve">3.属于其他情况的，直接计入当期损益。 </w:t>
            </w:r>
          </w:p>
        </w:tc>
        <w:tc>
          <w:tcPr>
            <w:tcW w:w="1667" w:type="pct"/>
            <w:vMerge w:val="continue"/>
            <w:noWrap w:val="0"/>
            <w:vAlign w:val="top"/>
          </w:tcPr>
          <w:p w14:paraId="048AEBC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vertAlign w:val="baseline"/>
                <w:lang w:eastAsia="zh-CN"/>
              </w:rPr>
            </w:pPr>
          </w:p>
        </w:tc>
      </w:tr>
    </w:tbl>
    <w:p w14:paraId="76F76AA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p>
    <w:p w14:paraId="4AF196F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p>
    <w:p w14:paraId="1ABBDE8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第十五章  非货币性资产交换</w:t>
      </w:r>
    </w:p>
    <w:p w14:paraId="5E388B2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p>
    <w:p w14:paraId="7012D50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预计今年考核主观题和客观题，分值为2-6分。</w:t>
      </w:r>
    </w:p>
    <w:p w14:paraId="5F1C3BA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【考点】★非货币性资产交换的认定</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7"/>
        <w:gridCol w:w="8061"/>
      </w:tblGrid>
      <w:tr w14:paraId="0F24A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24" w:type="pct"/>
            <w:noWrap w:val="0"/>
            <w:vAlign w:val="top"/>
          </w:tcPr>
          <w:p w14:paraId="2DB81F8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货币性资产</w:t>
            </w:r>
          </w:p>
        </w:tc>
        <w:tc>
          <w:tcPr>
            <w:tcW w:w="3975" w:type="pct"/>
            <w:noWrap w:val="0"/>
            <w:vAlign w:val="top"/>
          </w:tcPr>
          <w:p w14:paraId="45786F3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钱（货币资金）＋应收账款、应收票据＋持有至到期的债券投资</w:t>
            </w:r>
          </w:p>
        </w:tc>
      </w:tr>
      <w:tr w14:paraId="7F8EC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4" w:type="pct"/>
            <w:vMerge w:val="restart"/>
            <w:noWrap w:val="0"/>
            <w:vAlign w:val="top"/>
          </w:tcPr>
          <w:p w14:paraId="2637F02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非货币性资产交换</w:t>
            </w:r>
          </w:p>
        </w:tc>
        <w:tc>
          <w:tcPr>
            <w:tcW w:w="3975" w:type="pct"/>
            <w:noWrap w:val="0"/>
            <w:vAlign w:val="top"/>
          </w:tcPr>
          <w:p w14:paraId="1F312AB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 xml:space="preserve">补价（不含税）÷整个资产交换金额（不含税的最大的公允价值）&lt;25% </w:t>
            </w:r>
          </w:p>
        </w:tc>
      </w:tr>
      <w:tr w14:paraId="7C9FC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4" w:type="pct"/>
            <w:vMerge w:val="continue"/>
            <w:noWrap w:val="0"/>
            <w:vAlign w:val="top"/>
          </w:tcPr>
          <w:p w14:paraId="1DB6EFD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i w:val="0"/>
                <w:sz w:val="21"/>
                <w:szCs w:val="21"/>
                <w:u w:val="none"/>
                <w:lang w:eastAsia="zh-CN"/>
              </w:rPr>
            </w:pPr>
          </w:p>
        </w:tc>
        <w:tc>
          <w:tcPr>
            <w:tcW w:w="3975" w:type="pct"/>
            <w:noWrap w:val="0"/>
            <w:vAlign w:val="top"/>
          </w:tcPr>
          <w:p w14:paraId="4B14F25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 xml:space="preserve">货币性资产交换：补价÷整个资产交换金额≥25% </w:t>
            </w:r>
          </w:p>
        </w:tc>
      </w:tr>
    </w:tbl>
    <w:p w14:paraId="4AE5CF6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解题思路：</w:t>
      </w:r>
    </w:p>
    <w:p w14:paraId="2592F17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首先判断资产是不是非货币性资产</w:t>
      </w:r>
    </w:p>
    <w:p w14:paraId="13D0383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其次，比例是否小于1/4，分子乘以4小于分母</w:t>
      </w:r>
    </w:p>
    <w:p w14:paraId="432CB19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i w:val="0"/>
          <w:sz w:val="21"/>
          <w:szCs w:val="21"/>
          <w:u w:val="none"/>
          <w:lang w:eastAsia="zh-CN"/>
        </w:rPr>
      </w:pPr>
    </w:p>
    <w:p w14:paraId="3C0B926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【考点】★★非货币性资产交换的确认和计量</w:t>
      </w:r>
    </w:p>
    <w:p w14:paraId="6A93F6B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在非货币性资产交换的情况下，满足商业实质和换入或换出资产能够可靠计量，企业应当以公允价值为基础计量，否则企业应当以账面价值为基础计量。</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09"/>
        <w:gridCol w:w="6129"/>
      </w:tblGrid>
      <w:tr w14:paraId="47E10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noWrap w:val="0"/>
            <w:vAlign w:val="top"/>
          </w:tcPr>
          <w:p w14:paraId="55C59B9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1.以换出资产的公允价值和应支付的相关税费作为换入资产的成本，公允价值和换出资产账面价值的差额计入当期损益。</w:t>
            </w:r>
          </w:p>
        </w:tc>
      </w:tr>
      <w:tr w14:paraId="0B828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7" w:type="pct"/>
            <w:vMerge w:val="restart"/>
            <w:noWrap w:val="0"/>
            <w:vAlign w:val="top"/>
          </w:tcPr>
          <w:p w14:paraId="5A80548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2.有下列情形之一时，应当以换出资产的账面价值和应支付的相关税费作为换入资产的成本，不确认换出资产的当期损益</w:t>
            </w:r>
          </w:p>
        </w:tc>
        <w:tc>
          <w:tcPr>
            <w:tcW w:w="3022" w:type="pct"/>
            <w:noWrap w:val="0"/>
            <w:vAlign w:val="top"/>
          </w:tcPr>
          <w:p w14:paraId="6C903AE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该交换不具有商业实质；</w:t>
            </w:r>
          </w:p>
        </w:tc>
      </w:tr>
      <w:tr w14:paraId="4F74E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7" w:type="pct"/>
            <w:vMerge w:val="continue"/>
            <w:noWrap w:val="0"/>
            <w:vAlign w:val="top"/>
          </w:tcPr>
          <w:p w14:paraId="3BF3568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i w:val="0"/>
                <w:sz w:val="21"/>
                <w:szCs w:val="21"/>
                <w:u w:val="none"/>
                <w:lang w:eastAsia="zh-CN"/>
              </w:rPr>
            </w:pPr>
          </w:p>
        </w:tc>
        <w:tc>
          <w:tcPr>
            <w:tcW w:w="3022" w:type="pct"/>
            <w:noWrap w:val="0"/>
            <w:vAlign w:val="top"/>
          </w:tcPr>
          <w:p w14:paraId="0445300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换入资产和换出资产的公允价值都无法可靠地计量</w:t>
            </w:r>
          </w:p>
        </w:tc>
      </w:tr>
      <w:tr w14:paraId="3D893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7" w:type="pct"/>
            <w:vMerge w:val="restart"/>
            <w:noWrap w:val="0"/>
            <w:vAlign w:val="top"/>
          </w:tcPr>
          <w:p w14:paraId="251DC02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p>
          <w:p w14:paraId="4547747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3.具有商业实质必须满足下列条件之一</w:t>
            </w:r>
          </w:p>
        </w:tc>
        <w:tc>
          <w:tcPr>
            <w:tcW w:w="3022" w:type="pct"/>
            <w:noWrap w:val="0"/>
            <w:vAlign w:val="top"/>
          </w:tcPr>
          <w:p w14:paraId="42EFB2B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换入资产的未来现金流量在风险、时间和金额方面与换出资产显著不同</w:t>
            </w:r>
          </w:p>
        </w:tc>
      </w:tr>
      <w:tr w14:paraId="2332E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7" w:type="pct"/>
            <w:vMerge w:val="continue"/>
            <w:noWrap w:val="0"/>
            <w:vAlign w:val="top"/>
          </w:tcPr>
          <w:p w14:paraId="27B16D6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i w:val="0"/>
                <w:sz w:val="21"/>
                <w:szCs w:val="21"/>
                <w:u w:val="none"/>
                <w:lang w:eastAsia="zh-CN"/>
              </w:rPr>
            </w:pPr>
          </w:p>
        </w:tc>
        <w:tc>
          <w:tcPr>
            <w:tcW w:w="3022" w:type="pct"/>
            <w:noWrap w:val="0"/>
            <w:vAlign w:val="top"/>
          </w:tcPr>
          <w:p w14:paraId="43AE7B7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换入资产与换出资产的预计未来现金流量现值不同，且其差额与换入资产和换出资产的公允价值相比是重大的</w:t>
            </w:r>
          </w:p>
        </w:tc>
      </w:tr>
    </w:tbl>
    <w:p w14:paraId="189DEB4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4.会计处理</w:t>
      </w:r>
    </w:p>
    <w:tbl>
      <w:tblPr>
        <w:tblStyle w:val="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8"/>
        <w:gridCol w:w="2299"/>
        <w:gridCol w:w="460"/>
        <w:gridCol w:w="12"/>
        <w:gridCol w:w="2210"/>
        <w:gridCol w:w="1725"/>
        <w:gridCol w:w="301"/>
        <w:gridCol w:w="2241"/>
      </w:tblGrid>
      <w:tr w14:paraId="24C3B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 w:type="pct"/>
            <w:vMerge w:val="restart"/>
            <w:noWrap w:val="0"/>
            <w:vAlign w:val="top"/>
          </w:tcPr>
          <w:p w14:paraId="5E7EE65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p>
          <w:p w14:paraId="4C7895B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p>
          <w:p w14:paraId="4EA4C66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p>
          <w:p w14:paraId="259FF18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p>
          <w:p w14:paraId="61282FB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p>
          <w:p w14:paraId="00899AA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p>
          <w:p w14:paraId="603E7E2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p>
          <w:p w14:paraId="3AF3BEE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p>
          <w:p w14:paraId="417A51D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p>
          <w:p w14:paraId="6EA7BD1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p>
          <w:p w14:paraId="4800BE3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p>
          <w:p w14:paraId="77380EF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以公允价值为基础</w:t>
            </w:r>
          </w:p>
        </w:tc>
        <w:tc>
          <w:tcPr>
            <w:tcW w:w="1361" w:type="pct"/>
            <w:gridSpan w:val="2"/>
            <w:vMerge w:val="restart"/>
            <w:noWrap w:val="0"/>
            <w:vAlign w:val="top"/>
          </w:tcPr>
          <w:p w14:paraId="6F85F44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1.换入资产入账价值的确定</w:t>
            </w:r>
          </w:p>
        </w:tc>
        <w:tc>
          <w:tcPr>
            <w:tcW w:w="3199" w:type="pct"/>
            <w:gridSpan w:val="5"/>
            <w:noWrap w:val="0"/>
            <w:vAlign w:val="top"/>
          </w:tcPr>
          <w:p w14:paraId="340145A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换入资产的入账成本＝换出资产公允价值＋支付的银行存款（或－收到的银行存款）＋换出资产匹配的销项税－换入资产对应的进项税；</w:t>
            </w:r>
          </w:p>
        </w:tc>
      </w:tr>
      <w:tr w14:paraId="16B35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 w:type="pct"/>
            <w:vMerge w:val="continue"/>
            <w:noWrap w:val="0"/>
            <w:vAlign w:val="top"/>
          </w:tcPr>
          <w:p w14:paraId="2451671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i w:val="0"/>
                <w:sz w:val="21"/>
                <w:szCs w:val="21"/>
                <w:u w:val="none"/>
                <w:lang w:eastAsia="zh-CN"/>
              </w:rPr>
            </w:pPr>
          </w:p>
        </w:tc>
        <w:tc>
          <w:tcPr>
            <w:tcW w:w="1361" w:type="pct"/>
            <w:gridSpan w:val="2"/>
            <w:vMerge w:val="continue"/>
            <w:noWrap w:val="0"/>
            <w:vAlign w:val="top"/>
          </w:tcPr>
          <w:p w14:paraId="03D64D4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i w:val="0"/>
                <w:sz w:val="21"/>
                <w:szCs w:val="21"/>
                <w:u w:val="none"/>
                <w:lang w:eastAsia="zh-CN"/>
              </w:rPr>
            </w:pPr>
          </w:p>
        </w:tc>
        <w:tc>
          <w:tcPr>
            <w:tcW w:w="3199" w:type="pct"/>
            <w:gridSpan w:val="5"/>
            <w:noWrap w:val="0"/>
            <w:vAlign w:val="top"/>
          </w:tcPr>
          <w:p w14:paraId="6DF449F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 xml:space="preserve">交易损益＝换出资产的公允价值－换出资产的账面价值 </w:t>
            </w:r>
          </w:p>
        </w:tc>
      </w:tr>
      <w:tr w14:paraId="6EAB0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 w:type="pct"/>
            <w:vMerge w:val="continue"/>
            <w:noWrap w:val="0"/>
            <w:vAlign w:val="top"/>
          </w:tcPr>
          <w:p w14:paraId="505A085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i w:val="0"/>
                <w:sz w:val="21"/>
                <w:szCs w:val="21"/>
                <w:u w:val="none"/>
                <w:lang w:eastAsia="zh-CN"/>
              </w:rPr>
            </w:pPr>
          </w:p>
        </w:tc>
        <w:tc>
          <w:tcPr>
            <w:tcW w:w="1134" w:type="pct"/>
            <w:noWrap w:val="0"/>
            <w:vAlign w:val="top"/>
          </w:tcPr>
          <w:p w14:paraId="5DCACB9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2.换出资产：固定资产（先卖该资产后买换入资产）</w:t>
            </w:r>
          </w:p>
        </w:tc>
        <w:tc>
          <w:tcPr>
            <w:tcW w:w="227" w:type="pct"/>
            <w:noWrap w:val="0"/>
            <w:vAlign w:val="top"/>
          </w:tcPr>
          <w:p w14:paraId="4CEFAB7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p>
          <w:p w14:paraId="6B4D4E8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p>
          <w:p w14:paraId="0AE1823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固</w:t>
            </w:r>
          </w:p>
          <w:p w14:paraId="2FEA4A6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定</w:t>
            </w:r>
          </w:p>
          <w:p w14:paraId="5EF80F6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资</w:t>
            </w:r>
          </w:p>
          <w:p w14:paraId="30712D3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 xml:space="preserve">产 </w:t>
            </w:r>
          </w:p>
        </w:tc>
        <w:tc>
          <w:tcPr>
            <w:tcW w:w="1095" w:type="pct"/>
            <w:gridSpan w:val="2"/>
            <w:noWrap w:val="0"/>
            <w:vAlign w:val="top"/>
          </w:tcPr>
          <w:p w14:paraId="08DC267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借：固定资产清理</w:t>
            </w:r>
          </w:p>
          <w:p w14:paraId="395C6CE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　　累计折旧</w:t>
            </w:r>
          </w:p>
          <w:p w14:paraId="24B9542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　　固定资产减值准备</w:t>
            </w:r>
          </w:p>
          <w:p w14:paraId="63CFBF3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　　贷：固定资产</w:t>
            </w:r>
          </w:p>
        </w:tc>
        <w:tc>
          <w:tcPr>
            <w:tcW w:w="999" w:type="pct"/>
            <w:gridSpan w:val="2"/>
            <w:noWrap w:val="0"/>
            <w:vAlign w:val="top"/>
          </w:tcPr>
          <w:p w14:paraId="2C496E2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借：固定资产清理</w:t>
            </w:r>
          </w:p>
          <w:p w14:paraId="6FA2169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　　贷：资产处置损益或反之</w:t>
            </w:r>
          </w:p>
        </w:tc>
        <w:tc>
          <w:tcPr>
            <w:tcW w:w="1105" w:type="pct"/>
            <w:noWrap w:val="0"/>
            <w:vAlign w:val="top"/>
          </w:tcPr>
          <w:p w14:paraId="196C7ED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借：xx资产</w:t>
            </w:r>
          </w:p>
          <w:p w14:paraId="322F557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　　应交税费——应交增值税（进项税额）</w:t>
            </w:r>
          </w:p>
          <w:p w14:paraId="47573D9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 xml:space="preserve">　　银行存款（或贷方） </w:t>
            </w:r>
          </w:p>
          <w:p w14:paraId="3883F30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　　贷：固定资产清理</w:t>
            </w:r>
          </w:p>
          <w:p w14:paraId="6718A6B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　应交税费——应交增值税（销项税额）</w:t>
            </w:r>
          </w:p>
        </w:tc>
      </w:tr>
      <w:tr w14:paraId="0F31E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 w:type="pct"/>
            <w:vMerge w:val="continue"/>
            <w:noWrap w:val="0"/>
            <w:vAlign w:val="top"/>
          </w:tcPr>
          <w:p w14:paraId="3B0F25D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i w:val="0"/>
                <w:sz w:val="21"/>
                <w:szCs w:val="21"/>
                <w:u w:val="none"/>
                <w:lang w:eastAsia="zh-CN"/>
              </w:rPr>
            </w:pPr>
          </w:p>
        </w:tc>
        <w:tc>
          <w:tcPr>
            <w:tcW w:w="1134" w:type="pct"/>
            <w:noWrap w:val="0"/>
            <w:vAlign w:val="top"/>
          </w:tcPr>
          <w:p w14:paraId="26A41C6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3.换出资产存货换</w:t>
            </w:r>
            <w:r>
              <w:rPr>
                <w:rFonts w:hint="eastAsia" w:ascii="宋体" w:hAnsi="宋体" w:eastAsia="宋体" w:cs="宋体"/>
                <w:b w:val="0"/>
                <w:bCs w:val="0"/>
                <w:i w:val="0"/>
                <w:color w:val="FF0000"/>
                <w:sz w:val="21"/>
                <w:szCs w:val="21"/>
                <w:u w:val="none"/>
                <w:lang w:eastAsia="zh-CN"/>
              </w:rPr>
              <w:t>xx</w:t>
            </w:r>
            <w:r>
              <w:rPr>
                <w:rFonts w:hint="eastAsia" w:ascii="宋体" w:hAnsi="宋体" w:eastAsia="宋体" w:cs="宋体"/>
                <w:b w:val="0"/>
                <w:bCs w:val="0"/>
                <w:i w:val="0"/>
                <w:sz w:val="21"/>
                <w:szCs w:val="21"/>
                <w:u w:val="none"/>
                <w:lang w:eastAsia="zh-CN"/>
              </w:rPr>
              <w:t>资产</w:t>
            </w:r>
          </w:p>
        </w:tc>
        <w:tc>
          <w:tcPr>
            <w:tcW w:w="227" w:type="pct"/>
            <w:noWrap w:val="0"/>
            <w:vAlign w:val="top"/>
          </w:tcPr>
          <w:p w14:paraId="67584B1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p>
          <w:p w14:paraId="6A06B8E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存货</w:t>
            </w:r>
          </w:p>
        </w:tc>
        <w:tc>
          <w:tcPr>
            <w:tcW w:w="1095" w:type="pct"/>
            <w:gridSpan w:val="2"/>
            <w:noWrap w:val="0"/>
            <w:vAlign w:val="top"/>
          </w:tcPr>
          <w:p w14:paraId="76ACB99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按照《14号收入》处理</w:t>
            </w:r>
          </w:p>
        </w:tc>
        <w:tc>
          <w:tcPr>
            <w:tcW w:w="999" w:type="pct"/>
            <w:gridSpan w:val="2"/>
            <w:noWrap w:val="0"/>
            <w:vAlign w:val="top"/>
          </w:tcPr>
          <w:p w14:paraId="36295BF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color w:val="FF0000"/>
                <w:sz w:val="21"/>
                <w:szCs w:val="21"/>
                <w:u w:val="none"/>
                <w:lang w:eastAsia="zh-CN"/>
              </w:rPr>
            </w:pPr>
            <w:r>
              <w:rPr>
                <w:rFonts w:hint="eastAsia" w:ascii="宋体" w:hAnsi="宋体" w:eastAsia="宋体" w:cs="宋体"/>
                <w:b w:val="0"/>
                <w:bCs w:val="0"/>
                <w:i w:val="0"/>
                <w:color w:val="FF0000"/>
                <w:sz w:val="21"/>
                <w:szCs w:val="21"/>
                <w:u w:val="none"/>
                <w:lang w:eastAsia="zh-CN"/>
              </w:rPr>
              <w:t>借：xx资产</w:t>
            </w:r>
          </w:p>
          <w:p w14:paraId="0AE6F90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color w:val="FF0000"/>
                <w:sz w:val="21"/>
                <w:szCs w:val="21"/>
                <w:u w:val="none"/>
                <w:lang w:eastAsia="zh-CN"/>
              </w:rPr>
            </w:pPr>
            <w:r>
              <w:rPr>
                <w:rFonts w:hint="eastAsia" w:ascii="宋体" w:hAnsi="宋体" w:eastAsia="宋体" w:cs="宋体"/>
                <w:b w:val="0"/>
                <w:bCs w:val="0"/>
                <w:i w:val="0"/>
                <w:color w:val="FF0000"/>
                <w:sz w:val="21"/>
                <w:szCs w:val="21"/>
                <w:u w:val="none"/>
                <w:lang w:eastAsia="zh-CN"/>
              </w:rPr>
              <w:t xml:space="preserve">　　贷：主营业务收入 </w:t>
            </w:r>
          </w:p>
          <w:p w14:paraId="6F7FC15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i w:val="0"/>
                <w:color w:val="FF0000"/>
                <w:sz w:val="21"/>
                <w:szCs w:val="21"/>
                <w:u w:val="none"/>
                <w:lang w:eastAsia="zh-CN"/>
              </w:rPr>
            </w:pPr>
            <w:r>
              <w:rPr>
                <w:rFonts w:hint="eastAsia" w:ascii="宋体" w:hAnsi="宋体" w:eastAsia="宋体" w:cs="宋体"/>
                <w:b w:val="0"/>
                <w:bCs w:val="0"/>
                <w:i w:val="0"/>
                <w:color w:val="FF0000"/>
                <w:sz w:val="21"/>
                <w:szCs w:val="21"/>
                <w:u w:val="none"/>
                <w:lang w:eastAsia="zh-CN"/>
              </w:rPr>
              <w:t>　应交税费—应交增值税（销项税额）</w:t>
            </w:r>
          </w:p>
        </w:tc>
        <w:tc>
          <w:tcPr>
            <w:tcW w:w="1105" w:type="pct"/>
            <w:noWrap w:val="0"/>
            <w:vAlign w:val="top"/>
          </w:tcPr>
          <w:p w14:paraId="00FA8FF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color w:val="FF0000"/>
                <w:sz w:val="21"/>
                <w:szCs w:val="21"/>
                <w:u w:val="none"/>
                <w:lang w:eastAsia="zh-CN"/>
              </w:rPr>
            </w:pPr>
            <w:r>
              <w:rPr>
                <w:rFonts w:hint="eastAsia" w:ascii="宋体" w:hAnsi="宋体" w:eastAsia="宋体" w:cs="宋体"/>
                <w:b w:val="0"/>
                <w:bCs w:val="0"/>
                <w:i w:val="0"/>
                <w:color w:val="FF0000"/>
                <w:sz w:val="21"/>
                <w:szCs w:val="21"/>
                <w:u w:val="none"/>
                <w:lang w:eastAsia="zh-CN"/>
              </w:rPr>
              <w:t>借：主营业务成本</w:t>
            </w:r>
          </w:p>
          <w:p w14:paraId="21585F1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i w:val="0"/>
                <w:color w:val="FF0000"/>
                <w:sz w:val="21"/>
                <w:szCs w:val="21"/>
                <w:u w:val="none"/>
                <w:lang w:eastAsia="zh-CN"/>
              </w:rPr>
            </w:pPr>
            <w:r>
              <w:rPr>
                <w:rFonts w:hint="eastAsia" w:ascii="宋体" w:hAnsi="宋体" w:eastAsia="宋体" w:cs="宋体"/>
                <w:b w:val="0"/>
                <w:bCs w:val="0"/>
                <w:i w:val="0"/>
                <w:color w:val="FF0000"/>
                <w:sz w:val="21"/>
                <w:szCs w:val="21"/>
                <w:u w:val="none"/>
                <w:lang w:eastAsia="zh-CN"/>
              </w:rPr>
              <w:t>　　贷：库存商品</w:t>
            </w:r>
          </w:p>
        </w:tc>
      </w:tr>
      <w:tr w14:paraId="33468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 w:type="pct"/>
            <w:vMerge w:val="continue"/>
            <w:noWrap w:val="0"/>
            <w:vAlign w:val="top"/>
          </w:tcPr>
          <w:p w14:paraId="77D2FAC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i w:val="0"/>
                <w:sz w:val="21"/>
                <w:szCs w:val="21"/>
                <w:u w:val="none"/>
                <w:lang w:eastAsia="zh-CN"/>
              </w:rPr>
            </w:pPr>
          </w:p>
        </w:tc>
        <w:tc>
          <w:tcPr>
            <w:tcW w:w="1134" w:type="pct"/>
            <w:noWrap w:val="0"/>
            <w:vAlign w:val="top"/>
          </w:tcPr>
          <w:p w14:paraId="7BBC5EF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4.换出资产：无形资产</w:t>
            </w:r>
          </w:p>
        </w:tc>
        <w:tc>
          <w:tcPr>
            <w:tcW w:w="1323" w:type="pct"/>
            <w:gridSpan w:val="3"/>
            <w:noWrap w:val="0"/>
            <w:vAlign w:val="top"/>
          </w:tcPr>
          <w:p w14:paraId="269C283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无形资产</w:t>
            </w:r>
          </w:p>
        </w:tc>
        <w:tc>
          <w:tcPr>
            <w:tcW w:w="2104" w:type="pct"/>
            <w:gridSpan w:val="3"/>
            <w:noWrap w:val="0"/>
            <w:vAlign w:val="top"/>
          </w:tcPr>
          <w:p w14:paraId="492817B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借：xx资产</w:t>
            </w:r>
          </w:p>
          <w:p w14:paraId="7140A13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 xml:space="preserve">　　应交税费——应交增值税（进项税额） </w:t>
            </w:r>
          </w:p>
          <w:p w14:paraId="1409FCC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　　累计摊销</w:t>
            </w:r>
          </w:p>
          <w:p w14:paraId="1BB71E1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　　无形资产减值准备</w:t>
            </w:r>
          </w:p>
          <w:p w14:paraId="599ED6D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　　贷：无形资产</w:t>
            </w:r>
          </w:p>
          <w:p w14:paraId="18467C6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　          应交税费——应交增值税（销项税额）</w:t>
            </w:r>
          </w:p>
          <w:p w14:paraId="4929FC5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　          资产处置损益（或反之）</w:t>
            </w:r>
          </w:p>
        </w:tc>
      </w:tr>
      <w:tr w14:paraId="57959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 w:type="pct"/>
            <w:vMerge w:val="continue"/>
            <w:noWrap w:val="0"/>
            <w:vAlign w:val="top"/>
          </w:tcPr>
          <w:p w14:paraId="49CA3FC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i w:val="0"/>
                <w:sz w:val="21"/>
                <w:szCs w:val="21"/>
                <w:u w:val="none"/>
                <w:lang w:eastAsia="zh-CN"/>
              </w:rPr>
            </w:pPr>
          </w:p>
        </w:tc>
        <w:tc>
          <w:tcPr>
            <w:tcW w:w="1367" w:type="pct"/>
            <w:gridSpan w:val="3"/>
            <w:vMerge w:val="restart"/>
            <w:noWrap w:val="0"/>
            <w:vAlign w:val="top"/>
          </w:tcPr>
          <w:p w14:paraId="7845CE5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5.长期股权投资、其他债权投资</w:t>
            </w:r>
          </w:p>
          <w:p w14:paraId="13ECEE8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（其他权益工具投资转到留存收益）</w:t>
            </w:r>
          </w:p>
        </w:tc>
        <w:tc>
          <w:tcPr>
            <w:tcW w:w="1941" w:type="pct"/>
            <w:gridSpan w:val="2"/>
            <w:vMerge w:val="restart"/>
            <w:noWrap w:val="0"/>
            <w:vAlign w:val="top"/>
          </w:tcPr>
          <w:p w14:paraId="38FC076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借：xx资产</w:t>
            </w:r>
          </w:p>
          <w:p w14:paraId="6793CA2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 xml:space="preserve">　　应交税费——应交增值税（进项税额） </w:t>
            </w:r>
          </w:p>
          <w:p w14:paraId="269D76C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　　贷：长期股权投资</w:t>
            </w:r>
          </w:p>
          <w:p w14:paraId="404D74A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 xml:space="preserve">　（其他债权投资） </w:t>
            </w:r>
          </w:p>
          <w:p w14:paraId="096ACAE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　投资收益</w:t>
            </w:r>
          </w:p>
        </w:tc>
        <w:tc>
          <w:tcPr>
            <w:tcW w:w="1252" w:type="pct"/>
            <w:gridSpan w:val="2"/>
            <w:noWrap w:val="0"/>
            <w:vAlign w:val="top"/>
          </w:tcPr>
          <w:p w14:paraId="790AFDB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借：其他综合收益</w:t>
            </w:r>
          </w:p>
          <w:p w14:paraId="0D5AAEB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　　贷：投资收益</w:t>
            </w:r>
          </w:p>
        </w:tc>
      </w:tr>
      <w:tr w14:paraId="027F5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 w:type="pct"/>
            <w:vMerge w:val="continue"/>
            <w:noWrap w:val="0"/>
            <w:vAlign w:val="top"/>
          </w:tcPr>
          <w:p w14:paraId="298B888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i w:val="0"/>
                <w:sz w:val="21"/>
                <w:szCs w:val="21"/>
                <w:u w:val="none"/>
                <w:lang w:eastAsia="zh-CN"/>
              </w:rPr>
            </w:pPr>
          </w:p>
        </w:tc>
        <w:tc>
          <w:tcPr>
            <w:tcW w:w="1367" w:type="pct"/>
            <w:gridSpan w:val="3"/>
            <w:vMerge w:val="continue"/>
            <w:noWrap w:val="0"/>
            <w:vAlign w:val="top"/>
          </w:tcPr>
          <w:p w14:paraId="35DAC0B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i w:val="0"/>
                <w:sz w:val="21"/>
                <w:szCs w:val="21"/>
                <w:u w:val="none"/>
                <w:lang w:eastAsia="zh-CN"/>
              </w:rPr>
            </w:pPr>
          </w:p>
        </w:tc>
        <w:tc>
          <w:tcPr>
            <w:tcW w:w="1941" w:type="pct"/>
            <w:gridSpan w:val="2"/>
            <w:vMerge w:val="continue"/>
            <w:noWrap w:val="0"/>
            <w:vAlign w:val="top"/>
          </w:tcPr>
          <w:p w14:paraId="0DF2884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i w:val="0"/>
                <w:sz w:val="21"/>
                <w:szCs w:val="21"/>
                <w:u w:val="none"/>
                <w:lang w:eastAsia="zh-CN"/>
              </w:rPr>
            </w:pPr>
          </w:p>
        </w:tc>
        <w:tc>
          <w:tcPr>
            <w:tcW w:w="1252" w:type="pct"/>
            <w:gridSpan w:val="2"/>
            <w:noWrap w:val="0"/>
            <w:vAlign w:val="top"/>
          </w:tcPr>
          <w:p w14:paraId="185B786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借：资本公积——其他资本公积</w:t>
            </w:r>
          </w:p>
          <w:p w14:paraId="7A9C7F0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　　贷：投资收益</w:t>
            </w:r>
          </w:p>
        </w:tc>
      </w:tr>
      <w:tr w14:paraId="0F78F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 w:type="pct"/>
            <w:vMerge w:val="continue"/>
            <w:noWrap w:val="0"/>
            <w:vAlign w:val="top"/>
          </w:tcPr>
          <w:p w14:paraId="0042C7B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i w:val="0"/>
                <w:sz w:val="21"/>
                <w:szCs w:val="21"/>
                <w:u w:val="none"/>
                <w:lang w:eastAsia="zh-CN"/>
              </w:rPr>
            </w:pPr>
          </w:p>
        </w:tc>
        <w:tc>
          <w:tcPr>
            <w:tcW w:w="1367" w:type="pct"/>
            <w:gridSpan w:val="3"/>
            <w:noWrap w:val="0"/>
            <w:vAlign w:val="top"/>
          </w:tcPr>
          <w:p w14:paraId="35E1483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6.投资性房地产</w:t>
            </w:r>
          </w:p>
          <w:p w14:paraId="4D98C3C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（2023年判断题、计算题）</w:t>
            </w:r>
          </w:p>
        </w:tc>
        <w:tc>
          <w:tcPr>
            <w:tcW w:w="1941" w:type="pct"/>
            <w:gridSpan w:val="2"/>
            <w:noWrap w:val="0"/>
            <w:vAlign w:val="top"/>
          </w:tcPr>
          <w:p w14:paraId="7D831F1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借：xx资产</w:t>
            </w:r>
          </w:p>
          <w:p w14:paraId="4F7B6DF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 xml:space="preserve">　　应交税费——应交增值税（进项税额） </w:t>
            </w:r>
          </w:p>
          <w:p w14:paraId="7CBA0BF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　　贷：其他业务收入</w:t>
            </w:r>
          </w:p>
        </w:tc>
        <w:tc>
          <w:tcPr>
            <w:tcW w:w="1252" w:type="pct"/>
            <w:gridSpan w:val="2"/>
            <w:noWrap w:val="0"/>
            <w:vAlign w:val="top"/>
          </w:tcPr>
          <w:p w14:paraId="1C13CCF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借：其他业务成本</w:t>
            </w:r>
          </w:p>
          <w:p w14:paraId="0E2969A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　　投资性房地产累计折旧</w:t>
            </w:r>
          </w:p>
          <w:p w14:paraId="41A16F1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　　贷：投资性房地产</w:t>
            </w:r>
          </w:p>
        </w:tc>
      </w:tr>
    </w:tbl>
    <w:p w14:paraId="7ACAE25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i w:val="0"/>
          <w:sz w:val="21"/>
          <w:szCs w:val="21"/>
          <w:u w:val="none"/>
          <w:lang w:eastAsia="zh-CN"/>
        </w:rPr>
      </w:pPr>
    </w:p>
    <w:tbl>
      <w:tblPr>
        <w:tblStyle w:val="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78"/>
        <w:gridCol w:w="3378"/>
        <w:gridCol w:w="3380"/>
      </w:tblGrid>
      <w:tr w14:paraId="7709F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noWrap w:val="0"/>
            <w:vAlign w:val="top"/>
          </w:tcPr>
          <w:p w14:paraId="60A5A29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涉及支付/收到补价</w:t>
            </w:r>
          </w:p>
        </w:tc>
        <w:tc>
          <w:tcPr>
            <w:tcW w:w="1666" w:type="pct"/>
            <w:noWrap w:val="0"/>
            <w:vAlign w:val="top"/>
          </w:tcPr>
          <w:p w14:paraId="188D7BC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借：××资产</w:t>
            </w:r>
          </w:p>
          <w:p w14:paraId="5AC5855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　　贷：银行存款</w:t>
            </w:r>
          </w:p>
        </w:tc>
        <w:tc>
          <w:tcPr>
            <w:tcW w:w="1666" w:type="pct"/>
            <w:noWrap w:val="0"/>
            <w:vAlign w:val="top"/>
          </w:tcPr>
          <w:p w14:paraId="7423A28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借：银行存款</w:t>
            </w:r>
          </w:p>
          <w:p w14:paraId="0C932BC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　　贷：××资产</w:t>
            </w:r>
          </w:p>
        </w:tc>
      </w:tr>
      <w:tr w14:paraId="6525D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noWrap w:val="0"/>
            <w:vAlign w:val="top"/>
          </w:tcPr>
          <w:p w14:paraId="22C5F05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多项资产交换以公允价值为基础</w:t>
            </w:r>
          </w:p>
        </w:tc>
        <w:tc>
          <w:tcPr>
            <w:tcW w:w="3333" w:type="pct"/>
            <w:gridSpan w:val="2"/>
            <w:noWrap w:val="0"/>
            <w:vAlign w:val="top"/>
          </w:tcPr>
          <w:p w14:paraId="0BE0AEA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以换入资产的公允价值比例分配</w:t>
            </w:r>
          </w:p>
        </w:tc>
      </w:tr>
      <w:tr w14:paraId="4C4C9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noWrap w:val="0"/>
            <w:vAlign w:val="top"/>
          </w:tcPr>
          <w:p w14:paraId="2810A83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 xml:space="preserve">以账面价值计量 </w:t>
            </w:r>
          </w:p>
        </w:tc>
        <w:tc>
          <w:tcPr>
            <w:tcW w:w="3333" w:type="pct"/>
            <w:gridSpan w:val="2"/>
            <w:noWrap w:val="0"/>
            <w:vAlign w:val="top"/>
          </w:tcPr>
          <w:p w14:paraId="6F63897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 xml:space="preserve">应当以换出资产的账面价值和应支付的相关税费作为换入资产的成本，无论是否支付补价，均不确认损益。农村 </w:t>
            </w:r>
          </w:p>
        </w:tc>
      </w:tr>
      <w:tr w14:paraId="6D25D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noWrap w:val="0"/>
            <w:vAlign w:val="top"/>
          </w:tcPr>
          <w:p w14:paraId="4B6FD7D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多项资产交换以账面价值为基础</w:t>
            </w:r>
          </w:p>
        </w:tc>
        <w:tc>
          <w:tcPr>
            <w:tcW w:w="3333" w:type="pct"/>
            <w:gridSpan w:val="2"/>
            <w:noWrap w:val="0"/>
            <w:vAlign w:val="top"/>
          </w:tcPr>
          <w:p w14:paraId="7ED9B33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以换入资产的账面价值比例分配</w:t>
            </w:r>
          </w:p>
        </w:tc>
      </w:tr>
    </w:tbl>
    <w:p w14:paraId="39C7991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i w:val="0"/>
          <w:sz w:val="21"/>
          <w:szCs w:val="21"/>
          <w:u w:val="none"/>
          <w:lang w:eastAsia="zh-CN"/>
        </w:rPr>
      </w:pPr>
    </w:p>
    <w:tbl>
      <w:tblPr>
        <w:tblStyle w:val="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
        <w:gridCol w:w="2091"/>
        <w:gridCol w:w="4615"/>
        <w:gridCol w:w="2536"/>
      </w:tblGrid>
      <w:tr w14:paraId="4854A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pct"/>
            <w:noWrap w:val="0"/>
            <w:vAlign w:val="top"/>
          </w:tcPr>
          <w:p w14:paraId="6E1D1BC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sz w:val="21"/>
                <w:szCs w:val="21"/>
                <w:u w:val="none"/>
                <w:lang w:eastAsia="zh-CN"/>
              </w:rPr>
            </w:pPr>
          </w:p>
          <w:p w14:paraId="75ED5F1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sz w:val="21"/>
                <w:szCs w:val="21"/>
                <w:u w:val="none"/>
                <w:lang w:eastAsia="zh-CN"/>
              </w:rPr>
            </w:pPr>
          </w:p>
          <w:p w14:paraId="623F8F6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sz w:val="21"/>
                <w:szCs w:val="21"/>
                <w:u w:val="none"/>
                <w:lang w:eastAsia="zh-CN"/>
              </w:rPr>
            </w:pPr>
          </w:p>
          <w:p w14:paraId="1077270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以账面价值为基础</w:t>
            </w:r>
          </w:p>
        </w:tc>
        <w:tc>
          <w:tcPr>
            <w:tcW w:w="1031" w:type="pct"/>
            <w:noWrap w:val="0"/>
            <w:vAlign w:val="top"/>
          </w:tcPr>
          <w:p w14:paraId="231280B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p>
          <w:p w14:paraId="7E6CE22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p>
          <w:p w14:paraId="0EE52F5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以固定资产和无形资产换入在建工程和长期股权投资</w:t>
            </w:r>
          </w:p>
          <w:p w14:paraId="37B9844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（不确认损益）</w:t>
            </w:r>
          </w:p>
        </w:tc>
        <w:tc>
          <w:tcPr>
            <w:tcW w:w="2275" w:type="pct"/>
            <w:noWrap w:val="0"/>
            <w:vAlign w:val="top"/>
          </w:tcPr>
          <w:p w14:paraId="32A6A6F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借：固定资产清理　</w:t>
            </w:r>
          </w:p>
          <w:p w14:paraId="677BCFE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　　累计折旧</w:t>
            </w:r>
          </w:p>
          <w:p w14:paraId="5EFAA85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　　贷：固定资产　　</w:t>
            </w:r>
          </w:p>
          <w:p w14:paraId="2D156ED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借：在建工程（换出资产的账面价值×换入资产账面价值占换入资产账面价值的比例）</w:t>
            </w:r>
          </w:p>
          <w:p w14:paraId="07A2BEE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　　长期股权投资　</w:t>
            </w:r>
          </w:p>
          <w:p w14:paraId="4FD8C8C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　　累计摊销</w:t>
            </w:r>
          </w:p>
          <w:p w14:paraId="3FDD132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　　贷：固定资产清理　</w:t>
            </w:r>
          </w:p>
          <w:p w14:paraId="67FC69C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　           无形资产——专利技术</w:t>
            </w:r>
          </w:p>
        </w:tc>
        <w:tc>
          <w:tcPr>
            <w:tcW w:w="1250" w:type="pct"/>
            <w:noWrap w:val="0"/>
            <w:vAlign w:val="top"/>
          </w:tcPr>
          <w:p w14:paraId="5878B91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借：固定资产</w:t>
            </w:r>
          </w:p>
          <w:p w14:paraId="764D691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　　无形资产</w:t>
            </w:r>
          </w:p>
          <w:p w14:paraId="722C308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 xml:space="preserve">　　贷：在建工程 </w:t>
            </w:r>
          </w:p>
          <w:p w14:paraId="4FAAEA4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　长期股权投资</w:t>
            </w:r>
          </w:p>
        </w:tc>
      </w:tr>
    </w:tbl>
    <w:p w14:paraId="2EE3281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i w:val="0"/>
          <w:sz w:val="21"/>
          <w:szCs w:val="21"/>
          <w:u w:val="none"/>
          <w:lang w:eastAsia="zh-CN"/>
        </w:rPr>
      </w:pPr>
    </w:p>
    <w:p w14:paraId="2383FA5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i w:val="0"/>
          <w:sz w:val="21"/>
          <w:szCs w:val="21"/>
          <w:u w:val="none"/>
          <w:lang w:eastAsia="zh-CN"/>
        </w:rPr>
      </w:pPr>
    </w:p>
    <w:p w14:paraId="1DB9422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i w:val="0"/>
          <w:sz w:val="21"/>
          <w:szCs w:val="21"/>
          <w:u w:val="none"/>
          <w:lang w:eastAsia="zh-CN"/>
        </w:rPr>
      </w:pPr>
    </w:p>
    <w:p w14:paraId="281993ED">
      <w:pPr>
        <w:pStyle w:val="2"/>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firstLine="0"/>
        <w:textAlignment w:val="auto"/>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第十六章  债务重组</w:t>
      </w:r>
    </w:p>
    <w:p w14:paraId="14DA7524">
      <w:pPr>
        <w:pStyle w:val="3"/>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firstLine="0"/>
        <w:textAlignment w:val="auto"/>
        <w:rPr>
          <w:rFonts w:hint="eastAsia" w:ascii="宋体" w:hAnsi="宋体" w:eastAsia="宋体" w:cs="宋体"/>
          <w:b w:val="0"/>
          <w:bCs/>
          <w:color w:val="000000" w:themeColor="text1"/>
          <w:sz w:val="21"/>
          <w:szCs w:val="21"/>
          <w14:textFill>
            <w14:solidFill>
              <w14:schemeClr w14:val="tx1"/>
            </w14:solidFill>
          </w14:textFill>
        </w:rPr>
      </w:pPr>
    </w:p>
    <w:p w14:paraId="589141EA">
      <w:pPr>
        <w:pStyle w:val="3"/>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firstLine="0"/>
        <w:textAlignment w:val="auto"/>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预计今年考核主观题和客观题，分值为</w:t>
      </w:r>
      <w:r>
        <w:rPr>
          <w:rFonts w:hint="eastAsia" w:ascii="宋体" w:hAnsi="宋体" w:eastAsia="宋体" w:cs="宋体"/>
          <w:b w:val="0"/>
          <w:bCs/>
          <w:color w:val="000000" w:themeColor="text1"/>
          <w:sz w:val="21"/>
          <w:szCs w:val="21"/>
          <w:lang w:val="en-US" w:eastAsia="zh-CN"/>
          <w14:textFill>
            <w14:solidFill>
              <w14:schemeClr w14:val="tx1"/>
            </w14:solidFill>
          </w14:textFill>
        </w:rPr>
        <w:t>2-6</w:t>
      </w:r>
      <w:r>
        <w:rPr>
          <w:rFonts w:hint="eastAsia" w:ascii="宋体" w:hAnsi="宋体" w:eastAsia="宋体" w:cs="宋体"/>
          <w:b w:val="0"/>
          <w:bCs/>
          <w:color w:val="000000" w:themeColor="text1"/>
          <w:sz w:val="21"/>
          <w:szCs w:val="21"/>
          <w14:textFill>
            <w14:solidFill>
              <w14:schemeClr w14:val="tx1"/>
            </w14:solidFill>
          </w14:textFill>
        </w:rPr>
        <w:t>分。</w:t>
      </w:r>
    </w:p>
    <w:p w14:paraId="3CC5D22C">
      <w:pPr>
        <w:pStyle w:val="3"/>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firstLine="0"/>
        <w:textAlignment w:val="auto"/>
        <w:rPr>
          <w:rFonts w:hint="eastAsia" w:ascii="宋体" w:hAnsi="宋体" w:eastAsia="宋体" w:cs="宋体"/>
          <w:b w:val="0"/>
          <w:bCs/>
          <w:color w:val="000000" w:themeColor="text1"/>
          <w:sz w:val="21"/>
          <w:szCs w:val="21"/>
          <w:lang w:eastAsia="zh-CN"/>
          <w14:textFill>
            <w14:solidFill>
              <w14:schemeClr w14:val="tx1"/>
            </w14:solidFill>
          </w14:textFill>
        </w:rPr>
      </w:pPr>
      <w:r>
        <w:rPr>
          <w:rFonts w:hint="eastAsia" w:ascii="宋体" w:hAnsi="宋体" w:eastAsia="宋体" w:cs="宋体"/>
          <w:b w:val="0"/>
          <w:bCs/>
          <w:color w:val="000000" w:themeColor="text1"/>
          <w:sz w:val="21"/>
          <w:szCs w:val="21"/>
          <w:lang w:eastAsia="zh-CN"/>
          <w14:textFill>
            <w14:solidFill>
              <w14:schemeClr w14:val="tx1"/>
            </w14:solidFill>
          </w14:textFill>
        </w:rPr>
        <w:t>一、债务重组的概述</w:t>
      </w:r>
    </w:p>
    <w:p w14:paraId="69136A44">
      <w:pPr>
        <w:pStyle w:val="3"/>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firstLine="0"/>
        <w:textAlignment w:val="auto"/>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w:t>
      </w:r>
      <w:r>
        <w:rPr>
          <w:rFonts w:hint="eastAsia" w:ascii="宋体" w:hAnsi="宋体" w:eastAsia="宋体" w:cs="宋体"/>
          <w:b w:val="0"/>
          <w:bCs/>
          <w:color w:val="000000" w:themeColor="text1"/>
          <w:sz w:val="21"/>
          <w:szCs w:val="21"/>
          <w:lang w:eastAsia="zh-CN"/>
          <w14:textFill>
            <w14:solidFill>
              <w14:schemeClr w14:val="tx1"/>
            </w14:solidFill>
          </w14:textFill>
        </w:rPr>
        <w:t>一</w:t>
      </w:r>
      <w:r>
        <w:rPr>
          <w:rFonts w:hint="eastAsia" w:ascii="宋体" w:hAnsi="宋体" w:eastAsia="宋体" w:cs="宋体"/>
          <w:b w:val="0"/>
          <w:bCs/>
          <w:color w:val="000000" w:themeColor="text1"/>
          <w:sz w:val="21"/>
          <w:szCs w:val="21"/>
          <w14:textFill>
            <w14:solidFill>
              <w14:schemeClr w14:val="tx1"/>
            </w14:solidFill>
          </w14:textFill>
        </w:rPr>
        <w:t>）</w:t>
      </w:r>
      <w:r>
        <w:rPr>
          <w:rFonts w:hint="eastAsia" w:ascii="宋体" w:hAnsi="宋体" w:eastAsia="宋体" w:cs="宋体"/>
          <w:b w:val="0"/>
          <w:bCs/>
          <w:color w:val="000000" w:themeColor="text1"/>
          <w:sz w:val="21"/>
          <w:szCs w:val="21"/>
          <w:lang w:eastAsia="zh-CN"/>
          <w14:textFill>
            <w14:solidFill>
              <w14:schemeClr w14:val="tx1"/>
            </w14:solidFill>
          </w14:textFill>
        </w:rPr>
        <w:t>债务重组</w:t>
      </w:r>
      <w:r>
        <w:rPr>
          <w:rFonts w:hint="eastAsia" w:ascii="宋体" w:hAnsi="宋体" w:eastAsia="宋体" w:cs="宋体"/>
          <w:b w:val="0"/>
          <w:bCs/>
          <w:color w:val="000000" w:themeColor="text1"/>
          <w:sz w:val="21"/>
          <w:szCs w:val="21"/>
          <w14:textFill>
            <w14:solidFill>
              <w14:schemeClr w14:val="tx1"/>
            </w14:solidFill>
          </w14:textFill>
        </w:rPr>
        <w:t>，</w:t>
      </w:r>
      <w:r>
        <w:rPr>
          <w:rFonts w:hint="eastAsia" w:ascii="宋体" w:hAnsi="宋体" w:eastAsia="宋体" w:cs="宋体"/>
          <w:b w:val="0"/>
          <w:bCs/>
          <w:color w:val="000000" w:themeColor="text1"/>
          <w:sz w:val="21"/>
          <w:szCs w:val="21"/>
          <w:lang w:eastAsia="zh-CN"/>
          <w14:textFill>
            <w14:solidFill>
              <w14:schemeClr w14:val="tx1"/>
            </w14:solidFill>
          </w14:textFill>
        </w:rPr>
        <w:t>是指在</w:t>
      </w:r>
      <w:r>
        <w:rPr>
          <w:rFonts w:hint="eastAsia" w:ascii="宋体" w:hAnsi="宋体" w:eastAsia="宋体" w:cs="宋体"/>
          <w:b w:val="0"/>
          <w:bCs/>
          <w:color w:val="FF0000"/>
          <w:sz w:val="21"/>
          <w:szCs w:val="21"/>
          <w:lang w:eastAsia="zh-CN"/>
        </w:rPr>
        <w:t>不改变交易对手方</w:t>
      </w:r>
      <w:r>
        <w:rPr>
          <w:rFonts w:hint="eastAsia" w:ascii="宋体" w:hAnsi="宋体" w:eastAsia="宋体" w:cs="宋体"/>
          <w:b w:val="0"/>
          <w:bCs/>
          <w:color w:val="000000" w:themeColor="text1"/>
          <w:sz w:val="21"/>
          <w:szCs w:val="21"/>
          <w:lang w:eastAsia="zh-CN"/>
          <w14:textFill>
            <w14:solidFill>
              <w14:schemeClr w14:val="tx1"/>
            </w14:solidFill>
          </w14:textFill>
        </w:rPr>
        <w:t>的情况下</w:t>
      </w:r>
      <w:r>
        <w:rPr>
          <w:rFonts w:hint="eastAsia" w:ascii="宋体" w:hAnsi="宋体" w:eastAsia="宋体" w:cs="宋体"/>
          <w:b w:val="0"/>
          <w:bCs/>
          <w:color w:val="000000" w:themeColor="text1"/>
          <w:sz w:val="21"/>
          <w:szCs w:val="21"/>
          <w14:textFill>
            <w14:solidFill>
              <w14:schemeClr w14:val="tx1"/>
            </w14:solidFill>
          </w14:textFill>
        </w:rPr>
        <w:t>，</w:t>
      </w:r>
      <w:r>
        <w:rPr>
          <w:rFonts w:hint="eastAsia" w:ascii="宋体" w:hAnsi="宋体" w:eastAsia="宋体" w:cs="宋体"/>
          <w:b w:val="0"/>
          <w:bCs/>
          <w:color w:val="000000" w:themeColor="text1"/>
          <w:sz w:val="21"/>
          <w:szCs w:val="21"/>
          <w:lang w:eastAsia="zh-CN"/>
          <w14:textFill>
            <w14:solidFill>
              <w14:schemeClr w14:val="tx1"/>
            </w14:solidFill>
          </w14:textFill>
        </w:rPr>
        <w:t>经债权人和债务人协定或法院裁定</w:t>
      </w:r>
      <w:r>
        <w:rPr>
          <w:rFonts w:hint="eastAsia" w:ascii="宋体" w:hAnsi="宋体" w:eastAsia="宋体" w:cs="宋体"/>
          <w:b w:val="0"/>
          <w:bCs/>
          <w:color w:val="000000" w:themeColor="text1"/>
          <w:sz w:val="21"/>
          <w:szCs w:val="21"/>
          <w14:textFill>
            <w14:solidFill>
              <w14:schemeClr w14:val="tx1"/>
            </w14:solidFill>
          </w14:textFill>
        </w:rPr>
        <w:t>，</w:t>
      </w:r>
      <w:r>
        <w:rPr>
          <w:rFonts w:hint="eastAsia" w:ascii="宋体" w:hAnsi="宋体" w:eastAsia="宋体" w:cs="宋体"/>
          <w:b w:val="0"/>
          <w:bCs/>
          <w:color w:val="000000" w:themeColor="text1"/>
          <w:sz w:val="21"/>
          <w:szCs w:val="21"/>
          <w:lang w:eastAsia="zh-CN"/>
          <w14:textFill>
            <w14:solidFill>
              <w14:schemeClr w14:val="tx1"/>
            </w14:solidFill>
          </w14:textFill>
        </w:rPr>
        <w:t>就</w:t>
      </w:r>
      <w:r>
        <w:rPr>
          <w:rFonts w:hint="eastAsia" w:ascii="宋体" w:hAnsi="宋体" w:eastAsia="宋体" w:cs="宋体"/>
          <w:b w:val="0"/>
          <w:bCs/>
          <w:color w:val="FF0000"/>
          <w:sz w:val="21"/>
          <w:szCs w:val="21"/>
          <w:lang w:eastAsia="zh-CN"/>
        </w:rPr>
        <w:t>清偿债务的时间、金额或方式</w:t>
      </w:r>
      <w:r>
        <w:rPr>
          <w:rFonts w:hint="eastAsia" w:ascii="宋体" w:hAnsi="宋体" w:eastAsia="宋体" w:cs="宋体"/>
          <w:b w:val="0"/>
          <w:bCs/>
          <w:color w:val="000000" w:themeColor="text1"/>
          <w:sz w:val="21"/>
          <w:szCs w:val="21"/>
          <w:lang w:eastAsia="zh-CN"/>
          <w14:textFill>
            <w14:solidFill>
              <w14:schemeClr w14:val="tx1"/>
            </w14:solidFill>
          </w14:textFill>
        </w:rPr>
        <w:t>等重新达成协议的交易。</w:t>
      </w:r>
    </w:p>
    <w:p w14:paraId="7A04C37E">
      <w:pPr>
        <w:pStyle w:val="3"/>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firstLine="0"/>
        <w:textAlignment w:val="auto"/>
        <w:rPr>
          <w:rFonts w:hint="eastAsia" w:ascii="宋体" w:hAnsi="宋体" w:eastAsia="宋体" w:cs="宋体"/>
          <w:b w:val="0"/>
          <w:bCs/>
          <w:color w:val="000000" w:themeColor="text1"/>
          <w:sz w:val="21"/>
          <w:szCs w:val="21"/>
          <w:lang w:eastAsia="zh-CN"/>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w:t>
      </w:r>
      <w:r>
        <w:rPr>
          <w:rFonts w:hint="eastAsia" w:ascii="宋体" w:hAnsi="宋体" w:eastAsia="宋体" w:cs="宋体"/>
          <w:b w:val="0"/>
          <w:bCs/>
          <w:color w:val="000000" w:themeColor="text1"/>
          <w:sz w:val="21"/>
          <w:szCs w:val="21"/>
          <w:lang w:eastAsia="zh-CN"/>
          <w14:textFill>
            <w14:solidFill>
              <w14:schemeClr w14:val="tx1"/>
            </w14:solidFill>
          </w14:textFill>
        </w:rPr>
        <w:t>二</w:t>
      </w:r>
      <w:r>
        <w:rPr>
          <w:rFonts w:hint="eastAsia" w:ascii="宋体" w:hAnsi="宋体" w:eastAsia="宋体" w:cs="宋体"/>
          <w:b w:val="0"/>
          <w:bCs/>
          <w:color w:val="000000" w:themeColor="text1"/>
          <w:sz w:val="21"/>
          <w:szCs w:val="21"/>
          <w14:textFill>
            <w14:solidFill>
              <w14:schemeClr w14:val="tx1"/>
            </w14:solidFill>
          </w14:textFill>
        </w:rPr>
        <w:t>）</w:t>
      </w:r>
      <w:r>
        <w:rPr>
          <w:rFonts w:hint="eastAsia" w:ascii="宋体" w:hAnsi="宋体" w:eastAsia="宋体" w:cs="宋体"/>
          <w:b w:val="0"/>
          <w:bCs/>
          <w:color w:val="000000" w:themeColor="text1"/>
          <w:sz w:val="21"/>
          <w:szCs w:val="21"/>
          <w:lang w:eastAsia="zh-CN"/>
          <w14:textFill>
            <w14:solidFill>
              <w14:schemeClr w14:val="tx1"/>
            </w14:solidFill>
          </w14:textFill>
        </w:rPr>
        <w:t>关于债权和债务的范围</w:t>
      </w:r>
    </w:p>
    <w:p w14:paraId="55A936C4">
      <w:pPr>
        <w:pStyle w:val="3"/>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firstLine="0"/>
        <w:textAlignment w:val="auto"/>
        <w:rPr>
          <w:rFonts w:hint="eastAsia" w:ascii="宋体" w:hAnsi="宋体" w:eastAsia="宋体" w:cs="宋体"/>
          <w:b w:val="0"/>
          <w:bCs/>
          <w:color w:val="FF0000"/>
          <w:sz w:val="21"/>
          <w:szCs w:val="21"/>
          <w:lang w:eastAsia="zh-CN"/>
        </w:rPr>
      </w:pPr>
      <w:r>
        <w:rPr>
          <w:rFonts w:hint="eastAsia" w:ascii="宋体" w:hAnsi="宋体" w:eastAsia="宋体" w:cs="宋体"/>
          <w:b w:val="0"/>
          <w:bCs/>
          <w:color w:val="000000" w:themeColor="text1"/>
          <w:sz w:val="21"/>
          <w:szCs w:val="21"/>
          <w:lang w:val="en-US" w:eastAsia="zh-CN"/>
          <w14:textFill>
            <w14:solidFill>
              <w14:schemeClr w14:val="tx1"/>
            </w14:solidFill>
          </w14:textFill>
        </w:rPr>
        <w:t>1.</w:t>
      </w:r>
      <w:r>
        <w:rPr>
          <w:rFonts w:hint="eastAsia" w:ascii="宋体" w:hAnsi="宋体" w:eastAsia="宋体" w:cs="宋体"/>
          <w:b w:val="0"/>
          <w:bCs/>
          <w:color w:val="000000" w:themeColor="text1"/>
          <w:sz w:val="21"/>
          <w:szCs w:val="21"/>
          <w:lang w:eastAsia="zh-CN"/>
          <w14:textFill>
            <w14:solidFill>
              <w14:schemeClr w14:val="tx1"/>
            </w14:solidFill>
          </w14:textFill>
        </w:rPr>
        <w:t>债务重组涉及的债权和债务</w:t>
      </w:r>
      <w:r>
        <w:rPr>
          <w:rFonts w:hint="eastAsia" w:ascii="宋体" w:hAnsi="宋体" w:eastAsia="宋体" w:cs="宋体"/>
          <w:b w:val="0"/>
          <w:bCs/>
          <w:color w:val="000000" w:themeColor="text1"/>
          <w:sz w:val="21"/>
          <w:szCs w:val="21"/>
          <w14:textFill>
            <w14:solidFill>
              <w14:schemeClr w14:val="tx1"/>
            </w14:solidFill>
          </w14:textFill>
        </w:rPr>
        <w:t>，</w:t>
      </w:r>
      <w:r>
        <w:rPr>
          <w:rFonts w:hint="eastAsia" w:ascii="宋体" w:hAnsi="宋体" w:eastAsia="宋体" w:cs="宋体"/>
          <w:b w:val="0"/>
          <w:bCs/>
          <w:color w:val="000000" w:themeColor="text1"/>
          <w:sz w:val="21"/>
          <w:szCs w:val="21"/>
          <w:lang w:eastAsia="zh-CN"/>
          <w14:textFill>
            <w14:solidFill>
              <w14:schemeClr w14:val="tx1"/>
            </w14:solidFill>
          </w14:textFill>
        </w:rPr>
        <w:t>是指《企业会计准则第</w:t>
      </w:r>
      <w:r>
        <w:rPr>
          <w:rFonts w:hint="eastAsia" w:ascii="宋体" w:hAnsi="宋体" w:eastAsia="宋体" w:cs="宋体"/>
          <w:b w:val="0"/>
          <w:bCs/>
          <w:color w:val="000000" w:themeColor="text1"/>
          <w:sz w:val="21"/>
          <w:szCs w:val="21"/>
          <w:lang w:val="en-US" w:eastAsia="zh-CN"/>
          <w14:textFill>
            <w14:solidFill>
              <w14:schemeClr w14:val="tx1"/>
            </w14:solidFill>
          </w14:textFill>
        </w:rPr>
        <w:t>22</w:t>
      </w:r>
      <w:r>
        <w:rPr>
          <w:rFonts w:hint="eastAsia" w:ascii="宋体" w:hAnsi="宋体" w:eastAsia="宋体" w:cs="宋体"/>
          <w:b w:val="0"/>
          <w:bCs/>
          <w:color w:val="000000" w:themeColor="text1"/>
          <w:sz w:val="21"/>
          <w:szCs w:val="21"/>
          <w:lang w:eastAsia="zh-CN"/>
          <w14:textFill>
            <w14:solidFill>
              <w14:schemeClr w14:val="tx1"/>
            </w14:solidFill>
          </w14:textFill>
        </w:rPr>
        <w:t>号——金融工具确认和计量》规范的债权和债务</w:t>
      </w:r>
      <w:r>
        <w:rPr>
          <w:rFonts w:hint="eastAsia" w:ascii="宋体" w:hAnsi="宋体" w:eastAsia="宋体" w:cs="宋体"/>
          <w:b w:val="0"/>
          <w:bCs/>
          <w:color w:val="000000" w:themeColor="text1"/>
          <w:sz w:val="21"/>
          <w:szCs w:val="21"/>
          <w14:textFill>
            <w14:solidFill>
              <w14:schemeClr w14:val="tx1"/>
            </w14:solidFill>
          </w14:textFill>
        </w:rPr>
        <w:t>，</w:t>
      </w:r>
      <w:r>
        <w:rPr>
          <w:rFonts w:hint="eastAsia" w:ascii="宋体" w:hAnsi="宋体" w:eastAsia="宋体" w:cs="宋体"/>
          <w:b w:val="0"/>
          <w:bCs/>
          <w:color w:val="FF0000"/>
          <w:sz w:val="21"/>
          <w:szCs w:val="21"/>
          <w:lang w:eastAsia="zh-CN"/>
        </w:rPr>
        <w:t>不包括合同资产、合同负债、预计负债</w:t>
      </w:r>
      <w:r>
        <w:rPr>
          <w:rFonts w:hint="eastAsia" w:ascii="宋体" w:hAnsi="宋体" w:eastAsia="宋体" w:cs="宋体"/>
          <w:b w:val="0"/>
          <w:bCs/>
          <w:color w:val="FF0000"/>
          <w:sz w:val="21"/>
          <w:szCs w:val="21"/>
        </w:rPr>
        <w:t>；</w:t>
      </w:r>
    </w:p>
    <w:p w14:paraId="1E98374D">
      <w:pPr>
        <w:pStyle w:val="3"/>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firstLine="0"/>
        <w:textAlignment w:val="auto"/>
        <w:rPr>
          <w:rFonts w:hint="eastAsia" w:ascii="宋体" w:hAnsi="宋体" w:eastAsia="宋体" w:cs="宋体"/>
          <w:b w:val="0"/>
          <w:bCs/>
          <w:color w:val="FF0000"/>
          <w:sz w:val="21"/>
          <w:szCs w:val="21"/>
          <w:lang w:eastAsia="zh-CN"/>
        </w:rPr>
      </w:pPr>
      <w:r>
        <w:rPr>
          <w:rFonts w:hint="eastAsia" w:ascii="宋体" w:hAnsi="宋体" w:eastAsia="宋体" w:cs="宋体"/>
          <w:b w:val="0"/>
          <w:bCs/>
          <w:color w:val="FF0000"/>
          <w:sz w:val="21"/>
          <w:szCs w:val="21"/>
          <w:lang w:eastAsia="zh-CN"/>
        </w:rPr>
        <w:t>导致租赁应收款和租赁付款终止确认的交易安排</w:t>
      </w:r>
      <w:r>
        <w:rPr>
          <w:rFonts w:hint="eastAsia" w:ascii="宋体" w:hAnsi="宋体" w:eastAsia="宋体" w:cs="宋体"/>
          <w:b w:val="0"/>
          <w:bCs/>
          <w:color w:val="FF0000"/>
          <w:sz w:val="21"/>
          <w:szCs w:val="21"/>
        </w:rPr>
        <w:t>，</w:t>
      </w:r>
      <w:r>
        <w:rPr>
          <w:rFonts w:hint="eastAsia" w:ascii="宋体" w:hAnsi="宋体" w:eastAsia="宋体" w:cs="宋体"/>
          <w:b w:val="0"/>
          <w:bCs/>
          <w:color w:val="FF0000"/>
          <w:sz w:val="21"/>
          <w:szCs w:val="21"/>
          <w:lang w:eastAsia="zh-CN"/>
        </w:rPr>
        <w:t>属于债务重组。</w:t>
      </w:r>
    </w:p>
    <w:p w14:paraId="51090AF3">
      <w:pPr>
        <w:pStyle w:val="3"/>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firstLine="0"/>
        <w:textAlignment w:val="auto"/>
        <w:rPr>
          <w:rFonts w:hint="eastAsia" w:ascii="宋体" w:hAnsi="宋体" w:eastAsia="宋体" w:cs="宋体"/>
          <w:b w:val="0"/>
          <w:bCs/>
          <w:color w:val="000000" w:themeColor="text1"/>
          <w:sz w:val="21"/>
          <w:szCs w:val="21"/>
          <w:lang w:eastAsia="zh-CN"/>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二</w:t>
      </w:r>
      <w:r>
        <w:rPr>
          <w:rFonts w:hint="eastAsia" w:ascii="宋体" w:hAnsi="宋体" w:eastAsia="宋体" w:cs="宋体"/>
          <w:b w:val="0"/>
          <w:bCs/>
          <w:color w:val="000000" w:themeColor="text1"/>
          <w:sz w:val="21"/>
          <w:szCs w:val="21"/>
          <w:lang w:eastAsia="zh-CN"/>
          <w14:textFill>
            <w14:solidFill>
              <w14:schemeClr w14:val="tx1"/>
            </w14:solidFill>
          </w14:textFill>
        </w:rPr>
        <w:t>、债权人的会计处理</w:t>
      </w:r>
    </w:p>
    <w:p w14:paraId="1565F1B3">
      <w:pPr>
        <w:pStyle w:val="3"/>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firstLine="0"/>
        <w:textAlignment w:val="auto"/>
        <w:rPr>
          <w:rFonts w:hint="eastAsia" w:ascii="宋体" w:hAnsi="宋体" w:eastAsia="宋体" w:cs="宋体"/>
          <w:b w:val="0"/>
          <w:bCs/>
          <w:color w:val="000000" w:themeColor="text1"/>
          <w:sz w:val="21"/>
          <w:szCs w:val="21"/>
          <w:lang w:eastAsia="zh-CN"/>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w:t>
      </w:r>
      <w:r>
        <w:rPr>
          <w:rFonts w:hint="eastAsia" w:ascii="宋体" w:hAnsi="宋体" w:eastAsia="宋体" w:cs="宋体"/>
          <w:b w:val="0"/>
          <w:bCs/>
          <w:color w:val="000000" w:themeColor="text1"/>
          <w:sz w:val="21"/>
          <w:szCs w:val="21"/>
          <w:lang w:eastAsia="zh-CN"/>
          <w14:textFill>
            <w14:solidFill>
              <w14:schemeClr w14:val="tx1"/>
            </w14:solidFill>
          </w14:textFill>
        </w:rPr>
        <w:t>一</w:t>
      </w:r>
      <w:r>
        <w:rPr>
          <w:rFonts w:hint="eastAsia" w:ascii="宋体" w:hAnsi="宋体" w:eastAsia="宋体" w:cs="宋体"/>
          <w:b w:val="0"/>
          <w:bCs/>
          <w:color w:val="000000" w:themeColor="text1"/>
          <w:sz w:val="21"/>
          <w:szCs w:val="21"/>
          <w14:textFill>
            <w14:solidFill>
              <w14:schemeClr w14:val="tx1"/>
            </w14:solidFill>
          </w14:textFill>
        </w:rPr>
        <w:t>）</w:t>
      </w:r>
      <w:r>
        <w:rPr>
          <w:rFonts w:hint="eastAsia" w:ascii="宋体" w:hAnsi="宋体" w:eastAsia="宋体" w:cs="宋体"/>
          <w:b w:val="0"/>
          <w:bCs/>
          <w:color w:val="000000" w:themeColor="text1"/>
          <w:sz w:val="21"/>
          <w:szCs w:val="21"/>
          <w:lang w:eastAsia="zh-CN"/>
          <w14:textFill>
            <w14:solidFill>
              <w14:schemeClr w14:val="tx1"/>
            </w14:solidFill>
          </w14:textFill>
        </w:rPr>
        <w:t>以资产清偿债务或将债务转为权益工具</w:t>
      </w:r>
    </w:p>
    <w:p w14:paraId="71F359C5">
      <w:pPr>
        <w:pStyle w:val="3"/>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firstLine="0"/>
        <w:textAlignment w:val="auto"/>
        <w:rPr>
          <w:rFonts w:hint="eastAsia" w:ascii="宋体" w:hAnsi="宋体" w:eastAsia="宋体" w:cs="宋体"/>
          <w:b w:val="0"/>
          <w:bCs/>
          <w:color w:val="FF0000"/>
          <w:sz w:val="21"/>
          <w:szCs w:val="21"/>
          <w:lang w:eastAsia="zh-CN"/>
        </w:rPr>
      </w:pPr>
      <w:r>
        <w:rPr>
          <w:rFonts w:hint="eastAsia" w:ascii="宋体" w:hAnsi="宋体" w:eastAsia="宋体" w:cs="宋体"/>
          <w:b w:val="0"/>
          <w:bCs/>
          <w:color w:val="FF0000"/>
          <w:sz w:val="21"/>
          <w:szCs w:val="21"/>
          <w:lang w:val="en-US" w:eastAsia="zh-CN"/>
        </w:rPr>
        <w:t>1.</w:t>
      </w:r>
      <w:r>
        <w:rPr>
          <w:rFonts w:hint="eastAsia" w:ascii="宋体" w:hAnsi="宋体" w:eastAsia="宋体" w:cs="宋体"/>
          <w:b w:val="0"/>
          <w:bCs/>
          <w:color w:val="FF0000"/>
          <w:sz w:val="21"/>
          <w:szCs w:val="21"/>
          <w:lang w:eastAsia="zh-CN"/>
        </w:rPr>
        <w:t>债权人受让金融资产</w:t>
      </w:r>
      <w:r>
        <w:rPr>
          <w:rFonts w:hint="eastAsia" w:ascii="宋体" w:hAnsi="宋体" w:eastAsia="宋体" w:cs="宋体"/>
          <w:b w:val="0"/>
          <w:bCs/>
          <w:color w:val="FF0000"/>
          <w:sz w:val="21"/>
          <w:szCs w:val="21"/>
        </w:rPr>
        <w:t>（</w:t>
      </w:r>
      <w:r>
        <w:rPr>
          <w:rFonts w:hint="eastAsia" w:ascii="宋体" w:hAnsi="宋体" w:eastAsia="宋体" w:cs="宋体"/>
          <w:b w:val="0"/>
          <w:bCs/>
          <w:color w:val="FF0000"/>
          <w:sz w:val="21"/>
          <w:szCs w:val="21"/>
          <w:lang w:eastAsia="zh-CN"/>
        </w:rPr>
        <w:t>入账基础</w:t>
      </w:r>
      <w:r>
        <w:rPr>
          <w:rFonts w:hint="eastAsia" w:ascii="宋体" w:hAnsi="宋体" w:eastAsia="宋体" w:cs="宋体"/>
          <w:b w:val="0"/>
          <w:bCs/>
          <w:color w:val="FF0000"/>
          <w:sz w:val="21"/>
          <w:szCs w:val="21"/>
        </w:rPr>
        <w:t>：</w:t>
      </w:r>
      <w:r>
        <w:rPr>
          <w:rFonts w:hint="eastAsia" w:ascii="宋体" w:hAnsi="宋体" w:eastAsia="宋体" w:cs="宋体"/>
          <w:b w:val="0"/>
          <w:bCs/>
          <w:color w:val="FF0000"/>
          <w:sz w:val="21"/>
          <w:szCs w:val="21"/>
          <w:lang w:eastAsia="zh-CN"/>
        </w:rPr>
        <w:t>受让的金融资产公允价值</w:t>
      </w:r>
      <w:r>
        <w:rPr>
          <w:rFonts w:hint="eastAsia" w:ascii="宋体" w:hAnsi="宋体" w:eastAsia="宋体" w:cs="宋体"/>
          <w:b w:val="0"/>
          <w:bCs/>
          <w:color w:val="FF0000"/>
          <w:sz w:val="21"/>
          <w:szCs w:val="21"/>
        </w:rPr>
        <w:t>）</w:t>
      </w:r>
    </w:p>
    <w:p w14:paraId="4B101BC5">
      <w:pPr>
        <w:pStyle w:val="3"/>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firstLine="0"/>
        <w:textAlignment w:val="auto"/>
        <w:rPr>
          <w:rFonts w:hint="eastAsia" w:ascii="宋体" w:hAnsi="宋体" w:eastAsia="宋体" w:cs="宋体"/>
          <w:b w:val="0"/>
          <w:bCs/>
          <w:color w:val="000000" w:themeColor="text1"/>
          <w:sz w:val="21"/>
          <w:szCs w:val="21"/>
          <w:lang w:eastAsia="zh-CN"/>
          <w14:textFill>
            <w14:solidFill>
              <w14:schemeClr w14:val="tx1"/>
            </w14:solidFill>
          </w14:textFill>
        </w:rPr>
      </w:pPr>
      <w:r>
        <w:rPr>
          <w:rFonts w:hint="eastAsia" w:ascii="宋体" w:hAnsi="宋体" w:eastAsia="宋体" w:cs="宋体"/>
          <w:b w:val="0"/>
          <w:bCs/>
          <w:color w:val="000000" w:themeColor="text1"/>
          <w:sz w:val="21"/>
          <w:szCs w:val="21"/>
          <w:lang w:eastAsia="zh-CN"/>
          <w14:textFill>
            <w14:solidFill>
              <w14:schemeClr w14:val="tx1"/>
            </w14:solidFill>
          </w14:textFill>
        </w:rPr>
        <w:t>借</w:t>
      </w:r>
      <w:r>
        <w:rPr>
          <w:rFonts w:hint="eastAsia" w:ascii="宋体" w:hAnsi="宋体" w:eastAsia="宋体" w:cs="宋体"/>
          <w:b w:val="0"/>
          <w:bCs/>
          <w:color w:val="000000" w:themeColor="text1"/>
          <w:sz w:val="21"/>
          <w:szCs w:val="21"/>
          <w14:textFill>
            <w14:solidFill>
              <w14:schemeClr w14:val="tx1"/>
            </w14:solidFill>
          </w14:textFill>
        </w:rPr>
        <w:t>：</w:t>
      </w:r>
      <w:r>
        <w:rPr>
          <w:rFonts w:hint="eastAsia" w:ascii="宋体" w:hAnsi="宋体" w:eastAsia="宋体" w:cs="宋体"/>
          <w:b w:val="0"/>
          <w:bCs/>
          <w:color w:val="000000" w:themeColor="text1"/>
          <w:sz w:val="21"/>
          <w:szCs w:val="21"/>
          <w:lang w:eastAsia="zh-CN"/>
          <w14:textFill>
            <w14:solidFill>
              <w14:schemeClr w14:val="tx1"/>
            </w14:solidFill>
          </w14:textFill>
        </w:rPr>
        <w:t>××金融资产</w:t>
      </w:r>
      <w:r>
        <w:rPr>
          <w:rFonts w:hint="eastAsia" w:ascii="宋体" w:hAnsi="宋体" w:eastAsia="宋体" w:cs="宋体"/>
          <w:b w:val="0"/>
          <w:bCs/>
          <w:color w:val="000000" w:themeColor="text1"/>
          <w:sz w:val="21"/>
          <w:szCs w:val="21"/>
          <w14:textFill>
            <w14:solidFill>
              <w14:schemeClr w14:val="tx1"/>
            </w14:solidFill>
          </w14:textFill>
        </w:rPr>
        <w:t>（</w:t>
      </w:r>
      <w:r>
        <w:rPr>
          <w:rFonts w:hint="eastAsia" w:ascii="宋体" w:hAnsi="宋体" w:eastAsia="宋体" w:cs="宋体"/>
          <w:b w:val="0"/>
          <w:bCs/>
          <w:color w:val="000000" w:themeColor="text1"/>
          <w:sz w:val="21"/>
          <w:szCs w:val="21"/>
          <w:lang w:eastAsia="zh-CN"/>
          <w14:textFill>
            <w14:solidFill>
              <w14:schemeClr w14:val="tx1"/>
            </w14:solidFill>
          </w14:textFill>
        </w:rPr>
        <w:t>库存现金、银行存款、交易性金融资产、债权投资、其他债权投资、其他权益工具投资等</w:t>
      </w:r>
      <w:r>
        <w:rPr>
          <w:rFonts w:hint="eastAsia" w:ascii="宋体" w:hAnsi="宋体" w:eastAsia="宋体" w:cs="宋体"/>
          <w:b w:val="0"/>
          <w:bCs/>
          <w:color w:val="000000" w:themeColor="text1"/>
          <w:sz w:val="21"/>
          <w:szCs w:val="21"/>
          <w14:textFill>
            <w14:solidFill>
              <w14:schemeClr w14:val="tx1"/>
            </w14:solidFill>
          </w14:textFill>
        </w:rPr>
        <w:t>）（</w:t>
      </w:r>
      <w:r>
        <w:rPr>
          <w:rFonts w:hint="eastAsia" w:ascii="宋体" w:hAnsi="宋体" w:eastAsia="宋体" w:cs="宋体"/>
          <w:b w:val="0"/>
          <w:bCs/>
          <w:color w:val="000000" w:themeColor="text1"/>
          <w:sz w:val="21"/>
          <w:szCs w:val="21"/>
          <w:lang w:eastAsia="zh-CN"/>
          <w14:textFill>
            <w14:solidFill>
              <w14:schemeClr w14:val="tx1"/>
            </w14:solidFill>
          </w14:textFill>
        </w:rPr>
        <w:t>公允价值</w:t>
      </w:r>
      <w:r>
        <w:rPr>
          <w:rFonts w:hint="eastAsia" w:ascii="宋体" w:hAnsi="宋体" w:eastAsia="宋体" w:cs="宋体"/>
          <w:b w:val="0"/>
          <w:bCs/>
          <w:color w:val="000000" w:themeColor="text1"/>
          <w:sz w:val="21"/>
          <w:szCs w:val="21"/>
          <w14:textFill>
            <w14:solidFill>
              <w14:schemeClr w14:val="tx1"/>
            </w14:solidFill>
          </w14:textFill>
        </w:rPr>
        <w:t>）</w:t>
      </w:r>
    </w:p>
    <w:p w14:paraId="720F6C1F">
      <w:pPr>
        <w:pStyle w:val="3"/>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firstLine="0"/>
        <w:textAlignment w:val="auto"/>
        <w:rPr>
          <w:rFonts w:hint="eastAsia" w:ascii="宋体" w:hAnsi="宋体" w:eastAsia="宋体" w:cs="宋体"/>
          <w:b w:val="0"/>
          <w:bCs/>
          <w:color w:val="000000" w:themeColor="text1"/>
          <w:sz w:val="21"/>
          <w:szCs w:val="21"/>
          <w:lang w:eastAsia="zh-CN"/>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　　</w:t>
      </w:r>
      <w:r>
        <w:rPr>
          <w:rFonts w:hint="eastAsia" w:ascii="宋体" w:hAnsi="宋体" w:eastAsia="宋体" w:cs="宋体"/>
          <w:b w:val="0"/>
          <w:bCs/>
          <w:color w:val="000000" w:themeColor="text1"/>
          <w:sz w:val="21"/>
          <w:szCs w:val="21"/>
          <w:lang w:eastAsia="zh-CN"/>
          <w14:textFill>
            <w14:solidFill>
              <w14:schemeClr w14:val="tx1"/>
            </w14:solidFill>
          </w14:textFill>
        </w:rPr>
        <w:t>坏账准备</w:t>
      </w:r>
    </w:p>
    <w:p w14:paraId="7D97C8A2">
      <w:pPr>
        <w:pStyle w:val="3"/>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firstLine="0"/>
        <w:textAlignment w:val="auto"/>
        <w:rPr>
          <w:rFonts w:hint="eastAsia" w:ascii="宋体" w:hAnsi="宋体" w:eastAsia="宋体" w:cs="宋体"/>
          <w:b w:val="0"/>
          <w:bCs/>
          <w:color w:val="000000" w:themeColor="text1"/>
          <w:sz w:val="21"/>
          <w:szCs w:val="21"/>
          <w:lang w:eastAsia="zh-CN"/>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　　</w:t>
      </w:r>
      <w:r>
        <w:rPr>
          <w:rFonts w:hint="eastAsia" w:ascii="宋体" w:hAnsi="宋体" w:eastAsia="宋体" w:cs="宋体"/>
          <w:b w:val="0"/>
          <w:bCs/>
          <w:color w:val="000000" w:themeColor="text1"/>
          <w:sz w:val="21"/>
          <w:szCs w:val="21"/>
          <w:lang w:eastAsia="zh-CN"/>
          <w14:textFill>
            <w14:solidFill>
              <w14:schemeClr w14:val="tx1"/>
            </w14:solidFill>
          </w14:textFill>
        </w:rPr>
        <w:t>贷</w:t>
      </w:r>
      <w:r>
        <w:rPr>
          <w:rFonts w:hint="eastAsia" w:ascii="宋体" w:hAnsi="宋体" w:eastAsia="宋体" w:cs="宋体"/>
          <w:b w:val="0"/>
          <w:bCs/>
          <w:color w:val="000000" w:themeColor="text1"/>
          <w:sz w:val="21"/>
          <w:szCs w:val="21"/>
          <w14:textFill>
            <w14:solidFill>
              <w14:schemeClr w14:val="tx1"/>
            </w14:solidFill>
          </w14:textFill>
        </w:rPr>
        <w:t>：</w:t>
      </w:r>
      <w:r>
        <w:rPr>
          <w:rFonts w:hint="eastAsia" w:ascii="宋体" w:hAnsi="宋体" w:eastAsia="宋体" w:cs="宋体"/>
          <w:b w:val="0"/>
          <w:bCs/>
          <w:color w:val="000000" w:themeColor="text1"/>
          <w:sz w:val="21"/>
          <w:szCs w:val="21"/>
          <w:lang w:eastAsia="zh-CN"/>
          <w14:textFill>
            <w14:solidFill>
              <w14:schemeClr w14:val="tx1"/>
            </w14:solidFill>
          </w14:textFill>
        </w:rPr>
        <w:t>应收账款等</w:t>
      </w:r>
    </w:p>
    <w:p w14:paraId="14E35BB3">
      <w:pPr>
        <w:pStyle w:val="3"/>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firstLine="0"/>
        <w:textAlignment w:val="auto"/>
        <w:rPr>
          <w:rFonts w:hint="eastAsia" w:ascii="宋体" w:hAnsi="宋体" w:eastAsia="宋体" w:cs="宋体"/>
          <w:b w:val="0"/>
          <w:bCs/>
          <w:color w:val="000000" w:themeColor="text1"/>
          <w:sz w:val="21"/>
          <w:szCs w:val="21"/>
          <w:lang w:eastAsia="zh-CN"/>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 xml:space="preserve">           　</w:t>
      </w:r>
      <w:r>
        <w:rPr>
          <w:rFonts w:hint="eastAsia" w:ascii="宋体" w:hAnsi="宋体" w:eastAsia="宋体" w:cs="宋体"/>
          <w:b w:val="0"/>
          <w:bCs/>
          <w:color w:val="000000" w:themeColor="text1"/>
          <w:sz w:val="21"/>
          <w:szCs w:val="21"/>
          <w:lang w:eastAsia="zh-CN"/>
          <w14:textFill>
            <w14:solidFill>
              <w14:schemeClr w14:val="tx1"/>
            </w14:solidFill>
          </w14:textFill>
        </w:rPr>
        <w:t>银行存款等</w:t>
      </w:r>
      <w:r>
        <w:rPr>
          <w:rFonts w:hint="eastAsia" w:ascii="宋体" w:hAnsi="宋体" w:eastAsia="宋体" w:cs="宋体"/>
          <w:b w:val="0"/>
          <w:bCs/>
          <w:color w:val="000000" w:themeColor="text1"/>
          <w:sz w:val="21"/>
          <w:szCs w:val="21"/>
          <w14:textFill>
            <w14:solidFill>
              <w14:schemeClr w14:val="tx1"/>
            </w14:solidFill>
          </w14:textFill>
        </w:rPr>
        <w:t>（</w:t>
      </w:r>
      <w:r>
        <w:rPr>
          <w:rFonts w:hint="eastAsia" w:ascii="宋体" w:hAnsi="宋体" w:eastAsia="宋体" w:cs="宋体"/>
          <w:b w:val="0"/>
          <w:bCs/>
          <w:color w:val="000000" w:themeColor="text1"/>
          <w:sz w:val="21"/>
          <w:szCs w:val="21"/>
          <w:lang w:eastAsia="zh-CN"/>
          <w14:textFill>
            <w14:solidFill>
              <w14:schemeClr w14:val="tx1"/>
            </w14:solidFill>
          </w14:textFill>
        </w:rPr>
        <w:t>支付的直接相关税费</w:t>
      </w:r>
      <w:r>
        <w:rPr>
          <w:rFonts w:hint="eastAsia" w:ascii="宋体" w:hAnsi="宋体" w:eastAsia="宋体" w:cs="宋体"/>
          <w:b w:val="0"/>
          <w:bCs/>
          <w:color w:val="000000" w:themeColor="text1"/>
          <w:sz w:val="21"/>
          <w:szCs w:val="21"/>
          <w14:textFill>
            <w14:solidFill>
              <w14:schemeClr w14:val="tx1"/>
            </w14:solidFill>
          </w14:textFill>
        </w:rPr>
        <w:t>）</w:t>
      </w:r>
    </w:p>
    <w:p w14:paraId="68AD7BF5">
      <w:pPr>
        <w:pStyle w:val="3"/>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firstLine="0"/>
        <w:textAlignment w:val="auto"/>
        <w:rPr>
          <w:rFonts w:hint="eastAsia" w:ascii="宋体" w:hAnsi="宋体" w:eastAsia="宋体" w:cs="宋体"/>
          <w:b w:val="0"/>
          <w:bCs/>
          <w:color w:val="FF0000"/>
          <w:sz w:val="21"/>
          <w:szCs w:val="21"/>
          <w:lang w:eastAsia="zh-CN"/>
        </w:rPr>
      </w:pPr>
      <w:r>
        <w:rPr>
          <w:rFonts w:hint="eastAsia" w:ascii="宋体" w:hAnsi="宋体" w:eastAsia="宋体" w:cs="宋体"/>
          <w:b w:val="0"/>
          <w:bCs/>
          <w:color w:val="000000" w:themeColor="text1"/>
          <w:sz w:val="21"/>
          <w:szCs w:val="21"/>
          <w14:textFill>
            <w14:solidFill>
              <w14:schemeClr w14:val="tx1"/>
            </w14:solidFill>
          </w14:textFill>
        </w:rPr>
        <w:t xml:space="preserve">　           </w:t>
      </w:r>
      <w:r>
        <w:rPr>
          <w:rFonts w:hint="eastAsia" w:ascii="宋体" w:hAnsi="宋体" w:eastAsia="宋体" w:cs="宋体"/>
          <w:b w:val="0"/>
          <w:bCs/>
          <w:color w:val="FF0000"/>
          <w:sz w:val="21"/>
          <w:szCs w:val="21"/>
          <w:lang w:eastAsia="zh-CN"/>
        </w:rPr>
        <w:t>投资收益</w:t>
      </w:r>
      <w:r>
        <w:rPr>
          <w:rFonts w:hint="eastAsia" w:ascii="宋体" w:hAnsi="宋体" w:eastAsia="宋体" w:cs="宋体"/>
          <w:b w:val="0"/>
          <w:bCs/>
          <w:color w:val="FF0000"/>
          <w:sz w:val="21"/>
          <w:szCs w:val="21"/>
        </w:rPr>
        <w:t>（</w:t>
      </w:r>
      <w:r>
        <w:rPr>
          <w:rFonts w:hint="eastAsia" w:ascii="宋体" w:hAnsi="宋体" w:eastAsia="宋体" w:cs="宋体"/>
          <w:b w:val="0"/>
          <w:bCs/>
          <w:color w:val="FF0000"/>
          <w:sz w:val="21"/>
          <w:szCs w:val="21"/>
          <w:lang w:eastAsia="zh-CN"/>
        </w:rPr>
        <w:t>放弃债权公允价值与账面价值的差额</w:t>
      </w:r>
      <w:r>
        <w:rPr>
          <w:rFonts w:hint="eastAsia" w:ascii="宋体" w:hAnsi="宋体" w:eastAsia="宋体" w:cs="宋体"/>
          <w:b w:val="0"/>
          <w:bCs/>
          <w:color w:val="FF0000"/>
          <w:sz w:val="21"/>
          <w:szCs w:val="21"/>
        </w:rPr>
        <w:t>）</w:t>
      </w:r>
    </w:p>
    <w:p w14:paraId="3AD5FC59">
      <w:pPr>
        <w:pStyle w:val="3"/>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firstLine="0"/>
        <w:textAlignment w:val="auto"/>
        <w:rPr>
          <w:rFonts w:hint="eastAsia" w:ascii="宋体" w:hAnsi="宋体" w:eastAsia="宋体" w:cs="宋体"/>
          <w:b w:val="0"/>
          <w:bCs/>
          <w:color w:val="FF0000"/>
          <w:sz w:val="21"/>
          <w:szCs w:val="21"/>
          <w:lang w:eastAsia="zh-CN"/>
        </w:rPr>
      </w:pPr>
      <w:r>
        <w:rPr>
          <w:rFonts w:hint="eastAsia" w:ascii="宋体" w:hAnsi="宋体" w:eastAsia="宋体" w:cs="宋体"/>
          <w:b w:val="0"/>
          <w:bCs/>
          <w:color w:val="FF0000"/>
          <w:sz w:val="21"/>
          <w:szCs w:val="21"/>
          <w:lang w:val="en-US" w:eastAsia="zh-CN"/>
        </w:rPr>
        <w:t>2.</w:t>
      </w:r>
      <w:r>
        <w:rPr>
          <w:rFonts w:hint="eastAsia" w:ascii="宋体" w:hAnsi="宋体" w:eastAsia="宋体" w:cs="宋体"/>
          <w:b w:val="0"/>
          <w:bCs/>
          <w:color w:val="FF0000"/>
          <w:sz w:val="21"/>
          <w:szCs w:val="21"/>
          <w:lang w:eastAsia="zh-CN"/>
        </w:rPr>
        <w:t>债权人受让非金融资产</w:t>
      </w:r>
      <w:r>
        <w:rPr>
          <w:rFonts w:hint="eastAsia" w:ascii="宋体" w:hAnsi="宋体" w:eastAsia="宋体" w:cs="宋体"/>
          <w:b w:val="0"/>
          <w:bCs/>
          <w:color w:val="FF0000"/>
          <w:sz w:val="21"/>
          <w:szCs w:val="21"/>
        </w:rPr>
        <w:t>（</w:t>
      </w:r>
      <w:r>
        <w:rPr>
          <w:rFonts w:hint="eastAsia" w:ascii="宋体" w:hAnsi="宋体" w:eastAsia="宋体" w:cs="宋体"/>
          <w:b w:val="0"/>
          <w:bCs/>
          <w:color w:val="FF0000"/>
          <w:sz w:val="21"/>
          <w:szCs w:val="21"/>
          <w:lang w:eastAsia="zh-CN"/>
        </w:rPr>
        <w:t>入账基础</w:t>
      </w:r>
      <w:r>
        <w:rPr>
          <w:rFonts w:hint="eastAsia" w:ascii="宋体" w:hAnsi="宋体" w:eastAsia="宋体" w:cs="宋体"/>
          <w:b w:val="0"/>
          <w:bCs/>
          <w:color w:val="FF0000"/>
          <w:sz w:val="21"/>
          <w:szCs w:val="21"/>
        </w:rPr>
        <w:t>：</w:t>
      </w:r>
      <w:r>
        <w:rPr>
          <w:rFonts w:hint="eastAsia" w:ascii="宋体" w:hAnsi="宋体" w:eastAsia="宋体" w:cs="宋体"/>
          <w:b w:val="0"/>
          <w:bCs/>
          <w:color w:val="FF0000"/>
          <w:sz w:val="21"/>
          <w:szCs w:val="21"/>
          <w:lang w:eastAsia="zh-CN"/>
        </w:rPr>
        <w:t>放弃债权的公允价值</w:t>
      </w:r>
      <w:r>
        <w:rPr>
          <w:rFonts w:hint="eastAsia" w:ascii="宋体" w:hAnsi="宋体" w:eastAsia="宋体" w:cs="宋体"/>
          <w:b w:val="0"/>
          <w:bCs/>
          <w:color w:val="FF0000"/>
          <w:sz w:val="21"/>
          <w:szCs w:val="21"/>
        </w:rPr>
        <w:t>，</w:t>
      </w:r>
      <w:r>
        <w:rPr>
          <w:rFonts w:hint="eastAsia" w:ascii="宋体" w:hAnsi="宋体" w:eastAsia="宋体" w:cs="宋体"/>
          <w:b w:val="0"/>
          <w:bCs/>
          <w:color w:val="FF0000"/>
          <w:sz w:val="21"/>
          <w:szCs w:val="21"/>
          <w:lang w:eastAsia="zh-CN"/>
        </w:rPr>
        <w:t>即债权人付出的代价</w:t>
      </w:r>
      <w:r>
        <w:rPr>
          <w:rFonts w:hint="eastAsia" w:ascii="宋体" w:hAnsi="宋体" w:eastAsia="宋体" w:cs="宋体"/>
          <w:b w:val="0"/>
          <w:bCs/>
          <w:color w:val="FF0000"/>
          <w:sz w:val="21"/>
          <w:szCs w:val="21"/>
        </w:rPr>
        <w:t>）</w:t>
      </w:r>
    </w:p>
    <w:p w14:paraId="750B388A">
      <w:pPr>
        <w:pStyle w:val="3"/>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firstLine="0"/>
        <w:textAlignment w:val="auto"/>
        <w:rPr>
          <w:rFonts w:hint="eastAsia" w:ascii="宋体" w:hAnsi="宋体" w:eastAsia="宋体" w:cs="宋体"/>
          <w:b w:val="0"/>
          <w:bCs/>
          <w:color w:val="FF0000"/>
          <w:sz w:val="21"/>
          <w:szCs w:val="21"/>
          <w:lang w:eastAsia="zh-CN"/>
        </w:rPr>
      </w:pPr>
      <w:r>
        <w:rPr>
          <w:rFonts w:hint="eastAsia" w:ascii="宋体" w:hAnsi="宋体" w:eastAsia="宋体" w:cs="宋体"/>
          <w:b w:val="0"/>
          <w:bCs/>
          <w:color w:val="FF0000"/>
          <w:sz w:val="21"/>
          <w:szCs w:val="21"/>
          <w:lang w:eastAsia="zh-CN"/>
        </w:rPr>
        <w:t>受让非金融资产成本</w:t>
      </w:r>
      <w:r>
        <w:rPr>
          <w:rFonts w:hint="eastAsia" w:ascii="宋体" w:hAnsi="宋体" w:eastAsia="宋体" w:cs="宋体"/>
          <w:b w:val="0"/>
          <w:bCs/>
          <w:color w:val="FF0000"/>
          <w:sz w:val="21"/>
          <w:szCs w:val="21"/>
          <w:lang w:val="en-US" w:eastAsia="zh-CN"/>
        </w:rPr>
        <w:t>=</w:t>
      </w:r>
      <w:r>
        <w:rPr>
          <w:rFonts w:hint="eastAsia" w:ascii="宋体" w:hAnsi="宋体" w:eastAsia="宋体" w:cs="宋体"/>
          <w:b w:val="0"/>
          <w:bCs/>
          <w:color w:val="FF0000"/>
          <w:sz w:val="21"/>
          <w:szCs w:val="21"/>
          <w:lang w:eastAsia="zh-CN"/>
        </w:rPr>
        <w:t>放弃债权的公允价值</w:t>
      </w:r>
      <w:r>
        <w:rPr>
          <w:rFonts w:hint="eastAsia" w:ascii="宋体" w:hAnsi="宋体" w:eastAsia="宋体" w:cs="宋体"/>
          <w:b w:val="0"/>
          <w:bCs/>
          <w:color w:val="FF0000"/>
          <w:sz w:val="21"/>
          <w:szCs w:val="21"/>
          <w:lang w:val="en-US" w:eastAsia="zh-CN"/>
        </w:rPr>
        <w:t>+</w:t>
      </w:r>
      <w:r>
        <w:rPr>
          <w:rFonts w:hint="eastAsia" w:ascii="宋体" w:hAnsi="宋体" w:eastAsia="宋体" w:cs="宋体"/>
          <w:b w:val="0"/>
          <w:bCs/>
          <w:color w:val="FF0000"/>
          <w:sz w:val="21"/>
          <w:szCs w:val="21"/>
          <w:lang w:eastAsia="zh-CN"/>
        </w:rPr>
        <w:t>直接相关税费</w:t>
      </w:r>
    </w:p>
    <w:p w14:paraId="35C956D2">
      <w:pPr>
        <w:pStyle w:val="3"/>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firstLine="0"/>
        <w:textAlignment w:val="auto"/>
        <w:rPr>
          <w:rFonts w:hint="eastAsia" w:ascii="宋体" w:hAnsi="宋体" w:eastAsia="宋体" w:cs="宋体"/>
          <w:b w:val="0"/>
          <w:bCs/>
          <w:color w:val="FF0000"/>
          <w:sz w:val="21"/>
          <w:szCs w:val="21"/>
          <w:lang w:eastAsia="zh-CN"/>
        </w:rPr>
      </w:pPr>
      <w:r>
        <w:rPr>
          <w:rFonts w:hint="eastAsia" w:ascii="宋体" w:hAnsi="宋体" w:eastAsia="宋体" w:cs="宋体"/>
          <w:b w:val="0"/>
          <w:bCs/>
          <w:color w:val="FF0000"/>
          <w:sz w:val="21"/>
          <w:szCs w:val="21"/>
          <w:lang w:eastAsia="zh-CN"/>
        </w:rPr>
        <w:t>放弃债权的公允价值与账面价值之间的差额</w:t>
      </w:r>
      <w:r>
        <w:rPr>
          <w:rFonts w:hint="eastAsia" w:ascii="宋体" w:hAnsi="宋体" w:eastAsia="宋体" w:cs="宋体"/>
          <w:b w:val="0"/>
          <w:bCs/>
          <w:color w:val="FF0000"/>
          <w:sz w:val="21"/>
          <w:szCs w:val="21"/>
        </w:rPr>
        <w:t>，</w:t>
      </w:r>
      <w:r>
        <w:rPr>
          <w:rFonts w:hint="eastAsia" w:ascii="宋体" w:hAnsi="宋体" w:eastAsia="宋体" w:cs="宋体"/>
          <w:b w:val="0"/>
          <w:bCs/>
          <w:color w:val="FF0000"/>
          <w:sz w:val="21"/>
          <w:szCs w:val="21"/>
          <w:lang w:eastAsia="zh-CN"/>
        </w:rPr>
        <w:t>应当计入当期损益</w:t>
      </w:r>
      <w:r>
        <w:rPr>
          <w:rFonts w:hint="eastAsia" w:ascii="宋体" w:hAnsi="宋体" w:eastAsia="宋体" w:cs="宋体"/>
          <w:b w:val="0"/>
          <w:bCs/>
          <w:color w:val="FF0000"/>
          <w:sz w:val="21"/>
          <w:szCs w:val="21"/>
        </w:rPr>
        <w:t>（</w:t>
      </w:r>
      <w:r>
        <w:rPr>
          <w:rFonts w:hint="eastAsia" w:ascii="宋体" w:hAnsi="宋体" w:eastAsia="宋体" w:cs="宋体"/>
          <w:b w:val="0"/>
          <w:bCs/>
          <w:color w:val="FF0000"/>
          <w:sz w:val="21"/>
          <w:szCs w:val="21"/>
          <w:lang w:eastAsia="zh-CN"/>
        </w:rPr>
        <w:t>投资收益</w:t>
      </w:r>
      <w:r>
        <w:rPr>
          <w:rFonts w:hint="eastAsia" w:ascii="宋体" w:hAnsi="宋体" w:eastAsia="宋体" w:cs="宋体"/>
          <w:b w:val="0"/>
          <w:bCs/>
          <w:color w:val="FF0000"/>
          <w:sz w:val="21"/>
          <w:szCs w:val="21"/>
        </w:rPr>
        <w:t>）</w:t>
      </w:r>
      <w:r>
        <w:rPr>
          <w:rFonts w:hint="eastAsia" w:ascii="宋体" w:hAnsi="宋体" w:eastAsia="宋体" w:cs="宋体"/>
          <w:b w:val="0"/>
          <w:bCs/>
          <w:color w:val="FF0000"/>
          <w:sz w:val="21"/>
          <w:szCs w:val="21"/>
          <w:lang w:eastAsia="zh-CN"/>
        </w:rPr>
        <w:t>。</w:t>
      </w:r>
    </w:p>
    <w:p w14:paraId="7818B301">
      <w:pPr>
        <w:pStyle w:val="3"/>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firstLine="0"/>
        <w:textAlignment w:val="auto"/>
        <w:rPr>
          <w:rFonts w:hint="eastAsia" w:ascii="宋体" w:hAnsi="宋体" w:eastAsia="宋体" w:cs="宋体"/>
          <w:b w:val="0"/>
          <w:bCs/>
          <w:color w:val="000000" w:themeColor="text1"/>
          <w:sz w:val="21"/>
          <w:szCs w:val="21"/>
          <w:lang w:eastAsia="zh-CN"/>
          <w14:textFill>
            <w14:solidFill>
              <w14:schemeClr w14:val="tx1"/>
            </w14:solidFill>
          </w14:textFill>
        </w:rPr>
      </w:pPr>
      <w:r>
        <w:rPr>
          <w:rFonts w:hint="eastAsia" w:ascii="宋体" w:hAnsi="宋体" w:eastAsia="宋体" w:cs="宋体"/>
          <w:b w:val="0"/>
          <w:bCs/>
          <w:color w:val="000000" w:themeColor="text1"/>
          <w:sz w:val="21"/>
          <w:szCs w:val="21"/>
          <w:lang w:eastAsia="zh-CN"/>
          <w14:textFill>
            <w14:solidFill>
              <w14:schemeClr w14:val="tx1"/>
            </w14:solidFill>
          </w14:textFill>
        </w:rPr>
        <w:t>借</w:t>
      </w:r>
      <w:r>
        <w:rPr>
          <w:rFonts w:hint="eastAsia" w:ascii="宋体" w:hAnsi="宋体" w:eastAsia="宋体" w:cs="宋体"/>
          <w:b w:val="0"/>
          <w:bCs/>
          <w:color w:val="000000" w:themeColor="text1"/>
          <w:sz w:val="21"/>
          <w:szCs w:val="21"/>
          <w14:textFill>
            <w14:solidFill>
              <w14:schemeClr w14:val="tx1"/>
            </w14:solidFill>
          </w14:textFill>
        </w:rPr>
        <w:t>：</w:t>
      </w:r>
      <w:r>
        <w:rPr>
          <w:rFonts w:hint="eastAsia" w:ascii="宋体" w:hAnsi="宋体" w:eastAsia="宋体" w:cs="宋体"/>
          <w:b w:val="0"/>
          <w:bCs/>
          <w:color w:val="000000" w:themeColor="text1"/>
          <w:sz w:val="21"/>
          <w:szCs w:val="21"/>
          <w:lang w:eastAsia="zh-CN"/>
          <w14:textFill>
            <w14:solidFill>
              <w14:schemeClr w14:val="tx1"/>
            </w14:solidFill>
          </w14:textFill>
        </w:rPr>
        <w:t>××非金融资产</w:t>
      </w:r>
      <w:r>
        <w:rPr>
          <w:rFonts w:hint="eastAsia" w:ascii="宋体" w:hAnsi="宋体" w:eastAsia="宋体" w:cs="宋体"/>
          <w:b w:val="0"/>
          <w:bCs/>
          <w:color w:val="000000" w:themeColor="text1"/>
          <w:sz w:val="21"/>
          <w:szCs w:val="21"/>
          <w14:textFill>
            <w14:solidFill>
              <w14:schemeClr w14:val="tx1"/>
            </w14:solidFill>
          </w14:textFill>
        </w:rPr>
        <w:t>（</w:t>
      </w:r>
      <w:r>
        <w:rPr>
          <w:rFonts w:hint="eastAsia" w:ascii="宋体" w:hAnsi="宋体" w:eastAsia="宋体" w:cs="宋体"/>
          <w:b w:val="0"/>
          <w:bCs/>
          <w:color w:val="000000" w:themeColor="text1"/>
          <w:sz w:val="21"/>
          <w:szCs w:val="21"/>
          <w:lang w:eastAsia="zh-CN"/>
          <w14:textFill>
            <w14:solidFill>
              <w14:schemeClr w14:val="tx1"/>
            </w14:solidFill>
          </w14:textFill>
        </w:rPr>
        <w:t>原材料、长期股权投资、投资性房地产、固定资产、生物资产、无形资产等</w:t>
      </w:r>
      <w:r>
        <w:rPr>
          <w:rFonts w:hint="eastAsia" w:ascii="宋体" w:hAnsi="宋体" w:eastAsia="宋体" w:cs="宋体"/>
          <w:b w:val="0"/>
          <w:bCs/>
          <w:color w:val="000000" w:themeColor="text1"/>
          <w:sz w:val="21"/>
          <w:szCs w:val="21"/>
          <w14:textFill>
            <w14:solidFill>
              <w14:schemeClr w14:val="tx1"/>
            </w14:solidFill>
          </w14:textFill>
        </w:rPr>
        <w:t>）</w:t>
      </w:r>
      <w:r>
        <w:rPr>
          <w:rFonts w:hint="eastAsia" w:ascii="宋体" w:hAnsi="宋体" w:eastAsia="宋体" w:cs="宋体"/>
          <w:b w:val="0"/>
          <w:bCs/>
          <w:color w:val="000000" w:themeColor="text1"/>
          <w:sz w:val="21"/>
          <w:szCs w:val="21"/>
          <w:lang w:eastAsia="zh-CN"/>
          <w14:textFill>
            <w14:solidFill>
              <w14:schemeClr w14:val="tx1"/>
            </w14:solidFill>
          </w14:textFill>
        </w:rPr>
        <w:t xml:space="preserve"> </w:t>
      </w:r>
      <w:r>
        <w:rPr>
          <w:rFonts w:hint="eastAsia" w:ascii="宋体" w:hAnsi="宋体" w:eastAsia="宋体" w:cs="宋体"/>
          <w:b w:val="0"/>
          <w:bCs/>
          <w:color w:val="000000" w:themeColor="text1"/>
          <w:sz w:val="21"/>
          <w:szCs w:val="21"/>
          <w14:textFill>
            <w14:solidFill>
              <w14:schemeClr w14:val="tx1"/>
            </w14:solidFill>
          </w14:textFill>
        </w:rPr>
        <w:t>（</w:t>
      </w:r>
      <w:r>
        <w:rPr>
          <w:rFonts w:hint="eastAsia" w:ascii="宋体" w:hAnsi="宋体" w:eastAsia="宋体" w:cs="宋体"/>
          <w:b w:val="0"/>
          <w:bCs/>
          <w:color w:val="000000" w:themeColor="text1"/>
          <w:sz w:val="21"/>
          <w:szCs w:val="21"/>
          <w:lang w:eastAsia="zh-CN"/>
          <w14:textFill>
            <w14:solidFill>
              <w14:schemeClr w14:val="tx1"/>
            </w14:solidFill>
          </w14:textFill>
        </w:rPr>
        <w:t>放弃债权的公允价值</w:t>
      </w:r>
      <w:r>
        <w:rPr>
          <w:rFonts w:hint="eastAsia" w:ascii="宋体" w:hAnsi="宋体" w:eastAsia="宋体" w:cs="宋体"/>
          <w:b w:val="0"/>
          <w:bCs/>
          <w:color w:val="000000" w:themeColor="text1"/>
          <w:sz w:val="21"/>
          <w:szCs w:val="21"/>
          <w:lang w:val="en-US" w:eastAsia="zh-CN"/>
          <w14:textFill>
            <w14:solidFill>
              <w14:schemeClr w14:val="tx1"/>
            </w14:solidFill>
          </w14:textFill>
        </w:rPr>
        <w:t>-</w:t>
      </w:r>
      <w:r>
        <w:rPr>
          <w:rFonts w:hint="eastAsia" w:ascii="宋体" w:hAnsi="宋体" w:eastAsia="宋体" w:cs="宋体"/>
          <w:b w:val="0"/>
          <w:bCs/>
          <w:color w:val="000000" w:themeColor="text1"/>
          <w:sz w:val="21"/>
          <w:szCs w:val="21"/>
          <w:lang w:eastAsia="zh-CN"/>
          <w14:textFill>
            <w14:solidFill>
              <w14:schemeClr w14:val="tx1"/>
            </w14:solidFill>
          </w14:textFill>
        </w:rPr>
        <w:t>金融资产公允价值后的净额</w:t>
      </w:r>
      <w:r>
        <w:rPr>
          <w:rFonts w:hint="eastAsia" w:ascii="宋体" w:hAnsi="宋体" w:eastAsia="宋体" w:cs="宋体"/>
          <w:b w:val="0"/>
          <w:bCs/>
          <w:color w:val="000000" w:themeColor="text1"/>
          <w:sz w:val="21"/>
          <w:szCs w:val="21"/>
          <w14:textFill>
            <w14:solidFill>
              <w14:schemeClr w14:val="tx1"/>
            </w14:solidFill>
          </w14:textFill>
        </w:rPr>
        <w:t>，</w:t>
      </w:r>
      <w:r>
        <w:rPr>
          <w:rFonts w:hint="eastAsia" w:ascii="宋体" w:hAnsi="宋体" w:eastAsia="宋体" w:cs="宋体"/>
          <w:b w:val="0"/>
          <w:bCs/>
          <w:color w:val="000000" w:themeColor="text1"/>
          <w:sz w:val="21"/>
          <w:szCs w:val="21"/>
          <w:lang w:eastAsia="zh-CN"/>
          <w14:textFill>
            <w14:solidFill>
              <w14:schemeClr w14:val="tx1"/>
            </w14:solidFill>
          </w14:textFill>
        </w:rPr>
        <w:t>按各自的公允价值比例进行分配</w:t>
      </w:r>
      <w:r>
        <w:rPr>
          <w:rFonts w:hint="eastAsia" w:ascii="宋体" w:hAnsi="宋体" w:eastAsia="宋体" w:cs="宋体"/>
          <w:b w:val="0"/>
          <w:bCs/>
          <w:color w:val="000000" w:themeColor="text1"/>
          <w:sz w:val="21"/>
          <w:szCs w:val="21"/>
          <w14:textFill>
            <w14:solidFill>
              <w14:schemeClr w14:val="tx1"/>
            </w14:solidFill>
          </w14:textFill>
        </w:rPr>
        <w:t>，</w:t>
      </w:r>
      <w:r>
        <w:rPr>
          <w:rFonts w:hint="eastAsia" w:ascii="宋体" w:hAnsi="宋体" w:eastAsia="宋体" w:cs="宋体"/>
          <w:b w:val="0"/>
          <w:bCs/>
          <w:color w:val="000000" w:themeColor="text1"/>
          <w:sz w:val="21"/>
          <w:szCs w:val="21"/>
          <w:lang w:eastAsia="zh-CN"/>
          <w14:textFill>
            <w14:solidFill>
              <w14:schemeClr w14:val="tx1"/>
            </w14:solidFill>
          </w14:textFill>
        </w:rPr>
        <w:t>即受让的多项非金融资产入账价值总额×</w:t>
      </w:r>
      <w:r>
        <w:rPr>
          <w:rFonts w:hint="eastAsia" w:ascii="宋体" w:hAnsi="宋体" w:eastAsia="宋体" w:cs="宋体"/>
          <w:b w:val="0"/>
          <w:bCs/>
          <w:i w:val="0"/>
          <w:iCs/>
          <w:color w:val="000000" w:themeColor="text1"/>
          <w:sz w:val="21"/>
          <w:szCs w:val="21"/>
          <w:lang w:val="en-US" w:eastAsia="zh-CN"/>
          <w14:textFill>
            <w14:solidFill>
              <w14:schemeClr w14:val="tx1"/>
            </w14:solidFill>
          </w14:textFill>
        </w:rPr>
        <w:t>﷐</w:t>
      </w:r>
      <w:r>
        <w:rPr>
          <w:rFonts w:hint="eastAsia" w:ascii="宋体" w:hAnsi="宋体" w:eastAsia="宋体" w:cs="宋体"/>
          <w:b w:val="0"/>
          <w:bCs/>
          <w:color w:val="000000" w:themeColor="text1"/>
          <w:sz w:val="21"/>
          <w:szCs w:val="21"/>
          <w14:textFill>
            <w14:solidFill>
              <w14:schemeClr w14:val="tx1"/>
            </w14:solidFill>
          </w14:textFill>
        </w:rPr>
        <w:t>该项非金融资产的公允价值</w:t>
      </w:r>
      <w:r>
        <w:rPr>
          <w:rFonts w:hint="eastAsia" w:ascii="宋体" w:hAnsi="宋体" w:eastAsia="宋体" w:cs="宋体"/>
          <w:b w:val="0"/>
          <w:bCs/>
          <w:color w:val="000000" w:themeColor="text1"/>
          <w:sz w:val="21"/>
          <w:szCs w:val="21"/>
          <w:lang w:val="en-US" w:eastAsia="zh-CN"/>
          <w14:textFill>
            <w14:solidFill>
              <w14:schemeClr w14:val="tx1"/>
            </w14:solidFill>
          </w14:textFill>
        </w:rPr>
        <w:t>/</w:t>
      </w:r>
      <w:r>
        <w:rPr>
          <w:rFonts w:hint="eastAsia" w:ascii="宋体" w:hAnsi="宋体" w:eastAsia="宋体" w:cs="宋体"/>
          <w:b w:val="0"/>
          <w:bCs/>
          <w:color w:val="000000" w:themeColor="text1"/>
          <w:sz w:val="21"/>
          <w:szCs w:val="21"/>
          <w14:textFill>
            <w14:solidFill>
              <w14:schemeClr w14:val="tx1"/>
            </w14:solidFill>
          </w14:textFill>
        </w:rPr>
        <w:t>受让的多项非金融资产公允价值总额）（</w:t>
      </w:r>
      <w:r>
        <w:rPr>
          <w:rFonts w:hint="eastAsia" w:ascii="宋体" w:hAnsi="宋体" w:eastAsia="宋体" w:cs="宋体"/>
          <w:b w:val="0"/>
          <w:bCs/>
          <w:color w:val="000000" w:themeColor="text1"/>
          <w:sz w:val="21"/>
          <w:szCs w:val="21"/>
          <w:lang w:eastAsia="zh-CN"/>
          <w14:textFill>
            <w14:solidFill>
              <w14:schemeClr w14:val="tx1"/>
            </w14:solidFill>
          </w14:textFill>
        </w:rPr>
        <w:t>放弃债权公允价值</w:t>
      </w:r>
      <w:r>
        <w:rPr>
          <w:rFonts w:hint="eastAsia" w:ascii="宋体" w:hAnsi="宋体" w:eastAsia="宋体" w:cs="宋体"/>
          <w:b w:val="0"/>
          <w:bCs/>
          <w:color w:val="000000" w:themeColor="text1"/>
          <w:sz w:val="21"/>
          <w:szCs w:val="21"/>
          <w:lang w:val="en-US" w:eastAsia="zh-CN"/>
          <w14:textFill>
            <w14:solidFill>
              <w14:schemeClr w14:val="tx1"/>
            </w14:solidFill>
          </w14:textFill>
        </w:rPr>
        <w:t>-</w:t>
      </w:r>
      <w:r>
        <w:rPr>
          <w:rFonts w:hint="eastAsia" w:ascii="宋体" w:hAnsi="宋体" w:eastAsia="宋体" w:cs="宋体"/>
          <w:b w:val="0"/>
          <w:bCs/>
          <w:color w:val="000000" w:themeColor="text1"/>
          <w:sz w:val="21"/>
          <w:szCs w:val="21"/>
          <w:lang w:eastAsia="zh-CN"/>
          <w14:textFill>
            <w14:solidFill>
              <w14:schemeClr w14:val="tx1"/>
            </w14:solidFill>
          </w14:textFill>
        </w:rPr>
        <w:t>增值税进项税额</w:t>
      </w:r>
      <w:r>
        <w:rPr>
          <w:rFonts w:hint="eastAsia" w:ascii="宋体" w:hAnsi="宋体" w:eastAsia="宋体" w:cs="宋体"/>
          <w:b w:val="0"/>
          <w:bCs/>
          <w:color w:val="000000" w:themeColor="text1"/>
          <w:sz w:val="21"/>
          <w:szCs w:val="21"/>
          <w:lang w:val="en-US" w:eastAsia="zh-CN"/>
          <w14:textFill>
            <w14:solidFill>
              <w14:schemeClr w14:val="tx1"/>
            </w14:solidFill>
          </w14:textFill>
        </w:rPr>
        <w:t>+</w:t>
      </w:r>
      <w:r>
        <w:rPr>
          <w:rFonts w:hint="eastAsia" w:ascii="宋体" w:hAnsi="宋体" w:eastAsia="宋体" w:cs="宋体"/>
          <w:b w:val="0"/>
          <w:bCs/>
          <w:color w:val="000000" w:themeColor="text1"/>
          <w:sz w:val="21"/>
          <w:szCs w:val="21"/>
          <w:lang w:eastAsia="zh-CN"/>
          <w14:textFill>
            <w14:solidFill>
              <w14:schemeClr w14:val="tx1"/>
            </w14:solidFill>
          </w14:textFill>
        </w:rPr>
        <w:t>直接相关税费</w:t>
      </w:r>
      <w:r>
        <w:rPr>
          <w:rFonts w:hint="eastAsia" w:ascii="宋体" w:hAnsi="宋体" w:eastAsia="宋体" w:cs="宋体"/>
          <w:b w:val="0"/>
          <w:bCs/>
          <w:color w:val="000000" w:themeColor="text1"/>
          <w:sz w:val="21"/>
          <w:szCs w:val="21"/>
          <w14:textFill>
            <w14:solidFill>
              <w14:schemeClr w14:val="tx1"/>
            </w14:solidFill>
          </w14:textFill>
        </w:rPr>
        <w:t>）</w:t>
      </w:r>
    </w:p>
    <w:p w14:paraId="78D6E1CD">
      <w:pPr>
        <w:pStyle w:val="3"/>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firstLine="0"/>
        <w:textAlignment w:val="auto"/>
        <w:rPr>
          <w:rFonts w:hint="eastAsia" w:ascii="宋体" w:hAnsi="宋体" w:eastAsia="宋体" w:cs="宋体"/>
          <w:b w:val="0"/>
          <w:bCs/>
          <w:color w:val="000000" w:themeColor="text1"/>
          <w:sz w:val="21"/>
          <w:szCs w:val="21"/>
          <w:lang w:eastAsia="zh-CN"/>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　　</w:t>
      </w:r>
      <w:r>
        <w:rPr>
          <w:rFonts w:hint="eastAsia" w:ascii="宋体" w:hAnsi="宋体" w:eastAsia="宋体" w:cs="宋体"/>
          <w:b w:val="0"/>
          <w:bCs/>
          <w:color w:val="000000" w:themeColor="text1"/>
          <w:sz w:val="21"/>
          <w:szCs w:val="21"/>
          <w:lang w:eastAsia="zh-CN"/>
          <w14:textFill>
            <w14:solidFill>
              <w14:schemeClr w14:val="tx1"/>
            </w14:solidFill>
          </w14:textFill>
        </w:rPr>
        <w:t>应交税费</w:t>
      </w:r>
      <w:r>
        <w:rPr>
          <w:rFonts w:hint="eastAsia" w:ascii="宋体" w:hAnsi="宋体" w:eastAsia="宋体" w:cs="宋体"/>
          <w:b w:val="0"/>
          <w:bCs/>
          <w:color w:val="000000" w:themeColor="text1"/>
          <w:sz w:val="21"/>
          <w:szCs w:val="21"/>
          <w:lang w:val="en-US" w:eastAsia="zh-CN"/>
          <w14:textFill>
            <w14:solidFill>
              <w14:schemeClr w14:val="tx1"/>
            </w14:solidFill>
          </w14:textFill>
        </w:rPr>
        <w:t>——</w:t>
      </w:r>
      <w:r>
        <w:rPr>
          <w:rFonts w:hint="eastAsia" w:ascii="宋体" w:hAnsi="宋体" w:eastAsia="宋体" w:cs="宋体"/>
          <w:b w:val="0"/>
          <w:bCs/>
          <w:color w:val="000000" w:themeColor="text1"/>
          <w:sz w:val="21"/>
          <w:szCs w:val="21"/>
          <w:lang w:eastAsia="zh-CN"/>
          <w14:textFill>
            <w14:solidFill>
              <w14:schemeClr w14:val="tx1"/>
            </w14:solidFill>
          </w14:textFill>
        </w:rPr>
        <w:t>应交增值税</w:t>
      </w:r>
      <w:r>
        <w:rPr>
          <w:rFonts w:hint="eastAsia" w:ascii="宋体" w:hAnsi="宋体" w:eastAsia="宋体" w:cs="宋体"/>
          <w:b w:val="0"/>
          <w:bCs/>
          <w:color w:val="000000" w:themeColor="text1"/>
          <w:sz w:val="21"/>
          <w:szCs w:val="21"/>
          <w14:textFill>
            <w14:solidFill>
              <w14:schemeClr w14:val="tx1"/>
            </w14:solidFill>
          </w14:textFill>
        </w:rPr>
        <w:t>（</w:t>
      </w:r>
      <w:r>
        <w:rPr>
          <w:rFonts w:hint="eastAsia" w:ascii="宋体" w:hAnsi="宋体" w:eastAsia="宋体" w:cs="宋体"/>
          <w:b w:val="0"/>
          <w:bCs/>
          <w:color w:val="000000" w:themeColor="text1"/>
          <w:sz w:val="21"/>
          <w:szCs w:val="21"/>
          <w:lang w:eastAsia="zh-CN"/>
          <w14:textFill>
            <w14:solidFill>
              <w14:schemeClr w14:val="tx1"/>
            </w14:solidFill>
          </w14:textFill>
        </w:rPr>
        <w:t>进项税额</w:t>
      </w:r>
      <w:r>
        <w:rPr>
          <w:rFonts w:hint="eastAsia" w:ascii="宋体" w:hAnsi="宋体" w:eastAsia="宋体" w:cs="宋体"/>
          <w:b w:val="0"/>
          <w:bCs/>
          <w:color w:val="000000" w:themeColor="text1"/>
          <w:sz w:val="21"/>
          <w:szCs w:val="21"/>
          <w14:textFill>
            <w14:solidFill>
              <w14:schemeClr w14:val="tx1"/>
            </w14:solidFill>
          </w14:textFill>
        </w:rPr>
        <w:t>）</w:t>
      </w:r>
    </w:p>
    <w:p w14:paraId="523F4E0B">
      <w:pPr>
        <w:pStyle w:val="3"/>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firstLine="0"/>
        <w:textAlignment w:val="auto"/>
        <w:rPr>
          <w:rFonts w:hint="eastAsia" w:ascii="宋体" w:hAnsi="宋体" w:eastAsia="宋体" w:cs="宋体"/>
          <w:b w:val="0"/>
          <w:bCs/>
          <w:color w:val="000000" w:themeColor="text1"/>
          <w:sz w:val="21"/>
          <w:szCs w:val="21"/>
          <w:lang w:eastAsia="zh-CN"/>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　　</w:t>
      </w:r>
      <w:r>
        <w:rPr>
          <w:rFonts w:hint="eastAsia" w:ascii="宋体" w:hAnsi="宋体" w:eastAsia="宋体" w:cs="宋体"/>
          <w:b w:val="0"/>
          <w:bCs/>
          <w:color w:val="000000" w:themeColor="text1"/>
          <w:sz w:val="21"/>
          <w:szCs w:val="21"/>
          <w:lang w:eastAsia="zh-CN"/>
          <w14:textFill>
            <w14:solidFill>
              <w14:schemeClr w14:val="tx1"/>
            </w14:solidFill>
          </w14:textFill>
        </w:rPr>
        <w:t>坏账准备</w:t>
      </w:r>
    </w:p>
    <w:p w14:paraId="683F9352">
      <w:pPr>
        <w:pStyle w:val="3"/>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firstLine="0"/>
        <w:textAlignment w:val="auto"/>
        <w:rPr>
          <w:rFonts w:hint="eastAsia" w:ascii="宋体" w:hAnsi="宋体" w:eastAsia="宋体" w:cs="宋体"/>
          <w:b w:val="0"/>
          <w:bCs/>
          <w:color w:val="000000" w:themeColor="text1"/>
          <w:sz w:val="21"/>
          <w:szCs w:val="21"/>
          <w:lang w:eastAsia="zh-CN"/>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　　</w:t>
      </w:r>
      <w:r>
        <w:rPr>
          <w:rFonts w:hint="eastAsia" w:ascii="宋体" w:hAnsi="宋体" w:eastAsia="宋体" w:cs="宋体"/>
          <w:b w:val="0"/>
          <w:bCs/>
          <w:color w:val="000000" w:themeColor="text1"/>
          <w:sz w:val="21"/>
          <w:szCs w:val="21"/>
          <w:lang w:eastAsia="zh-CN"/>
          <w14:textFill>
            <w14:solidFill>
              <w14:schemeClr w14:val="tx1"/>
            </w14:solidFill>
          </w14:textFill>
        </w:rPr>
        <w:t>贷</w:t>
      </w:r>
      <w:r>
        <w:rPr>
          <w:rFonts w:hint="eastAsia" w:ascii="宋体" w:hAnsi="宋体" w:eastAsia="宋体" w:cs="宋体"/>
          <w:b w:val="0"/>
          <w:bCs/>
          <w:color w:val="000000" w:themeColor="text1"/>
          <w:sz w:val="21"/>
          <w:szCs w:val="21"/>
          <w14:textFill>
            <w14:solidFill>
              <w14:schemeClr w14:val="tx1"/>
            </w14:solidFill>
          </w14:textFill>
        </w:rPr>
        <w:t>：</w:t>
      </w:r>
      <w:r>
        <w:rPr>
          <w:rFonts w:hint="eastAsia" w:ascii="宋体" w:hAnsi="宋体" w:eastAsia="宋体" w:cs="宋体"/>
          <w:b w:val="0"/>
          <w:bCs/>
          <w:color w:val="000000" w:themeColor="text1"/>
          <w:sz w:val="21"/>
          <w:szCs w:val="21"/>
          <w:lang w:eastAsia="zh-CN"/>
          <w14:textFill>
            <w14:solidFill>
              <w14:schemeClr w14:val="tx1"/>
            </w14:solidFill>
          </w14:textFill>
        </w:rPr>
        <w:t>应收账款等</w:t>
      </w:r>
    </w:p>
    <w:p w14:paraId="422271D5">
      <w:pPr>
        <w:pStyle w:val="3"/>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firstLine="0"/>
        <w:textAlignment w:val="auto"/>
        <w:rPr>
          <w:rFonts w:hint="eastAsia" w:ascii="宋体" w:hAnsi="宋体" w:eastAsia="宋体" w:cs="宋体"/>
          <w:b w:val="0"/>
          <w:bCs/>
          <w:color w:val="000000" w:themeColor="text1"/>
          <w:sz w:val="21"/>
          <w:szCs w:val="21"/>
          <w:lang w:eastAsia="zh-CN"/>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 xml:space="preserve">           　</w:t>
      </w:r>
      <w:r>
        <w:rPr>
          <w:rFonts w:hint="eastAsia" w:ascii="宋体" w:hAnsi="宋体" w:eastAsia="宋体" w:cs="宋体"/>
          <w:b w:val="0"/>
          <w:bCs/>
          <w:color w:val="000000" w:themeColor="text1"/>
          <w:sz w:val="21"/>
          <w:szCs w:val="21"/>
          <w:lang w:eastAsia="zh-CN"/>
          <w14:textFill>
            <w14:solidFill>
              <w14:schemeClr w14:val="tx1"/>
            </w14:solidFill>
          </w14:textFill>
        </w:rPr>
        <w:t>银行存款等</w:t>
      </w:r>
      <w:r>
        <w:rPr>
          <w:rFonts w:hint="eastAsia" w:ascii="宋体" w:hAnsi="宋体" w:eastAsia="宋体" w:cs="宋体"/>
          <w:b w:val="0"/>
          <w:bCs/>
          <w:color w:val="000000" w:themeColor="text1"/>
          <w:sz w:val="21"/>
          <w:szCs w:val="21"/>
          <w14:textFill>
            <w14:solidFill>
              <w14:schemeClr w14:val="tx1"/>
            </w14:solidFill>
          </w14:textFill>
        </w:rPr>
        <w:t>（</w:t>
      </w:r>
      <w:r>
        <w:rPr>
          <w:rFonts w:hint="eastAsia" w:ascii="宋体" w:hAnsi="宋体" w:eastAsia="宋体" w:cs="宋体"/>
          <w:b w:val="0"/>
          <w:bCs/>
          <w:color w:val="000000" w:themeColor="text1"/>
          <w:sz w:val="21"/>
          <w:szCs w:val="21"/>
          <w:lang w:eastAsia="zh-CN"/>
          <w14:textFill>
            <w14:solidFill>
              <w14:schemeClr w14:val="tx1"/>
            </w14:solidFill>
          </w14:textFill>
        </w:rPr>
        <w:t>支付的直接相关税费</w:t>
      </w:r>
      <w:r>
        <w:rPr>
          <w:rFonts w:hint="eastAsia" w:ascii="宋体" w:hAnsi="宋体" w:eastAsia="宋体" w:cs="宋体"/>
          <w:b w:val="0"/>
          <w:bCs/>
          <w:color w:val="000000" w:themeColor="text1"/>
          <w:sz w:val="21"/>
          <w:szCs w:val="21"/>
          <w14:textFill>
            <w14:solidFill>
              <w14:schemeClr w14:val="tx1"/>
            </w14:solidFill>
          </w14:textFill>
        </w:rPr>
        <w:t>）</w:t>
      </w:r>
    </w:p>
    <w:p w14:paraId="116777BC">
      <w:pPr>
        <w:pStyle w:val="3"/>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firstLine="0"/>
        <w:textAlignment w:val="auto"/>
        <w:rPr>
          <w:rFonts w:hint="eastAsia" w:ascii="宋体" w:hAnsi="宋体" w:eastAsia="宋体" w:cs="宋体"/>
          <w:b w:val="0"/>
          <w:bCs/>
          <w:color w:val="000000" w:themeColor="text1"/>
          <w:sz w:val="21"/>
          <w:szCs w:val="21"/>
          <w:lang w:eastAsia="zh-CN"/>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 xml:space="preserve">　           </w:t>
      </w:r>
      <w:r>
        <w:rPr>
          <w:rFonts w:hint="eastAsia" w:ascii="宋体" w:hAnsi="宋体" w:eastAsia="宋体" w:cs="宋体"/>
          <w:b w:val="0"/>
          <w:bCs/>
          <w:color w:val="000000" w:themeColor="text1"/>
          <w:sz w:val="21"/>
          <w:szCs w:val="21"/>
          <w:lang w:eastAsia="zh-CN"/>
          <w14:textFill>
            <w14:solidFill>
              <w14:schemeClr w14:val="tx1"/>
            </w14:solidFill>
          </w14:textFill>
        </w:rPr>
        <w:t>投资收益</w:t>
      </w:r>
      <w:r>
        <w:rPr>
          <w:rFonts w:hint="eastAsia" w:ascii="宋体" w:hAnsi="宋体" w:eastAsia="宋体" w:cs="宋体"/>
          <w:b w:val="0"/>
          <w:bCs/>
          <w:color w:val="000000" w:themeColor="text1"/>
          <w:sz w:val="21"/>
          <w:szCs w:val="21"/>
          <w14:textFill>
            <w14:solidFill>
              <w14:schemeClr w14:val="tx1"/>
            </w14:solidFill>
          </w14:textFill>
        </w:rPr>
        <w:t>（</w:t>
      </w:r>
      <w:r>
        <w:rPr>
          <w:rFonts w:hint="eastAsia" w:ascii="宋体" w:hAnsi="宋体" w:eastAsia="宋体" w:cs="宋体"/>
          <w:b w:val="0"/>
          <w:bCs/>
          <w:color w:val="000000" w:themeColor="text1"/>
          <w:sz w:val="21"/>
          <w:szCs w:val="21"/>
          <w:lang w:eastAsia="zh-CN"/>
          <w14:textFill>
            <w14:solidFill>
              <w14:schemeClr w14:val="tx1"/>
            </w14:solidFill>
          </w14:textFill>
        </w:rPr>
        <w:t>放弃债权公允价值与账面价值的差额</w:t>
      </w:r>
      <w:r>
        <w:rPr>
          <w:rFonts w:hint="eastAsia" w:ascii="宋体" w:hAnsi="宋体" w:eastAsia="宋体" w:cs="宋体"/>
          <w:b w:val="0"/>
          <w:bCs/>
          <w:color w:val="000000" w:themeColor="text1"/>
          <w:sz w:val="21"/>
          <w:szCs w:val="21"/>
          <w14:textFill>
            <w14:solidFill>
              <w14:schemeClr w14:val="tx1"/>
            </w14:solidFill>
          </w14:textFill>
        </w:rPr>
        <w:t>）</w:t>
      </w:r>
    </w:p>
    <w:p w14:paraId="1E6A8A01">
      <w:pPr>
        <w:pStyle w:val="3"/>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firstLine="0"/>
        <w:textAlignment w:val="auto"/>
        <w:rPr>
          <w:rFonts w:hint="eastAsia" w:ascii="宋体" w:hAnsi="宋体" w:eastAsia="宋体" w:cs="宋体"/>
          <w:b w:val="0"/>
          <w:bCs/>
          <w:color w:val="FF0000"/>
          <w:sz w:val="21"/>
          <w:szCs w:val="21"/>
          <w:lang w:eastAsia="zh-CN"/>
        </w:rPr>
      </w:pPr>
      <w:r>
        <w:rPr>
          <w:rFonts w:hint="eastAsia" w:ascii="宋体" w:hAnsi="宋体" w:eastAsia="宋体" w:cs="宋体"/>
          <w:b w:val="0"/>
          <w:bCs/>
          <w:color w:val="FF0000"/>
          <w:sz w:val="21"/>
          <w:szCs w:val="21"/>
          <w:lang w:val="en-US" w:eastAsia="zh-CN"/>
        </w:rPr>
        <w:t>3.</w:t>
      </w:r>
      <w:r>
        <w:rPr>
          <w:rFonts w:hint="eastAsia" w:ascii="宋体" w:hAnsi="宋体" w:eastAsia="宋体" w:cs="宋体"/>
          <w:b w:val="0"/>
          <w:bCs/>
          <w:color w:val="FF0000"/>
          <w:sz w:val="21"/>
          <w:szCs w:val="21"/>
          <w:lang w:eastAsia="zh-CN"/>
        </w:rPr>
        <w:t>债权人受让多项资产</w:t>
      </w:r>
    </w:p>
    <w:p w14:paraId="4422309F">
      <w:pPr>
        <w:pStyle w:val="3"/>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firstLine="0"/>
        <w:textAlignment w:val="auto"/>
        <w:rPr>
          <w:rFonts w:hint="eastAsia" w:ascii="宋体" w:hAnsi="宋体" w:eastAsia="宋体" w:cs="宋体"/>
          <w:b w:val="0"/>
          <w:bCs/>
          <w:color w:val="000000" w:themeColor="text1"/>
          <w:sz w:val="21"/>
          <w:szCs w:val="21"/>
          <w:lang w:eastAsia="zh-CN"/>
          <w14:textFill>
            <w14:solidFill>
              <w14:schemeClr w14:val="tx1"/>
            </w14:solidFill>
          </w14:textFill>
        </w:rPr>
      </w:pPr>
      <w:r>
        <w:rPr>
          <w:rFonts w:hint="eastAsia" w:ascii="宋体" w:hAnsi="宋体" w:eastAsia="宋体" w:cs="宋体"/>
          <w:b w:val="0"/>
          <w:bCs/>
          <w:color w:val="000000" w:themeColor="text1"/>
          <w:sz w:val="21"/>
          <w:szCs w:val="21"/>
          <w:lang w:eastAsia="zh-CN"/>
          <w14:textFill>
            <w14:solidFill>
              <w14:schemeClr w14:val="tx1"/>
            </w14:solidFill>
          </w14:textFill>
        </w:rPr>
        <w:t>借</w:t>
      </w:r>
      <w:r>
        <w:rPr>
          <w:rFonts w:hint="eastAsia" w:ascii="宋体" w:hAnsi="宋体" w:eastAsia="宋体" w:cs="宋体"/>
          <w:b w:val="0"/>
          <w:bCs/>
          <w:color w:val="000000" w:themeColor="text1"/>
          <w:sz w:val="21"/>
          <w:szCs w:val="21"/>
          <w14:textFill>
            <w14:solidFill>
              <w14:schemeClr w14:val="tx1"/>
            </w14:solidFill>
          </w14:textFill>
        </w:rPr>
        <w:t>：（</w:t>
      </w:r>
      <w:r>
        <w:rPr>
          <w:rFonts w:hint="eastAsia" w:ascii="宋体" w:hAnsi="宋体" w:eastAsia="宋体" w:cs="宋体"/>
          <w:b w:val="0"/>
          <w:bCs/>
          <w:color w:val="000000" w:themeColor="text1"/>
          <w:sz w:val="21"/>
          <w:szCs w:val="21"/>
          <w:lang w:val="en-US" w:eastAsia="zh-CN"/>
          <w14:textFill>
            <w14:solidFill>
              <w14:schemeClr w14:val="tx1"/>
            </w14:solidFill>
          </w14:textFill>
        </w:rPr>
        <w:t>4</w:t>
      </w:r>
      <w:r>
        <w:rPr>
          <w:rFonts w:hint="eastAsia" w:ascii="宋体" w:hAnsi="宋体" w:eastAsia="宋体" w:cs="宋体"/>
          <w:b w:val="0"/>
          <w:bCs/>
          <w:color w:val="000000" w:themeColor="text1"/>
          <w:sz w:val="21"/>
          <w:szCs w:val="21"/>
          <w14:textFill>
            <w14:solidFill>
              <w14:schemeClr w14:val="tx1"/>
            </w14:solidFill>
          </w14:textFill>
        </w:rPr>
        <w:t>）</w:t>
      </w:r>
      <w:r>
        <w:rPr>
          <w:rFonts w:hint="eastAsia" w:ascii="宋体" w:hAnsi="宋体" w:eastAsia="宋体" w:cs="宋体"/>
          <w:b w:val="0"/>
          <w:bCs/>
          <w:color w:val="000000" w:themeColor="text1"/>
          <w:sz w:val="21"/>
          <w:szCs w:val="21"/>
          <w:lang w:eastAsia="zh-CN"/>
          <w14:textFill>
            <w14:solidFill>
              <w14:schemeClr w14:val="tx1"/>
            </w14:solidFill>
          </w14:textFill>
        </w:rPr>
        <w:t>××金融资产</w:t>
      </w:r>
      <w:r>
        <w:rPr>
          <w:rFonts w:hint="eastAsia" w:ascii="宋体" w:hAnsi="宋体" w:eastAsia="宋体" w:cs="宋体"/>
          <w:b w:val="0"/>
          <w:bCs/>
          <w:color w:val="000000" w:themeColor="text1"/>
          <w:sz w:val="21"/>
          <w:szCs w:val="21"/>
          <w14:textFill>
            <w14:solidFill>
              <w14:schemeClr w14:val="tx1"/>
            </w14:solidFill>
          </w14:textFill>
        </w:rPr>
        <w:t>（</w:t>
      </w:r>
      <w:r>
        <w:rPr>
          <w:rFonts w:hint="eastAsia" w:ascii="宋体" w:hAnsi="宋体" w:eastAsia="宋体" w:cs="宋体"/>
          <w:b w:val="0"/>
          <w:bCs/>
          <w:color w:val="000000" w:themeColor="text1"/>
          <w:sz w:val="21"/>
          <w:szCs w:val="21"/>
          <w:lang w:eastAsia="zh-CN"/>
          <w14:textFill>
            <w14:solidFill>
              <w14:schemeClr w14:val="tx1"/>
            </w14:solidFill>
          </w14:textFill>
        </w:rPr>
        <w:t>库存现金、银行存款、交易性金融资产、债权投资、其他债权投资、其他权益工具投资等</w:t>
      </w:r>
      <w:r>
        <w:rPr>
          <w:rFonts w:hint="eastAsia" w:ascii="宋体" w:hAnsi="宋体" w:eastAsia="宋体" w:cs="宋体"/>
          <w:b w:val="0"/>
          <w:bCs/>
          <w:color w:val="000000" w:themeColor="text1"/>
          <w:sz w:val="21"/>
          <w:szCs w:val="21"/>
          <w14:textFill>
            <w14:solidFill>
              <w14:schemeClr w14:val="tx1"/>
            </w14:solidFill>
          </w14:textFill>
        </w:rPr>
        <w:t>）（</w:t>
      </w:r>
      <w:r>
        <w:rPr>
          <w:rFonts w:hint="eastAsia" w:ascii="宋体" w:hAnsi="宋体" w:eastAsia="宋体" w:cs="宋体"/>
          <w:b w:val="0"/>
          <w:bCs/>
          <w:color w:val="000000" w:themeColor="text1"/>
          <w:sz w:val="21"/>
          <w:szCs w:val="21"/>
          <w:lang w:eastAsia="zh-CN"/>
          <w14:textFill>
            <w14:solidFill>
              <w14:schemeClr w14:val="tx1"/>
            </w14:solidFill>
          </w14:textFill>
        </w:rPr>
        <w:t>公允价值</w:t>
      </w:r>
      <w:r>
        <w:rPr>
          <w:rFonts w:hint="eastAsia" w:ascii="宋体" w:hAnsi="宋体" w:eastAsia="宋体" w:cs="宋体"/>
          <w:b w:val="0"/>
          <w:bCs/>
          <w:color w:val="000000" w:themeColor="text1"/>
          <w:sz w:val="21"/>
          <w:szCs w:val="21"/>
          <w14:textFill>
            <w14:solidFill>
              <w14:schemeClr w14:val="tx1"/>
            </w14:solidFill>
          </w14:textFill>
        </w:rPr>
        <w:t>）</w:t>
      </w:r>
    </w:p>
    <w:p w14:paraId="7C363F0E">
      <w:pPr>
        <w:pStyle w:val="3"/>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firstLine="0"/>
        <w:textAlignment w:val="auto"/>
        <w:rPr>
          <w:rFonts w:hint="eastAsia" w:ascii="宋体" w:hAnsi="宋体" w:eastAsia="宋体" w:cs="宋体"/>
          <w:b w:val="0"/>
          <w:bCs/>
          <w:color w:val="000000" w:themeColor="text1"/>
          <w:sz w:val="21"/>
          <w:szCs w:val="21"/>
          <w:lang w:eastAsia="zh-CN"/>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　　（</w:t>
      </w:r>
      <w:r>
        <w:rPr>
          <w:rFonts w:hint="eastAsia" w:ascii="宋体" w:hAnsi="宋体" w:eastAsia="宋体" w:cs="宋体"/>
          <w:b w:val="0"/>
          <w:bCs/>
          <w:color w:val="000000" w:themeColor="text1"/>
          <w:sz w:val="21"/>
          <w:szCs w:val="21"/>
          <w:lang w:val="en-US" w:eastAsia="zh-CN"/>
          <w14:textFill>
            <w14:solidFill>
              <w14:schemeClr w14:val="tx1"/>
            </w14:solidFill>
          </w14:textFill>
        </w:rPr>
        <w:t>5</w:t>
      </w:r>
      <w:r>
        <w:rPr>
          <w:rFonts w:hint="eastAsia" w:ascii="宋体" w:hAnsi="宋体" w:eastAsia="宋体" w:cs="宋体"/>
          <w:b w:val="0"/>
          <w:bCs/>
          <w:color w:val="000000" w:themeColor="text1"/>
          <w:sz w:val="21"/>
          <w:szCs w:val="21"/>
          <w14:textFill>
            <w14:solidFill>
              <w14:schemeClr w14:val="tx1"/>
            </w14:solidFill>
          </w14:textFill>
        </w:rPr>
        <w:t>）</w:t>
      </w:r>
      <w:r>
        <w:rPr>
          <w:rFonts w:hint="eastAsia" w:ascii="宋体" w:hAnsi="宋体" w:eastAsia="宋体" w:cs="宋体"/>
          <w:b w:val="0"/>
          <w:bCs/>
          <w:color w:val="000000" w:themeColor="text1"/>
          <w:sz w:val="21"/>
          <w:szCs w:val="21"/>
          <w:lang w:eastAsia="zh-CN"/>
          <w14:textFill>
            <w14:solidFill>
              <w14:schemeClr w14:val="tx1"/>
            </w14:solidFill>
          </w14:textFill>
        </w:rPr>
        <w:t>××非金融资产</w:t>
      </w:r>
      <w:r>
        <w:rPr>
          <w:rFonts w:hint="eastAsia" w:ascii="宋体" w:hAnsi="宋体" w:eastAsia="宋体" w:cs="宋体"/>
          <w:b w:val="0"/>
          <w:bCs/>
          <w:color w:val="000000" w:themeColor="text1"/>
          <w:sz w:val="21"/>
          <w:szCs w:val="21"/>
          <w14:textFill>
            <w14:solidFill>
              <w14:schemeClr w14:val="tx1"/>
            </w14:solidFill>
          </w14:textFill>
        </w:rPr>
        <w:t>（</w:t>
      </w:r>
      <w:r>
        <w:rPr>
          <w:rFonts w:hint="eastAsia" w:ascii="宋体" w:hAnsi="宋体" w:eastAsia="宋体" w:cs="宋体"/>
          <w:b w:val="0"/>
          <w:bCs/>
          <w:color w:val="000000" w:themeColor="text1"/>
          <w:sz w:val="21"/>
          <w:szCs w:val="21"/>
          <w:lang w:eastAsia="zh-CN"/>
          <w14:textFill>
            <w14:solidFill>
              <w14:schemeClr w14:val="tx1"/>
            </w14:solidFill>
          </w14:textFill>
        </w:rPr>
        <w:t>原材料、长期股权投资、投资性房地产、固定资产、生物资产、无形资产等</w:t>
      </w:r>
      <w:r>
        <w:rPr>
          <w:rFonts w:hint="eastAsia" w:ascii="宋体" w:hAnsi="宋体" w:eastAsia="宋体" w:cs="宋体"/>
          <w:b w:val="0"/>
          <w:bCs/>
          <w:color w:val="000000" w:themeColor="text1"/>
          <w:sz w:val="21"/>
          <w:szCs w:val="21"/>
          <w14:textFill>
            <w14:solidFill>
              <w14:schemeClr w14:val="tx1"/>
            </w14:solidFill>
          </w14:textFill>
        </w:rPr>
        <w:t>）</w:t>
      </w:r>
      <w:r>
        <w:rPr>
          <w:rFonts w:hint="eastAsia" w:ascii="宋体" w:hAnsi="宋体" w:eastAsia="宋体" w:cs="宋体"/>
          <w:b w:val="0"/>
          <w:bCs/>
          <w:color w:val="000000" w:themeColor="text1"/>
          <w:sz w:val="21"/>
          <w:szCs w:val="21"/>
          <w:lang w:eastAsia="zh-CN"/>
          <w14:textFill>
            <w14:solidFill>
              <w14:schemeClr w14:val="tx1"/>
            </w14:solidFill>
          </w14:textFill>
        </w:rPr>
        <w:t xml:space="preserve"> </w:t>
      </w:r>
      <w:r>
        <w:rPr>
          <w:rFonts w:hint="eastAsia" w:ascii="宋体" w:hAnsi="宋体" w:eastAsia="宋体" w:cs="宋体"/>
          <w:b w:val="0"/>
          <w:bCs/>
          <w:color w:val="000000" w:themeColor="text1"/>
          <w:sz w:val="21"/>
          <w:szCs w:val="21"/>
          <w14:textFill>
            <w14:solidFill>
              <w14:schemeClr w14:val="tx1"/>
            </w14:solidFill>
          </w14:textFill>
        </w:rPr>
        <w:t>（</w:t>
      </w:r>
      <w:r>
        <w:rPr>
          <w:rFonts w:hint="eastAsia" w:ascii="宋体" w:hAnsi="宋体" w:eastAsia="宋体" w:cs="宋体"/>
          <w:b w:val="0"/>
          <w:bCs/>
          <w:color w:val="000000" w:themeColor="text1"/>
          <w:sz w:val="21"/>
          <w:szCs w:val="21"/>
          <w:lang w:eastAsia="zh-CN"/>
          <w14:textFill>
            <w14:solidFill>
              <w14:schemeClr w14:val="tx1"/>
            </w14:solidFill>
          </w14:textFill>
        </w:rPr>
        <w:t>放弃债权的公允价值</w:t>
      </w:r>
      <w:r>
        <w:rPr>
          <w:rFonts w:hint="eastAsia" w:ascii="宋体" w:hAnsi="宋体" w:eastAsia="宋体" w:cs="宋体"/>
          <w:b w:val="0"/>
          <w:bCs/>
          <w:color w:val="000000" w:themeColor="text1"/>
          <w:sz w:val="21"/>
          <w:szCs w:val="21"/>
          <w:lang w:val="en-US" w:eastAsia="zh-CN"/>
          <w14:textFill>
            <w14:solidFill>
              <w14:schemeClr w14:val="tx1"/>
            </w14:solidFill>
          </w14:textFill>
        </w:rPr>
        <w:t>-</w:t>
      </w:r>
      <w:r>
        <w:rPr>
          <w:rFonts w:hint="eastAsia" w:ascii="宋体" w:hAnsi="宋体" w:eastAsia="宋体" w:cs="宋体"/>
          <w:b w:val="0"/>
          <w:bCs/>
          <w:color w:val="000000" w:themeColor="text1"/>
          <w:sz w:val="21"/>
          <w:szCs w:val="21"/>
          <w:lang w:eastAsia="zh-CN"/>
          <w14:textFill>
            <w14:solidFill>
              <w14:schemeClr w14:val="tx1"/>
            </w14:solidFill>
          </w14:textFill>
        </w:rPr>
        <w:t>金融资产公允价值后的净额</w:t>
      </w:r>
      <w:r>
        <w:rPr>
          <w:rFonts w:hint="eastAsia" w:ascii="宋体" w:hAnsi="宋体" w:eastAsia="宋体" w:cs="宋体"/>
          <w:b w:val="0"/>
          <w:bCs/>
          <w:color w:val="000000" w:themeColor="text1"/>
          <w:sz w:val="21"/>
          <w:szCs w:val="21"/>
          <w14:textFill>
            <w14:solidFill>
              <w14:schemeClr w14:val="tx1"/>
            </w14:solidFill>
          </w14:textFill>
        </w:rPr>
        <w:t>，</w:t>
      </w:r>
      <w:r>
        <w:rPr>
          <w:rFonts w:hint="eastAsia" w:ascii="宋体" w:hAnsi="宋体" w:eastAsia="宋体" w:cs="宋体"/>
          <w:b w:val="0"/>
          <w:bCs/>
          <w:color w:val="000000" w:themeColor="text1"/>
          <w:sz w:val="21"/>
          <w:szCs w:val="21"/>
          <w:lang w:eastAsia="zh-CN"/>
          <w14:textFill>
            <w14:solidFill>
              <w14:schemeClr w14:val="tx1"/>
            </w14:solidFill>
          </w14:textFill>
        </w:rPr>
        <w:t>按各自的公允价值比例进行分配</w:t>
      </w:r>
      <w:r>
        <w:rPr>
          <w:rFonts w:hint="eastAsia" w:ascii="宋体" w:hAnsi="宋体" w:eastAsia="宋体" w:cs="宋体"/>
          <w:b w:val="0"/>
          <w:bCs/>
          <w:color w:val="000000" w:themeColor="text1"/>
          <w:sz w:val="21"/>
          <w:szCs w:val="21"/>
          <w14:textFill>
            <w14:solidFill>
              <w14:schemeClr w14:val="tx1"/>
            </w14:solidFill>
          </w14:textFill>
        </w:rPr>
        <w:t>，</w:t>
      </w:r>
      <w:r>
        <w:rPr>
          <w:rFonts w:hint="eastAsia" w:ascii="宋体" w:hAnsi="宋体" w:eastAsia="宋体" w:cs="宋体"/>
          <w:b w:val="0"/>
          <w:bCs/>
          <w:color w:val="000000" w:themeColor="text1"/>
          <w:sz w:val="21"/>
          <w:szCs w:val="21"/>
          <w:lang w:eastAsia="zh-CN"/>
          <w14:textFill>
            <w14:solidFill>
              <w14:schemeClr w14:val="tx1"/>
            </w14:solidFill>
          </w14:textFill>
        </w:rPr>
        <w:t>即受让的多项非金融资产入账价值总额×</w:t>
      </w:r>
      <w:r>
        <w:rPr>
          <w:rFonts w:hint="eastAsia" w:ascii="宋体" w:hAnsi="宋体" w:eastAsia="宋体" w:cs="宋体"/>
          <w:b w:val="0"/>
          <w:bCs/>
          <w:i w:val="0"/>
          <w:iCs/>
          <w:color w:val="000000" w:themeColor="text1"/>
          <w:sz w:val="21"/>
          <w:szCs w:val="21"/>
          <w:lang w:val="en-US" w:eastAsia="zh-CN"/>
          <w14:textFill>
            <w14:solidFill>
              <w14:schemeClr w14:val="tx1"/>
            </w14:solidFill>
          </w14:textFill>
        </w:rPr>
        <w:t>﷐</w:t>
      </w:r>
      <w:r>
        <w:rPr>
          <w:rFonts w:hint="eastAsia" w:ascii="宋体" w:hAnsi="宋体" w:eastAsia="宋体" w:cs="宋体"/>
          <w:b w:val="0"/>
          <w:bCs/>
          <w:color w:val="000000" w:themeColor="text1"/>
          <w:sz w:val="21"/>
          <w:szCs w:val="21"/>
          <w14:textFill>
            <w14:solidFill>
              <w14:schemeClr w14:val="tx1"/>
            </w14:solidFill>
          </w14:textFill>
        </w:rPr>
        <w:t>该项非金融资产的公允价值</w:t>
      </w:r>
      <w:r>
        <w:rPr>
          <w:rFonts w:hint="eastAsia" w:ascii="宋体" w:hAnsi="宋体" w:eastAsia="宋体" w:cs="宋体"/>
          <w:b w:val="0"/>
          <w:bCs/>
          <w:i w:val="0"/>
          <w:iCs/>
          <w:color w:val="000000" w:themeColor="text1"/>
          <w:sz w:val="21"/>
          <w:szCs w:val="21"/>
          <w:lang w:val="en-US" w:eastAsia="zh-CN"/>
          <w14:textFill>
            <w14:solidFill>
              <w14:schemeClr w14:val="tx1"/>
            </w14:solidFill>
          </w14:textFill>
        </w:rPr>
        <w:t>/</w:t>
      </w:r>
      <w:r>
        <w:rPr>
          <w:rFonts w:hint="eastAsia" w:ascii="宋体" w:hAnsi="宋体" w:eastAsia="宋体" w:cs="宋体"/>
          <w:b w:val="0"/>
          <w:bCs/>
          <w:color w:val="000000" w:themeColor="text1"/>
          <w:sz w:val="21"/>
          <w:szCs w:val="21"/>
          <w14:textFill>
            <w14:solidFill>
              <w14:schemeClr w14:val="tx1"/>
            </w14:solidFill>
          </w14:textFill>
        </w:rPr>
        <w:t>受让的多项非金融资产公允价值总额</w:t>
      </w:r>
      <w:r>
        <w:rPr>
          <w:rFonts w:hint="eastAsia" w:ascii="宋体" w:hAnsi="宋体" w:eastAsia="宋体" w:cs="宋体"/>
          <w:b w:val="0"/>
          <w:bCs/>
          <w:i w:val="0"/>
          <w:iCs/>
          <w:color w:val="000000" w:themeColor="text1"/>
          <w:sz w:val="21"/>
          <w:szCs w:val="21"/>
          <w14:textFill>
            <w14:solidFill>
              <w14:schemeClr w14:val="tx1"/>
            </w14:solidFill>
          </w14:textFill>
        </w:rPr>
        <w:t>﷯</w:t>
      </w:r>
      <w:r>
        <w:rPr>
          <w:rFonts w:hint="eastAsia" w:ascii="宋体" w:hAnsi="宋体" w:eastAsia="宋体" w:cs="宋体"/>
          <w:b w:val="0"/>
          <w:bCs/>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color w:val="000000" w:themeColor="text1"/>
          <w:sz w:val="21"/>
          <w:szCs w:val="21"/>
          <w14:textFill>
            <w14:solidFill>
              <w14:schemeClr w14:val="tx1"/>
            </w14:solidFill>
          </w14:textFill>
        </w:rPr>
        <w:t>）</w:t>
      </w:r>
    </w:p>
    <w:p w14:paraId="17F53AED">
      <w:pPr>
        <w:pStyle w:val="3"/>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firstLine="0"/>
        <w:textAlignment w:val="auto"/>
        <w:rPr>
          <w:rFonts w:hint="eastAsia" w:ascii="宋体" w:hAnsi="宋体" w:eastAsia="宋体" w:cs="宋体"/>
          <w:b w:val="0"/>
          <w:bCs/>
          <w:color w:val="000000" w:themeColor="text1"/>
          <w:sz w:val="21"/>
          <w:szCs w:val="21"/>
          <w:lang w:eastAsia="zh-CN"/>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　　（</w:t>
      </w:r>
      <w:r>
        <w:rPr>
          <w:rFonts w:hint="eastAsia" w:ascii="宋体" w:hAnsi="宋体" w:eastAsia="宋体" w:cs="宋体"/>
          <w:b w:val="0"/>
          <w:bCs/>
          <w:color w:val="000000" w:themeColor="text1"/>
          <w:sz w:val="21"/>
          <w:szCs w:val="21"/>
          <w:lang w:val="en-US" w:eastAsia="zh-CN"/>
          <w14:textFill>
            <w14:solidFill>
              <w14:schemeClr w14:val="tx1"/>
            </w14:solidFill>
          </w14:textFill>
        </w:rPr>
        <w:t>2</w:t>
      </w:r>
      <w:r>
        <w:rPr>
          <w:rFonts w:hint="eastAsia" w:ascii="宋体" w:hAnsi="宋体" w:eastAsia="宋体" w:cs="宋体"/>
          <w:b w:val="0"/>
          <w:bCs/>
          <w:color w:val="000000" w:themeColor="text1"/>
          <w:sz w:val="21"/>
          <w:szCs w:val="21"/>
          <w14:textFill>
            <w14:solidFill>
              <w14:schemeClr w14:val="tx1"/>
            </w14:solidFill>
          </w14:textFill>
        </w:rPr>
        <w:t>）</w:t>
      </w:r>
      <w:r>
        <w:rPr>
          <w:rFonts w:hint="eastAsia" w:ascii="宋体" w:hAnsi="宋体" w:eastAsia="宋体" w:cs="宋体"/>
          <w:b w:val="0"/>
          <w:bCs/>
          <w:color w:val="000000" w:themeColor="text1"/>
          <w:sz w:val="21"/>
          <w:szCs w:val="21"/>
          <w:lang w:eastAsia="zh-CN"/>
          <w14:textFill>
            <w14:solidFill>
              <w14:schemeClr w14:val="tx1"/>
            </w14:solidFill>
          </w14:textFill>
        </w:rPr>
        <w:t>坏账准备</w:t>
      </w:r>
    </w:p>
    <w:p w14:paraId="4825C020">
      <w:pPr>
        <w:pStyle w:val="3"/>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firstLine="0"/>
        <w:textAlignment w:val="auto"/>
        <w:rPr>
          <w:rFonts w:hint="eastAsia" w:ascii="宋体" w:hAnsi="宋体" w:eastAsia="宋体" w:cs="宋体"/>
          <w:b w:val="0"/>
          <w:bCs/>
          <w:color w:val="000000" w:themeColor="text1"/>
          <w:sz w:val="21"/>
          <w:szCs w:val="21"/>
          <w:lang w:eastAsia="zh-CN"/>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　　</w:t>
      </w:r>
      <w:r>
        <w:rPr>
          <w:rFonts w:hint="eastAsia" w:ascii="宋体" w:hAnsi="宋体" w:eastAsia="宋体" w:cs="宋体"/>
          <w:b w:val="0"/>
          <w:bCs/>
          <w:color w:val="000000" w:themeColor="text1"/>
          <w:sz w:val="21"/>
          <w:szCs w:val="21"/>
          <w:lang w:eastAsia="zh-CN"/>
          <w14:textFill>
            <w14:solidFill>
              <w14:schemeClr w14:val="tx1"/>
            </w14:solidFill>
          </w14:textFill>
        </w:rPr>
        <w:t>贷</w:t>
      </w:r>
      <w:r>
        <w:rPr>
          <w:rFonts w:hint="eastAsia" w:ascii="宋体" w:hAnsi="宋体" w:eastAsia="宋体" w:cs="宋体"/>
          <w:b w:val="0"/>
          <w:bCs/>
          <w:color w:val="000000" w:themeColor="text1"/>
          <w:sz w:val="21"/>
          <w:szCs w:val="21"/>
          <w14:textFill>
            <w14:solidFill>
              <w14:schemeClr w14:val="tx1"/>
            </w14:solidFill>
          </w14:textFill>
        </w:rPr>
        <w:t>：（</w:t>
      </w:r>
      <w:r>
        <w:rPr>
          <w:rFonts w:hint="eastAsia" w:ascii="宋体" w:hAnsi="宋体" w:eastAsia="宋体" w:cs="宋体"/>
          <w:b w:val="0"/>
          <w:bCs/>
          <w:color w:val="000000" w:themeColor="text1"/>
          <w:sz w:val="21"/>
          <w:szCs w:val="21"/>
          <w:lang w:val="en-US" w:eastAsia="zh-CN"/>
          <w14:textFill>
            <w14:solidFill>
              <w14:schemeClr w14:val="tx1"/>
            </w14:solidFill>
          </w14:textFill>
        </w:rPr>
        <w:t>1</w:t>
      </w:r>
      <w:r>
        <w:rPr>
          <w:rFonts w:hint="eastAsia" w:ascii="宋体" w:hAnsi="宋体" w:eastAsia="宋体" w:cs="宋体"/>
          <w:b w:val="0"/>
          <w:bCs/>
          <w:color w:val="000000" w:themeColor="text1"/>
          <w:sz w:val="21"/>
          <w:szCs w:val="21"/>
          <w14:textFill>
            <w14:solidFill>
              <w14:schemeClr w14:val="tx1"/>
            </w14:solidFill>
          </w14:textFill>
        </w:rPr>
        <w:t>）</w:t>
      </w:r>
      <w:r>
        <w:rPr>
          <w:rFonts w:hint="eastAsia" w:ascii="宋体" w:hAnsi="宋体" w:eastAsia="宋体" w:cs="宋体"/>
          <w:b w:val="0"/>
          <w:bCs/>
          <w:color w:val="000000" w:themeColor="text1"/>
          <w:sz w:val="21"/>
          <w:szCs w:val="21"/>
          <w:lang w:eastAsia="zh-CN"/>
          <w14:textFill>
            <w14:solidFill>
              <w14:schemeClr w14:val="tx1"/>
            </w14:solidFill>
          </w14:textFill>
        </w:rPr>
        <w:t>应收账款</w:t>
      </w:r>
    </w:p>
    <w:p w14:paraId="01106C3F">
      <w:pPr>
        <w:pStyle w:val="3"/>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firstLine="0"/>
        <w:textAlignment w:val="auto"/>
        <w:rPr>
          <w:rFonts w:hint="eastAsia" w:ascii="宋体" w:hAnsi="宋体" w:eastAsia="宋体" w:cs="宋体"/>
          <w:b w:val="0"/>
          <w:bCs/>
          <w:color w:val="000000" w:themeColor="text1"/>
          <w:sz w:val="21"/>
          <w:szCs w:val="21"/>
          <w:lang w:eastAsia="zh-CN"/>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　（</w:t>
      </w:r>
      <w:r>
        <w:rPr>
          <w:rFonts w:hint="eastAsia" w:ascii="宋体" w:hAnsi="宋体" w:eastAsia="宋体" w:cs="宋体"/>
          <w:b w:val="0"/>
          <w:bCs/>
          <w:color w:val="000000" w:themeColor="text1"/>
          <w:sz w:val="21"/>
          <w:szCs w:val="21"/>
          <w:lang w:val="en-US" w:eastAsia="zh-CN"/>
          <w14:textFill>
            <w14:solidFill>
              <w14:schemeClr w14:val="tx1"/>
            </w14:solidFill>
          </w14:textFill>
        </w:rPr>
        <w:t>3</w:t>
      </w:r>
      <w:r>
        <w:rPr>
          <w:rFonts w:hint="eastAsia" w:ascii="宋体" w:hAnsi="宋体" w:eastAsia="宋体" w:cs="宋体"/>
          <w:b w:val="0"/>
          <w:bCs/>
          <w:color w:val="000000" w:themeColor="text1"/>
          <w:sz w:val="21"/>
          <w:szCs w:val="21"/>
          <w14:textFill>
            <w14:solidFill>
              <w14:schemeClr w14:val="tx1"/>
            </w14:solidFill>
          </w14:textFill>
        </w:rPr>
        <w:t>）</w:t>
      </w:r>
      <w:r>
        <w:rPr>
          <w:rFonts w:hint="eastAsia" w:ascii="宋体" w:hAnsi="宋体" w:eastAsia="宋体" w:cs="宋体"/>
          <w:b w:val="0"/>
          <w:bCs/>
          <w:color w:val="000000" w:themeColor="text1"/>
          <w:sz w:val="21"/>
          <w:szCs w:val="21"/>
          <w:lang w:eastAsia="zh-CN"/>
          <w14:textFill>
            <w14:solidFill>
              <w14:schemeClr w14:val="tx1"/>
            </w14:solidFill>
          </w14:textFill>
        </w:rPr>
        <w:t>投资收益</w:t>
      </w:r>
      <w:r>
        <w:rPr>
          <w:rFonts w:hint="eastAsia" w:ascii="宋体" w:hAnsi="宋体" w:eastAsia="宋体" w:cs="宋体"/>
          <w:b w:val="0"/>
          <w:bCs/>
          <w:color w:val="000000" w:themeColor="text1"/>
          <w:sz w:val="21"/>
          <w:szCs w:val="21"/>
          <w14:textFill>
            <w14:solidFill>
              <w14:schemeClr w14:val="tx1"/>
            </w14:solidFill>
          </w14:textFill>
        </w:rPr>
        <w:t>（</w:t>
      </w:r>
      <w:r>
        <w:rPr>
          <w:rFonts w:hint="eastAsia" w:ascii="宋体" w:hAnsi="宋体" w:eastAsia="宋体" w:cs="宋体"/>
          <w:b w:val="0"/>
          <w:bCs/>
          <w:color w:val="000000" w:themeColor="text1"/>
          <w:sz w:val="21"/>
          <w:szCs w:val="21"/>
          <w:lang w:eastAsia="zh-CN"/>
          <w14:textFill>
            <w14:solidFill>
              <w14:schemeClr w14:val="tx1"/>
            </w14:solidFill>
          </w14:textFill>
        </w:rPr>
        <w:t>借或贷</w:t>
      </w:r>
      <w:r>
        <w:rPr>
          <w:rFonts w:hint="eastAsia" w:ascii="宋体" w:hAnsi="宋体" w:eastAsia="宋体" w:cs="宋体"/>
          <w:b w:val="0"/>
          <w:bCs/>
          <w:color w:val="000000" w:themeColor="text1"/>
          <w:sz w:val="21"/>
          <w:szCs w:val="21"/>
          <w14:textFill>
            <w14:solidFill>
              <w14:schemeClr w14:val="tx1"/>
            </w14:solidFill>
          </w14:textFill>
        </w:rPr>
        <w:t>，</w:t>
      </w:r>
      <w:r>
        <w:rPr>
          <w:rFonts w:hint="eastAsia" w:ascii="宋体" w:hAnsi="宋体" w:eastAsia="宋体" w:cs="宋体"/>
          <w:b w:val="0"/>
          <w:bCs/>
          <w:color w:val="000000" w:themeColor="text1"/>
          <w:sz w:val="21"/>
          <w:szCs w:val="21"/>
          <w:lang w:eastAsia="zh-CN"/>
          <w14:textFill>
            <w14:solidFill>
              <w14:schemeClr w14:val="tx1"/>
            </w14:solidFill>
          </w14:textFill>
        </w:rPr>
        <w:t>放弃债权的公允价值与账面价值之间的差额</w:t>
      </w:r>
      <w:r>
        <w:rPr>
          <w:rFonts w:hint="eastAsia" w:ascii="宋体" w:hAnsi="宋体" w:eastAsia="宋体" w:cs="宋体"/>
          <w:b w:val="0"/>
          <w:bCs/>
          <w:color w:val="000000" w:themeColor="text1"/>
          <w:sz w:val="21"/>
          <w:szCs w:val="21"/>
          <w14:textFill>
            <w14:solidFill>
              <w14:schemeClr w14:val="tx1"/>
            </w14:solidFill>
          </w14:textFill>
        </w:rPr>
        <w:t>）</w:t>
      </w:r>
    </w:p>
    <w:p w14:paraId="052BEB7F">
      <w:pPr>
        <w:pStyle w:val="3"/>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firstLine="0"/>
        <w:textAlignment w:val="auto"/>
        <w:rPr>
          <w:rFonts w:hint="eastAsia" w:ascii="宋体" w:hAnsi="宋体" w:eastAsia="宋体" w:cs="宋体"/>
          <w:b w:val="0"/>
          <w:bCs/>
          <w:color w:val="FF0000"/>
          <w:sz w:val="21"/>
          <w:szCs w:val="21"/>
          <w:lang w:eastAsia="zh-CN"/>
        </w:rPr>
      </w:pPr>
      <w:r>
        <w:rPr>
          <w:rFonts w:hint="eastAsia" w:ascii="宋体" w:hAnsi="宋体" w:eastAsia="宋体" w:cs="宋体"/>
          <w:b w:val="0"/>
          <w:bCs/>
          <w:color w:val="FF0000"/>
          <w:sz w:val="21"/>
          <w:szCs w:val="21"/>
          <w:lang w:val="en-US" w:eastAsia="zh-CN"/>
        </w:rPr>
        <w:t>4.</w:t>
      </w:r>
      <w:r>
        <w:rPr>
          <w:rFonts w:hint="eastAsia" w:ascii="宋体" w:hAnsi="宋体" w:eastAsia="宋体" w:cs="宋体"/>
          <w:b w:val="0"/>
          <w:bCs/>
          <w:color w:val="FF0000"/>
          <w:sz w:val="21"/>
          <w:szCs w:val="21"/>
          <w:lang w:eastAsia="zh-CN"/>
        </w:rPr>
        <w:t>债权人受让处置组</w:t>
      </w:r>
    </w:p>
    <w:p w14:paraId="0129EA42">
      <w:pPr>
        <w:pStyle w:val="3"/>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firstLine="0"/>
        <w:textAlignment w:val="auto"/>
        <w:rPr>
          <w:rFonts w:hint="eastAsia" w:ascii="宋体" w:hAnsi="宋体" w:eastAsia="宋体" w:cs="宋体"/>
          <w:b w:val="0"/>
          <w:bCs/>
          <w:color w:val="000000" w:themeColor="text1"/>
          <w:sz w:val="21"/>
          <w:szCs w:val="21"/>
          <w:lang w:eastAsia="zh-CN"/>
          <w14:textFill>
            <w14:solidFill>
              <w14:schemeClr w14:val="tx1"/>
            </w14:solidFill>
          </w14:textFill>
        </w:rPr>
      </w:pPr>
      <w:r>
        <w:rPr>
          <w:rFonts w:hint="eastAsia" w:ascii="宋体" w:hAnsi="宋体" w:eastAsia="宋体" w:cs="宋体"/>
          <w:b w:val="0"/>
          <w:bCs/>
          <w:color w:val="000000" w:themeColor="text1"/>
          <w:sz w:val="21"/>
          <w:szCs w:val="21"/>
          <w:lang w:eastAsia="zh-CN"/>
          <w14:textFill>
            <w14:solidFill>
              <w14:schemeClr w14:val="tx1"/>
            </w14:solidFill>
          </w14:textFill>
        </w:rPr>
        <w:t>借</w:t>
      </w:r>
      <w:r>
        <w:rPr>
          <w:rFonts w:hint="eastAsia" w:ascii="宋体" w:hAnsi="宋体" w:eastAsia="宋体" w:cs="宋体"/>
          <w:b w:val="0"/>
          <w:bCs/>
          <w:color w:val="000000" w:themeColor="text1"/>
          <w:sz w:val="21"/>
          <w:szCs w:val="21"/>
          <w14:textFill>
            <w14:solidFill>
              <w14:schemeClr w14:val="tx1"/>
            </w14:solidFill>
          </w14:textFill>
        </w:rPr>
        <w:t>：（</w:t>
      </w:r>
      <w:r>
        <w:rPr>
          <w:rFonts w:hint="eastAsia" w:ascii="宋体" w:hAnsi="宋体" w:eastAsia="宋体" w:cs="宋体"/>
          <w:b w:val="0"/>
          <w:bCs/>
          <w:color w:val="000000" w:themeColor="text1"/>
          <w:sz w:val="21"/>
          <w:szCs w:val="21"/>
          <w:lang w:val="en-US" w:eastAsia="zh-CN"/>
          <w14:textFill>
            <w14:solidFill>
              <w14:schemeClr w14:val="tx1"/>
            </w14:solidFill>
          </w14:textFill>
        </w:rPr>
        <w:t>5</w:t>
      </w:r>
      <w:r>
        <w:rPr>
          <w:rFonts w:hint="eastAsia" w:ascii="宋体" w:hAnsi="宋体" w:eastAsia="宋体" w:cs="宋体"/>
          <w:b w:val="0"/>
          <w:bCs/>
          <w:color w:val="000000" w:themeColor="text1"/>
          <w:sz w:val="21"/>
          <w:szCs w:val="21"/>
          <w14:textFill>
            <w14:solidFill>
              <w14:schemeClr w14:val="tx1"/>
            </w14:solidFill>
          </w14:textFill>
        </w:rPr>
        <w:t>）</w:t>
      </w:r>
      <w:r>
        <w:rPr>
          <w:rFonts w:hint="eastAsia" w:ascii="宋体" w:hAnsi="宋体" w:eastAsia="宋体" w:cs="宋体"/>
          <w:b w:val="0"/>
          <w:bCs/>
          <w:color w:val="000000" w:themeColor="text1"/>
          <w:sz w:val="21"/>
          <w:szCs w:val="21"/>
          <w:lang w:eastAsia="zh-CN"/>
          <w14:textFill>
            <w14:solidFill>
              <w14:schemeClr w14:val="tx1"/>
            </w14:solidFill>
          </w14:textFill>
        </w:rPr>
        <w:t>库存现金、银行存款、交易性金融资产、债权投资、其他债权投资、其他权益工具投资等</w:t>
      </w:r>
      <w:r>
        <w:rPr>
          <w:rFonts w:hint="eastAsia" w:ascii="宋体" w:hAnsi="宋体" w:eastAsia="宋体" w:cs="宋体"/>
          <w:b w:val="0"/>
          <w:bCs/>
          <w:color w:val="000000" w:themeColor="text1"/>
          <w:sz w:val="21"/>
          <w:szCs w:val="21"/>
          <w14:textFill>
            <w14:solidFill>
              <w14:schemeClr w14:val="tx1"/>
            </w14:solidFill>
          </w14:textFill>
        </w:rPr>
        <w:t>（</w:t>
      </w:r>
      <w:r>
        <w:rPr>
          <w:rFonts w:hint="eastAsia" w:ascii="宋体" w:hAnsi="宋体" w:eastAsia="宋体" w:cs="宋体"/>
          <w:b w:val="0"/>
          <w:bCs/>
          <w:color w:val="000000" w:themeColor="text1"/>
          <w:sz w:val="21"/>
          <w:szCs w:val="21"/>
          <w:lang w:eastAsia="zh-CN"/>
          <w14:textFill>
            <w14:solidFill>
              <w14:schemeClr w14:val="tx1"/>
            </w14:solidFill>
          </w14:textFill>
        </w:rPr>
        <w:t>公允价值</w:t>
      </w:r>
      <w:r>
        <w:rPr>
          <w:rFonts w:hint="eastAsia" w:ascii="宋体" w:hAnsi="宋体" w:eastAsia="宋体" w:cs="宋体"/>
          <w:b w:val="0"/>
          <w:bCs/>
          <w:color w:val="000000" w:themeColor="text1"/>
          <w:sz w:val="21"/>
          <w:szCs w:val="21"/>
          <w14:textFill>
            <w14:solidFill>
              <w14:schemeClr w14:val="tx1"/>
            </w14:solidFill>
          </w14:textFill>
        </w:rPr>
        <w:t>）</w:t>
      </w:r>
    </w:p>
    <w:p w14:paraId="0AC013AF">
      <w:pPr>
        <w:pStyle w:val="3"/>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firstLine="0"/>
        <w:textAlignment w:val="auto"/>
        <w:rPr>
          <w:rFonts w:hint="eastAsia" w:ascii="宋体" w:hAnsi="宋体" w:eastAsia="宋体" w:cs="宋体"/>
          <w:b w:val="0"/>
          <w:bCs/>
          <w:color w:val="000000" w:themeColor="text1"/>
          <w:sz w:val="21"/>
          <w:szCs w:val="21"/>
          <w:lang w:eastAsia="zh-CN"/>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　　（</w:t>
      </w:r>
      <w:r>
        <w:rPr>
          <w:rFonts w:hint="eastAsia" w:ascii="宋体" w:hAnsi="宋体" w:eastAsia="宋体" w:cs="宋体"/>
          <w:b w:val="0"/>
          <w:bCs/>
          <w:color w:val="000000" w:themeColor="text1"/>
          <w:sz w:val="21"/>
          <w:szCs w:val="21"/>
          <w:lang w:val="en-US" w:eastAsia="zh-CN"/>
          <w14:textFill>
            <w14:solidFill>
              <w14:schemeClr w14:val="tx1"/>
            </w14:solidFill>
          </w14:textFill>
        </w:rPr>
        <w:t>6</w:t>
      </w:r>
      <w:r>
        <w:rPr>
          <w:rFonts w:hint="eastAsia" w:ascii="宋体" w:hAnsi="宋体" w:eastAsia="宋体" w:cs="宋体"/>
          <w:b w:val="0"/>
          <w:bCs/>
          <w:color w:val="000000" w:themeColor="text1"/>
          <w:sz w:val="21"/>
          <w:szCs w:val="21"/>
          <w14:textFill>
            <w14:solidFill>
              <w14:schemeClr w14:val="tx1"/>
            </w14:solidFill>
          </w14:textFill>
        </w:rPr>
        <w:t>）</w:t>
      </w:r>
      <w:r>
        <w:rPr>
          <w:rFonts w:hint="eastAsia" w:ascii="宋体" w:hAnsi="宋体" w:eastAsia="宋体" w:cs="宋体"/>
          <w:b w:val="0"/>
          <w:bCs/>
          <w:color w:val="000000" w:themeColor="text1"/>
          <w:sz w:val="21"/>
          <w:szCs w:val="21"/>
          <w:lang w:eastAsia="zh-CN"/>
          <w14:textFill>
            <w14:solidFill>
              <w14:schemeClr w14:val="tx1"/>
            </w14:solidFill>
          </w14:textFill>
        </w:rPr>
        <w:t>原材料、长期股权投资、投资性房地产、固定资产、生物资产、无形资产等</w:t>
      </w:r>
      <w:r>
        <w:rPr>
          <w:rFonts w:hint="eastAsia" w:ascii="宋体" w:hAnsi="宋体" w:eastAsia="宋体" w:cs="宋体"/>
          <w:b w:val="0"/>
          <w:bCs/>
          <w:color w:val="000000" w:themeColor="text1"/>
          <w:sz w:val="21"/>
          <w:szCs w:val="21"/>
          <w14:textFill>
            <w14:solidFill>
              <w14:schemeClr w14:val="tx1"/>
            </w14:solidFill>
          </w14:textFill>
        </w:rPr>
        <w:t>（</w:t>
      </w:r>
      <w:r>
        <w:rPr>
          <w:rFonts w:hint="eastAsia" w:ascii="宋体" w:hAnsi="宋体" w:eastAsia="宋体" w:cs="宋体"/>
          <w:b w:val="0"/>
          <w:bCs/>
          <w:color w:val="000000" w:themeColor="text1"/>
          <w:sz w:val="21"/>
          <w:szCs w:val="21"/>
          <w:lang w:eastAsia="zh-CN"/>
          <w14:textFill>
            <w14:solidFill>
              <w14:schemeClr w14:val="tx1"/>
            </w14:solidFill>
          </w14:textFill>
        </w:rPr>
        <w:t>放弃债权的公允价值</w:t>
      </w:r>
      <w:r>
        <w:rPr>
          <w:rFonts w:hint="eastAsia" w:ascii="宋体" w:hAnsi="宋体" w:eastAsia="宋体" w:cs="宋体"/>
          <w:b w:val="0"/>
          <w:bCs/>
          <w:color w:val="000000" w:themeColor="text1"/>
          <w:sz w:val="21"/>
          <w:szCs w:val="21"/>
          <w:lang w:val="en-US" w:eastAsia="zh-CN"/>
          <w14:textFill>
            <w14:solidFill>
              <w14:schemeClr w14:val="tx1"/>
            </w14:solidFill>
          </w14:textFill>
        </w:rPr>
        <w:t>+</w:t>
      </w:r>
      <w:r>
        <w:rPr>
          <w:rFonts w:hint="eastAsia" w:ascii="宋体" w:hAnsi="宋体" w:eastAsia="宋体" w:cs="宋体"/>
          <w:b w:val="0"/>
          <w:bCs/>
          <w:color w:val="000000" w:themeColor="text1"/>
          <w:sz w:val="21"/>
          <w:szCs w:val="21"/>
          <w:lang w:eastAsia="zh-CN"/>
          <w14:textFill>
            <w14:solidFill>
              <w14:schemeClr w14:val="tx1"/>
            </w14:solidFill>
          </w14:textFill>
        </w:rPr>
        <w:t>处置组中的负债</w:t>
      </w:r>
      <w:r>
        <w:rPr>
          <w:rFonts w:hint="eastAsia" w:ascii="宋体" w:hAnsi="宋体" w:eastAsia="宋体" w:cs="宋体"/>
          <w:b w:val="0"/>
          <w:bCs/>
          <w:color w:val="000000" w:themeColor="text1"/>
          <w:sz w:val="21"/>
          <w:szCs w:val="21"/>
          <w:lang w:val="en-US" w:eastAsia="zh-CN"/>
          <w14:textFill>
            <w14:solidFill>
              <w14:schemeClr w14:val="tx1"/>
            </w14:solidFill>
          </w14:textFill>
        </w:rPr>
        <w:t>-</w:t>
      </w:r>
      <w:r>
        <w:rPr>
          <w:rFonts w:hint="eastAsia" w:ascii="宋体" w:hAnsi="宋体" w:eastAsia="宋体" w:cs="宋体"/>
          <w:b w:val="0"/>
          <w:bCs/>
          <w:color w:val="000000" w:themeColor="text1"/>
          <w:sz w:val="21"/>
          <w:szCs w:val="21"/>
          <w:lang w:eastAsia="zh-CN"/>
          <w14:textFill>
            <w14:solidFill>
              <w14:schemeClr w14:val="tx1"/>
            </w14:solidFill>
          </w14:textFill>
        </w:rPr>
        <w:t>金融资产公允价值后的净额</w:t>
      </w:r>
      <w:r>
        <w:rPr>
          <w:rFonts w:hint="eastAsia" w:ascii="宋体" w:hAnsi="宋体" w:eastAsia="宋体" w:cs="宋体"/>
          <w:b w:val="0"/>
          <w:bCs/>
          <w:color w:val="000000" w:themeColor="text1"/>
          <w:sz w:val="21"/>
          <w:szCs w:val="21"/>
          <w14:textFill>
            <w14:solidFill>
              <w14:schemeClr w14:val="tx1"/>
            </w14:solidFill>
          </w14:textFill>
        </w:rPr>
        <w:t>，</w:t>
      </w:r>
      <w:r>
        <w:rPr>
          <w:rFonts w:hint="eastAsia" w:ascii="宋体" w:hAnsi="宋体" w:eastAsia="宋体" w:cs="宋体"/>
          <w:b w:val="0"/>
          <w:bCs/>
          <w:color w:val="000000" w:themeColor="text1"/>
          <w:sz w:val="21"/>
          <w:szCs w:val="21"/>
          <w:lang w:eastAsia="zh-CN"/>
          <w14:textFill>
            <w14:solidFill>
              <w14:schemeClr w14:val="tx1"/>
            </w14:solidFill>
          </w14:textFill>
        </w:rPr>
        <w:t>按各自的公允价值比例进行分配</w:t>
      </w:r>
      <w:r>
        <w:rPr>
          <w:rFonts w:hint="eastAsia" w:ascii="宋体" w:hAnsi="宋体" w:eastAsia="宋体" w:cs="宋体"/>
          <w:b w:val="0"/>
          <w:bCs/>
          <w:color w:val="000000" w:themeColor="text1"/>
          <w:sz w:val="21"/>
          <w:szCs w:val="21"/>
          <w14:textFill>
            <w14:solidFill>
              <w14:schemeClr w14:val="tx1"/>
            </w14:solidFill>
          </w14:textFill>
        </w:rPr>
        <w:t>）</w:t>
      </w:r>
    </w:p>
    <w:p w14:paraId="26ACAA62">
      <w:pPr>
        <w:pStyle w:val="3"/>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firstLine="0"/>
        <w:textAlignment w:val="auto"/>
        <w:rPr>
          <w:rFonts w:hint="eastAsia" w:ascii="宋体" w:hAnsi="宋体" w:eastAsia="宋体" w:cs="宋体"/>
          <w:b w:val="0"/>
          <w:bCs/>
          <w:color w:val="000000" w:themeColor="text1"/>
          <w:sz w:val="21"/>
          <w:szCs w:val="21"/>
          <w:lang w:eastAsia="zh-CN"/>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　　（</w:t>
      </w:r>
      <w:r>
        <w:rPr>
          <w:rFonts w:hint="eastAsia" w:ascii="宋体" w:hAnsi="宋体" w:eastAsia="宋体" w:cs="宋体"/>
          <w:b w:val="0"/>
          <w:bCs/>
          <w:color w:val="000000" w:themeColor="text1"/>
          <w:sz w:val="21"/>
          <w:szCs w:val="21"/>
          <w:lang w:val="en-US" w:eastAsia="zh-CN"/>
          <w14:textFill>
            <w14:solidFill>
              <w14:schemeClr w14:val="tx1"/>
            </w14:solidFill>
          </w14:textFill>
        </w:rPr>
        <w:t>2</w:t>
      </w:r>
      <w:r>
        <w:rPr>
          <w:rFonts w:hint="eastAsia" w:ascii="宋体" w:hAnsi="宋体" w:eastAsia="宋体" w:cs="宋体"/>
          <w:b w:val="0"/>
          <w:bCs/>
          <w:color w:val="000000" w:themeColor="text1"/>
          <w:sz w:val="21"/>
          <w:szCs w:val="21"/>
          <w14:textFill>
            <w14:solidFill>
              <w14:schemeClr w14:val="tx1"/>
            </w14:solidFill>
          </w14:textFill>
        </w:rPr>
        <w:t>）</w:t>
      </w:r>
      <w:r>
        <w:rPr>
          <w:rFonts w:hint="eastAsia" w:ascii="宋体" w:hAnsi="宋体" w:eastAsia="宋体" w:cs="宋体"/>
          <w:b w:val="0"/>
          <w:bCs/>
          <w:color w:val="000000" w:themeColor="text1"/>
          <w:sz w:val="21"/>
          <w:szCs w:val="21"/>
          <w:lang w:eastAsia="zh-CN"/>
          <w14:textFill>
            <w14:solidFill>
              <w14:schemeClr w14:val="tx1"/>
            </w14:solidFill>
          </w14:textFill>
        </w:rPr>
        <w:t>坏账准备</w:t>
      </w:r>
    </w:p>
    <w:p w14:paraId="57732007">
      <w:pPr>
        <w:pStyle w:val="3"/>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firstLine="0"/>
        <w:textAlignment w:val="auto"/>
        <w:rPr>
          <w:rFonts w:hint="eastAsia" w:ascii="宋体" w:hAnsi="宋体" w:eastAsia="宋体" w:cs="宋体"/>
          <w:b w:val="0"/>
          <w:bCs/>
          <w:color w:val="000000" w:themeColor="text1"/>
          <w:sz w:val="21"/>
          <w:szCs w:val="21"/>
          <w:lang w:eastAsia="zh-CN"/>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　　</w:t>
      </w:r>
      <w:r>
        <w:rPr>
          <w:rFonts w:hint="eastAsia" w:ascii="宋体" w:hAnsi="宋体" w:eastAsia="宋体" w:cs="宋体"/>
          <w:b w:val="0"/>
          <w:bCs/>
          <w:color w:val="000000" w:themeColor="text1"/>
          <w:sz w:val="21"/>
          <w:szCs w:val="21"/>
          <w:lang w:eastAsia="zh-CN"/>
          <w14:textFill>
            <w14:solidFill>
              <w14:schemeClr w14:val="tx1"/>
            </w14:solidFill>
          </w14:textFill>
        </w:rPr>
        <w:t>贷</w:t>
      </w:r>
      <w:r>
        <w:rPr>
          <w:rFonts w:hint="eastAsia" w:ascii="宋体" w:hAnsi="宋体" w:eastAsia="宋体" w:cs="宋体"/>
          <w:b w:val="0"/>
          <w:bCs/>
          <w:color w:val="000000" w:themeColor="text1"/>
          <w:sz w:val="21"/>
          <w:szCs w:val="21"/>
          <w14:textFill>
            <w14:solidFill>
              <w14:schemeClr w14:val="tx1"/>
            </w14:solidFill>
          </w14:textFill>
        </w:rPr>
        <w:t>：（</w:t>
      </w:r>
      <w:r>
        <w:rPr>
          <w:rFonts w:hint="eastAsia" w:ascii="宋体" w:hAnsi="宋体" w:eastAsia="宋体" w:cs="宋体"/>
          <w:b w:val="0"/>
          <w:bCs/>
          <w:color w:val="000000" w:themeColor="text1"/>
          <w:sz w:val="21"/>
          <w:szCs w:val="21"/>
          <w:lang w:val="en-US" w:eastAsia="zh-CN"/>
          <w14:textFill>
            <w14:solidFill>
              <w14:schemeClr w14:val="tx1"/>
            </w14:solidFill>
          </w14:textFill>
        </w:rPr>
        <w:t>1</w:t>
      </w:r>
      <w:r>
        <w:rPr>
          <w:rFonts w:hint="eastAsia" w:ascii="宋体" w:hAnsi="宋体" w:eastAsia="宋体" w:cs="宋体"/>
          <w:b w:val="0"/>
          <w:bCs/>
          <w:color w:val="000000" w:themeColor="text1"/>
          <w:sz w:val="21"/>
          <w:szCs w:val="21"/>
          <w14:textFill>
            <w14:solidFill>
              <w14:schemeClr w14:val="tx1"/>
            </w14:solidFill>
          </w14:textFill>
        </w:rPr>
        <w:t>）</w:t>
      </w:r>
      <w:r>
        <w:rPr>
          <w:rFonts w:hint="eastAsia" w:ascii="宋体" w:hAnsi="宋体" w:eastAsia="宋体" w:cs="宋体"/>
          <w:b w:val="0"/>
          <w:bCs/>
          <w:color w:val="000000" w:themeColor="text1"/>
          <w:sz w:val="21"/>
          <w:szCs w:val="21"/>
          <w:lang w:eastAsia="zh-CN"/>
          <w14:textFill>
            <w14:solidFill>
              <w14:schemeClr w14:val="tx1"/>
            </w14:solidFill>
          </w14:textFill>
        </w:rPr>
        <w:t>应收账款</w:t>
      </w:r>
    </w:p>
    <w:p w14:paraId="2200FD29">
      <w:pPr>
        <w:pStyle w:val="3"/>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firstLine="0"/>
        <w:textAlignment w:val="auto"/>
        <w:rPr>
          <w:rFonts w:hint="eastAsia" w:ascii="宋体" w:hAnsi="宋体" w:eastAsia="宋体" w:cs="宋体"/>
          <w:b w:val="0"/>
          <w:bCs/>
          <w:color w:val="000000" w:themeColor="text1"/>
          <w:sz w:val="21"/>
          <w:szCs w:val="21"/>
          <w:lang w:eastAsia="zh-CN"/>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　           （</w:t>
      </w:r>
      <w:r>
        <w:rPr>
          <w:rFonts w:hint="eastAsia" w:ascii="宋体" w:hAnsi="宋体" w:eastAsia="宋体" w:cs="宋体"/>
          <w:b w:val="0"/>
          <w:bCs/>
          <w:color w:val="000000" w:themeColor="text1"/>
          <w:sz w:val="21"/>
          <w:szCs w:val="21"/>
          <w:lang w:val="en-US" w:eastAsia="zh-CN"/>
          <w14:textFill>
            <w14:solidFill>
              <w14:schemeClr w14:val="tx1"/>
            </w14:solidFill>
          </w14:textFill>
        </w:rPr>
        <w:t>3</w:t>
      </w:r>
      <w:r>
        <w:rPr>
          <w:rFonts w:hint="eastAsia" w:ascii="宋体" w:hAnsi="宋体" w:eastAsia="宋体" w:cs="宋体"/>
          <w:b w:val="0"/>
          <w:bCs/>
          <w:color w:val="000000" w:themeColor="text1"/>
          <w:sz w:val="21"/>
          <w:szCs w:val="21"/>
          <w14:textFill>
            <w14:solidFill>
              <w14:schemeClr w14:val="tx1"/>
            </w14:solidFill>
          </w14:textFill>
        </w:rPr>
        <w:t>）</w:t>
      </w:r>
      <w:r>
        <w:rPr>
          <w:rFonts w:hint="eastAsia" w:ascii="宋体" w:hAnsi="宋体" w:eastAsia="宋体" w:cs="宋体"/>
          <w:b w:val="0"/>
          <w:bCs/>
          <w:color w:val="000000" w:themeColor="text1"/>
          <w:sz w:val="21"/>
          <w:szCs w:val="21"/>
          <w:lang w:eastAsia="zh-CN"/>
          <w14:textFill>
            <w14:solidFill>
              <w14:schemeClr w14:val="tx1"/>
            </w14:solidFill>
          </w14:textFill>
        </w:rPr>
        <w:t>投资收益</w:t>
      </w:r>
      <w:r>
        <w:rPr>
          <w:rFonts w:hint="eastAsia" w:ascii="宋体" w:hAnsi="宋体" w:eastAsia="宋体" w:cs="宋体"/>
          <w:b w:val="0"/>
          <w:bCs/>
          <w:color w:val="000000" w:themeColor="text1"/>
          <w:sz w:val="21"/>
          <w:szCs w:val="21"/>
          <w14:textFill>
            <w14:solidFill>
              <w14:schemeClr w14:val="tx1"/>
            </w14:solidFill>
          </w14:textFill>
        </w:rPr>
        <w:t>（</w:t>
      </w:r>
      <w:r>
        <w:rPr>
          <w:rFonts w:hint="eastAsia" w:ascii="宋体" w:hAnsi="宋体" w:eastAsia="宋体" w:cs="宋体"/>
          <w:b w:val="0"/>
          <w:bCs/>
          <w:color w:val="000000" w:themeColor="text1"/>
          <w:sz w:val="21"/>
          <w:szCs w:val="21"/>
          <w:lang w:eastAsia="zh-CN"/>
          <w14:textFill>
            <w14:solidFill>
              <w14:schemeClr w14:val="tx1"/>
            </w14:solidFill>
          </w14:textFill>
        </w:rPr>
        <w:t>借或贷</w:t>
      </w:r>
      <w:r>
        <w:rPr>
          <w:rFonts w:hint="eastAsia" w:ascii="宋体" w:hAnsi="宋体" w:eastAsia="宋体" w:cs="宋体"/>
          <w:b w:val="0"/>
          <w:bCs/>
          <w:color w:val="000000" w:themeColor="text1"/>
          <w:sz w:val="21"/>
          <w:szCs w:val="21"/>
          <w14:textFill>
            <w14:solidFill>
              <w14:schemeClr w14:val="tx1"/>
            </w14:solidFill>
          </w14:textFill>
        </w:rPr>
        <w:t>，</w:t>
      </w:r>
      <w:r>
        <w:rPr>
          <w:rFonts w:hint="eastAsia" w:ascii="宋体" w:hAnsi="宋体" w:eastAsia="宋体" w:cs="宋体"/>
          <w:b w:val="0"/>
          <w:bCs/>
          <w:color w:val="000000" w:themeColor="text1"/>
          <w:sz w:val="21"/>
          <w:szCs w:val="21"/>
          <w:lang w:eastAsia="zh-CN"/>
          <w14:textFill>
            <w14:solidFill>
              <w14:schemeClr w14:val="tx1"/>
            </w14:solidFill>
          </w14:textFill>
        </w:rPr>
        <w:t>放弃债权的公允价值与账面价值之间的差额</w:t>
      </w:r>
      <w:r>
        <w:rPr>
          <w:rFonts w:hint="eastAsia" w:ascii="宋体" w:hAnsi="宋体" w:eastAsia="宋体" w:cs="宋体"/>
          <w:b w:val="0"/>
          <w:bCs/>
          <w:color w:val="000000" w:themeColor="text1"/>
          <w:sz w:val="21"/>
          <w:szCs w:val="21"/>
          <w14:textFill>
            <w14:solidFill>
              <w14:schemeClr w14:val="tx1"/>
            </w14:solidFill>
          </w14:textFill>
        </w:rPr>
        <w:t>）</w:t>
      </w:r>
    </w:p>
    <w:p w14:paraId="62D01BDB">
      <w:pPr>
        <w:pStyle w:val="3"/>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firstLine="0"/>
        <w:textAlignment w:val="auto"/>
        <w:rPr>
          <w:rFonts w:hint="eastAsia" w:ascii="宋体" w:hAnsi="宋体" w:eastAsia="宋体" w:cs="宋体"/>
          <w:b w:val="0"/>
          <w:bCs/>
          <w:color w:val="000000" w:themeColor="text1"/>
          <w:sz w:val="21"/>
          <w:szCs w:val="21"/>
          <w:lang w:eastAsia="zh-CN"/>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 xml:space="preserve">          　（</w:t>
      </w:r>
      <w:r>
        <w:rPr>
          <w:rFonts w:hint="eastAsia" w:ascii="宋体" w:hAnsi="宋体" w:eastAsia="宋体" w:cs="宋体"/>
          <w:b w:val="0"/>
          <w:bCs/>
          <w:color w:val="000000" w:themeColor="text1"/>
          <w:sz w:val="21"/>
          <w:szCs w:val="21"/>
          <w:lang w:val="en-US" w:eastAsia="zh-CN"/>
          <w14:textFill>
            <w14:solidFill>
              <w14:schemeClr w14:val="tx1"/>
            </w14:solidFill>
          </w14:textFill>
        </w:rPr>
        <w:t>4</w:t>
      </w:r>
      <w:r>
        <w:rPr>
          <w:rFonts w:hint="eastAsia" w:ascii="宋体" w:hAnsi="宋体" w:eastAsia="宋体" w:cs="宋体"/>
          <w:b w:val="0"/>
          <w:bCs/>
          <w:color w:val="000000" w:themeColor="text1"/>
          <w:sz w:val="21"/>
          <w:szCs w:val="21"/>
          <w14:textFill>
            <w14:solidFill>
              <w14:schemeClr w14:val="tx1"/>
            </w14:solidFill>
          </w14:textFill>
        </w:rPr>
        <w:t>）</w:t>
      </w:r>
      <w:r>
        <w:rPr>
          <w:rFonts w:hint="eastAsia" w:ascii="宋体" w:hAnsi="宋体" w:eastAsia="宋体" w:cs="宋体"/>
          <w:b w:val="0"/>
          <w:bCs/>
          <w:color w:val="000000" w:themeColor="text1"/>
          <w:sz w:val="21"/>
          <w:szCs w:val="21"/>
          <w:lang w:eastAsia="zh-CN"/>
          <w14:textFill>
            <w14:solidFill>
              <w14:schemeClr w14:val="tx1"/>
            </w14:solidFill>
          </w14:textFill>
        </w:rPr>
        <w:t>短期借款、应付账款等</w:t>
      </w:r>
    </w:p>
    <w:p w14:paraId="6DB0AE7F">
      <w:pPr>
        <w:pStyle w:val="3"/>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firstLine="0"/>
        <w:textAlignment w:val="auto"/>
        <w:rPr>
          <w:rFonts w:hint="eastAsia" w:ascii="宋体" w:hAnsi="宋体" w:eastAsia="宋体" w:cs="宋体"/>
          <w:b w:val="0"/>
          <w:bCs/>
          <w:color w:val="FF0000"/>
          <w:sz w:val="21"/>
          <w:szCs w:val="21"/>
          <w:lang w:eastAsia="zh-CN"/>
        </w:rPr>
      </w:pPr>
      <w:r>
        <w:rPr>
          <w:rFonts w:hint="eastAsia" w:ascii="宋体" w:hAnsi="宋体" w:eastAsia="宋体" w:cs="宋体"/>
          <w:b w:val="0"/>
          <w:bCs/>
          <w:color w:val="FF0000"/>
          <w:sz w:val="21"/>
          <w:szCs w:val="21"/>
          <w:lang w:val="en-US" w:eastAsia="zh-CN"/>
        </w:rPr>
        <w:t>5.</w:t>
      </w:r>
      <w:r>
        <w:rPr>
          <w:rFonts w:hint="eastAsia" w:ascii="宋体" w:hAnsi="宋体" w:eastAsia="宋体" w:cs="宋体"/>
          <w:b w:val="0"/>
          <w:bCs/>
          <w:color w:val="FF0000"/>
          <w:sz w:val="21"/>
          <w:szCs w:val="21"/>
          <w:lang w:eastAsia="zh-CN"/>
        </w:rPr>
        <w:t>债权人将受让的资产或处置组划分为持有待售类别</w:t>
      </w:r>
    </w:p>
    <w:p w14:paraId="6A4CFE4C">
      <w:pPr>
        <w:pStyle w:val="3"/>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firstLine="0"/>
        <w:textAlignment w:val="auto"/>
        <w:rPr>
          <w:rFonts w:hint="eastAsia" w:ascii="宋体" w:hAnsi="宋体" w:eastAsia="宋体" w:cs="宋体"/>
          <w:b w:val="0"/>
          <w:bCs/>
          <w:color w:val="000000" w:themeColor="text1"/>
          <w:sz w:val="21"/>
          <w:szCs w:val="21"/>
          <w:lang w:eastAsia="zh-CN"/>
          <w14:textFill>
            <w14:solidFill>
              <w14:schemeClr w14:val="tx1"/>
            </w14:solidFill>
          </w14:textFill>
        </w:rPr>
      </w:pPr>
      <w:r>
        <w:rPr>
          <w:rFonts w:hint="eastAsia" w:ascii="宋体" w:hAnsi="宋体" w:eastAsia="宋体" w:cs="宋体"/>
          <w:b w:val="0"/>
          <w:bCs/>
          <w:color w:val="000000" w:themeColor="text1"/>
          <w:sz w:val="21"/>
          <w:szCs w:val="21"/>
          <w:lang w:eastAsia="zh-CN"/>
          <w14:textFill>
            <w14:solidFill>
              <w14:schemeClr w14:val="tx1"/>
            </w14:solidFill>
          </w14:textFill>
        </w:rPr>
        <w:t>债权人应当比较</w:t>
      </w:r>
      <w:r>
        <w:rPr>
          <w:rFonts w:hint="eastAsia" w:ascii="宋体" w:hAnsi="宋体" w:eastAsia="宋体" w:cs="宋体"/>
          <w:b w:val="0"/>
          <w:bCs/>
          <w:color w:val="000000" w:themeColor="text1"/>
          <w:sz w:val="21"/>
          <w:szCs w:val="21"/>
          <w14:textFill>
            <w14:solidFill>
              <w14:schemeClr w14:val="tx1"/>
            </w14:solidFill>
          </w14:textFill>
        </w:rPr>
        <w:t>：</w:t>
      </w:r>
    </w:p>
    <w:p w14:paraId="4FC301EE">
      <w:pPr>
        <w:pStyle w:val="3"/>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firstLine="0"/>
        <w:textAlignment w:val="auto"/>
        <w:rPr>
          <w:rFonts w:hint="eastAsia" w:ascii="宋体" w:hAnsi="宋体" w:eastAsia="宋体" w:cs="宋体"/>
          <w:b w:val="0"/>
          <w:bCs/>
          <w:color w:val="FF0000"/>
          <w:sz w:val="21"/>
          <w:szCs w:val="21"/>
          <w:lang w:eastAsia="zh-CN"/>
        </w:rPr>
      </w:pPr>
      <w:r>
        <w:rPr>
          <w:rFonts w:hint="eastAsia" w:ascii="宋体" w:hAnsi="宋体" w:eastAsia="宋体" w:cs="宋体"/>
          <w:b w:val="0"/>
          <w:bCs/>
          <w:color w:val="000000" w:themeColor="text1"/>
          <w:sz w:val="21"/>
          <w:szCs w:val="21"/>
          <w14:textFill>
            <w14:solidFill>
              <w14:schemeClr w14:val="tx1"/>
            </w14:solidFill>
          </w14:textFill>
        </w:rPr>
        <w:t>（</w:t>
      </w:r>
      <w:r>
        <w:rPr>
          <w:rFonts w:hint="eastAsia" w:ascii="宋体" w:hAnsi="宋体" w:eastAsia="宋体" w:cs="宋体"/>
          <w:b w:val="0"/>
          <w:bCs/>
          <w:color w:val="000000" w:themeColor="text1"/>
          <w:sz w:val="21"/>
          <w:szCs w:val="21"/>
          <w:lang w:val="en-US" w:eastAsia="zh-CN"/>
          <w14:textFill>
            <w14:solidFill>
              <w14:schemeClr w14:val="tx1"/>
            </w14:solidFill>
          </w14:textFill>
        </w:rPr>
        <w:t>1</w:t>
      </w:r>
      <w:r>
        <w:rPr>
          <w:rFonts w:hint="eastAsia" w:ascii="宋体" w:hAnsi="宋体" w:eastAsia="宋体" w:cs="宋体"/>
          <w:b w:val="0"/>
          <w:bCs/>
          <w:color w:val="000000" w:themeColor="text1"/>
          <w:sz w:val="21"/>
          <w:szCs w:val="21"/>
          <w14:textFill>
            <w14:solidFill>
              <w14:schemeClr w14:val="tx1"/>
            </w14:solidFill>
          </w14:textFill>
        </w:rPr>
        <w:t>）</w:t>
      </w:r>
      <w:r>
        <w:rPr>
          <w:rFonts w:hint="eastAsia" w:ascii="宋体" w:hAnsi="宋体" w:eastAsia="宋体" w:cs="宋体"/>
          <w:b w:val="0"/>
          <w:bCs/>
          <w:color w:val="000000" w:themeColor="text1"/>
          <w:sz w:val="21"/>
          <w:szCs w:val="21"/>
          <w:lang w:eastAsia="zh-CN"/>
          <w14:textFill>
            <w14:solidFill>
              <w14:schemeClr w14:val="tx1"/>
            </w14:solidFill>
          </w14:textFill>
        </w:rPr>
        <w:t>假定其</w:t>
      </w:r>
      <w:r>
        <w:rPr>
          <w:rFonts w:hint="eastAsia" w:ascii="宋体" w:hAnsi="宋体" w:eastAsia="宋体" w:cs="宋体"/>
          <w:b w:val="0"/>
          <w:bCs/>
          <w:color w:val="FF0000"/>
          <w:sz w:val="21"/>
          <w:szCs w:val="21"/>
          <w:lang w:eastAsia="zh-CN"/>
        </w:rPr>
        <w:t>不划分为持有待售类别情况下的初始计量金额</w:t>
      </w:r>
    </w:p>
    <w:p w14:paraId="26605983">
      <w:pPr>
        <w:pStyle w:val="3"/>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firstLine="0"/>
        <w:textAlignment w:val="auto"/>
        <w:rPr>
          <w:rFonts w:hint="eastAsia" w:ascii="宋体" w:hAnsi="宋体" w:eastAsia="宋体" w:cs="宋体"/>
          <w:b w:val="0"/>
          <w:bCs/>
          <w:color w:val="000000" w:themeColor="text1"/>
          <w:sz w:val="21"/>
          <w:szCs w:val="21"/>
          <w:lang w:eastAsia="zh-CN"/>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w:t>
      </w:r>
      <w:r>
        <w:rPr>
          <w:rFonts w:hint="eastAsia" w:ascii="宋体" w:hAnsi="宋体" w:eastAsia="宋体" w:cs="宋体"/>
          <w:b w:val="0"/>
          <w:bCs/>
          <w:color w:val="000000" w:themeColor="text1"/>
          <w:sz w:val="21"/>
          <w:szCs w:val="21"/>
          <w:lang w:val="en-US" w:eastAsia="zh-CN"/>
          <w14:textFill>
            <w14:solidFill>
              <w14:schemeClr w14:val="tx1"/>
            </w14:solidFill>
          </w14:textFill>
        </w:rPr>
        <w:t>2</w:t>
      </w:r>
      <w:r>
        <w:rPr>
          <w:rFonts w:hint="eastAsia" w:ascii="宋体" w:hAnsi="宋体" w:eastAsia="宋体" w:cs="宋体"/>
          <w:b w:val="0"/>
          <w:bCs/>
          <w:color w:val="000000" w:themeColor="text1"/>
          <w:sz w:val="21"/>
          <w:szCs w:val="21"/>
          <w14:textFill>
            <w14:solidFill>
              <w14:schemeClr w14:val="tx1"/>
            </w14:solidFill>
          </w14:textFill>
        </w:rPr>
        <w:t>）</w:t>
      </w:r>
      <w:r>
        <w:rPr>
          <w:rFonts w:hint="eastAsia" w:ascii="宋体" w:hAnsi="宋体" w:eastAsia="宋体" w:cs="宋体"/>
          <w:b w:val="0"/>
          <w:bCs/>
          <w:color w:val="FF0000"/>
          <w:sz w:val="21"/>
          <w:szCs w:val="21"/>
          <w:lang w:eastAsia="zh-CN"/>
        </w:rPr>
        <w:t>公允价值减去出售费用后的净额</w:t>
      </w:r>
      <w:r>
        <w:rPr>
          <w:rFonts w:hint="eastAsia" w:ascii="宋体" w:hAnsi="宋体" w:eastAsia="宋体" w:cs="宋体"/>
          <w:b w:val="0"/>
          <w:bCs/>
          <w:color w:val="FF0000"/>
          <w:sz w:val="21"/>
          <w:szCs w:val="21"/>
        </w:rPr>
        <w:t>，</w:t>
      </w:r>
      <w:r>
        <w:rPr>
          <w:rFonts w:hint="eastAsia" w:ascii="宋体" w:hAnsi="宋体" w:eastAsia="宋体" w:cs="宋体"/>
          <w:b w:val="0"/>
          <w:bCs/>
          <w:color w:val="000000" w:themeColor="text1"/>
          <w:sz w:val="21"/>
          <w:szCs w:val="21"/>
          <w:lang w:eastAsia="zh-CN"/>
          <w14:textFill>
            <w14:solidFill>
              <w14:schemeClr w14:val="tx1"/>
            </w14:solidFill>
          </w14:textFill>
        </w:rPr>
        <w:t>以两者</w:t>
      </w:r>
      <w:r>
        <w:rPr>
          <w:rFonts w:hint="eastAsia" w:ascii="宋体" w:hAnsi="宋体" w:eastAsia="宋体" w:cs="宋体"/>
          <w:b w:val="0"/>
          <w:bCs/>
          <w:color w:val="FF0000"/>
          <w:sz w:val="21"/>
          <w:szCs w:val="21"/>
          <w:lang w:eastAsia="zh-CN"/>
        </w:rPr>
        <w:t>孰低初始</w:t>
      </w:r>
      <w:r>
        <w:rPr>
          <w:rFonts w:hint="eastAsia" w:ascii="宋体" w:hAnsi="宋体" w:eastAsia="宋体" w:cs="宋体"/>
          <w:b w:val="0"/>
          <w:bCs/>
          <w:color w:val="000000" w:themeColor="text1"/>
          <w:sz w:val="21"/>
          <w:szCs w:val="21"/>
          <w:lang w:eastAsia="zh-CN"/>
          <w14:textFill>
            <w14:solidFill>
              <w14:schemeClr w14:val="tx1"/>
            </w14:solidFill>
          </w14:textFill>
        </w:rPr>
        <w:t>计量。</w:t>
      </w:r>
    </w:p>
    <w:p w14:paraId="7B819639">
      <w:pPr>
        <w:pStyle w:val="3"/>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firstLine="0"/>
        <w:textAlignment w:val="auto"/>
        <w:rPr>
          <w:rFonts w:hint="eastAsia" w:ascii="宋体" w:hAnsi="宋体" w:eastAsia="宋体" w:cs="宋体"/>
          <w:b w:val="0"/>
          <w:bCs/>
          <w:color w:val="000000" w:themeColor="text1"/>
          <w:sz w:val="21"/>
          <w:szCs w:val="21"/>
          <w:lang w:eastAsia="zh-CN"/>
          <w14:textFill>
            <w14:solidFill>
              <w14:schemeClr w14:val="tx1"/>
            </w14:solidFill>
          </w14:textFill>
        </w:rPr>
      </w:pPr>
      <w:r>
        <w:rPr>
          <w:rFonts w:hint="eastAsia" w:ascii="宋体" w:hAnsi="宋体" w:eastAsia="宋体" w:cs="宋体"/>
          <w:b w:val="0"/>
          <w:bCs/>
          <w:color w:val="000000" w:themeColor="text1"/>
          <w:sz w:val="21"/>
          <w:szCs w:val="21"/>
          <w:lang w:eastAsia="zh-CN"/>
          <w14:textFill>
            <w14:solidFill>
              <w14:schemeClr w14:val="tx1"/>
            </w14:solidFill>
          </w14:textFill>
        </w:rPr>
        <w:t>借</w:t>
      </w:r>
      <w:r>
        <w:rPr>
          <w:rFonts w:hint="eastAsia" w:ascii="宋体" w:hAnsi="宋体" w:eastAsia="宋体" w:cs="宋体"/>
          <w:b w:val="0"/>
          <w:bCs/>
          <w:color w:val="000000" w:themeColor="text1"/>
          <w:sz w:val="21"/>
          <w:szCs w:val="21"/>
          <w14:textFill>
            <w14:solidFill>
              <w14:schemeClr w14:val="tx1"/>
            </w14:solidFill>
          </w14:textFill>
        </w:rPr>
        <w:t>：（</w:t>
      </w:r>
      <w:r>
        <w:rPr>
          <w:rFonts w:hint="eastAsia" w:ascii="宋体" w:hAnsi="宋体" w:eastAsia="宋体" w:cs="宋体"/>
          <w:b w:val="0"/>
          <w:bCs/>
          <w:color w:val="000000" w:themeColor="text1"/>
          <w:sz w:val="21"/>
          <w:szCs w:val="21"/>
          <w:lang w:val="en-US" w:eastAsia="zh-CN"/>
          <w14:textFill>
            <w14:solidFill>
              <w14:schemeClr w14:val="tx1"/>
            </w14:solidFill>
          </w14:textFill>
        </w:rPr>
        <w:t>3</w:t>
      </w:r>
      <w:r>
        <w:rPr>
          <w:rFonts w:hint="eastAsia" w:ascii="宋体" w:hAnsi="宋体" w:eastAsia="宋体" w:cs="宋体"/>
          <w:b w:val="0"/>
          <w:bCs/>
          <w:color w:val="000000" w:themeColor="text1"/>
          <w:sz w:val="21"/>
          <w:szCs w:val="21"/>
          <w14:textFill>
            <w14:solidFill>
              <w14:schemeClr w14:val="tx1"/>
            </w14:solidFill>
          </w14:textFill>
        </w:rPr>
        <w:t>）</w:t>
      </w:r>
      <w:r>
        <w:rPr>
          <w:rFonts w:hint="eastAsia" w:ascii="宋体" w:hAnsi="宋体" w:eastAsia="宋体" w:cs="宋体"/>
          <w:b w:val="0"/>
          <w:bCs/>
          <w:color w:val="000000" w:themeColor="text1"/>
          <w:sz w:val="21"/>
          <w:szCs w:val="21"/>
          <w:lang w:eastAsia="zh-CN"/>
          <w14:textFill>
            <w14:solidFill>
              <w14:schemeClr w14:val="tx1"/>
            </w14:solidFill>
          </w14:textFill>
        </w:rPr>
        <w:t>持有待售资产</w:t>
      </w:r>
      <w:r>
        <w:rPr>
          <w:rFonts w:hint="eastAsia" w:ascii="宋体" w:hAnsi="宋体" w:eastAsia="宋体" w:cs="宋体"/>
          <w:b w:val="0"/>
          <w:bCs/>
          <w:color w:val="000000" w:themeColor="text1"/>
          <w:sz w:val="21"/>
          <w:szCs w:val="21"/>
          <w14:textFill>
            <w14:solidFill>
              <w14:schemeClr w14:val="tx1"/>
            </w14:solidFill>
          </w14:textFill>
        </w:rPr>
        <w:t>（</w:t>
      </w:r>
      <w:r>
        <w:rPr>
          <w:rFonts w:hint="eastAsia" w:ascii="宋体" w:hAnsi="宋体" w:eastAsia="宋体" w:cs="宋体"/>
          <w:b w:val="0"/>
          <w:bCs/>
          <w:color w:val="000000" w:themeColor="text1"/>
          <w:sz w:val="21"/>
          <w:szCs w:val="21"/>
          <w:lang w:eastAsia="zh-CN"/>
          <w14:textFill>
            <w14:solidFill>
              <w14:schemeClr w14:val="tx1"/>
            </w14:solidFill>
          </w14:textFill>
        </w:rPr>
        <w:t>以上两者</w:t>
      </w:r>
      <w:r>
        <w:rPr>
          <w:rFonts w:hint="eastAsia" w:ascii="宋体" w:hAnsi="宋体" w:eastAsia="宋体" w:cs="宋体"/>
          <w:b w:val="0"/>
          <w:bCs/>
          <w:color w:val="FF0000"/>
          <w:sz w:val="21"/>
          <w:szCs w:val="21"/>
          <w:lang w:eastAsia="zh-CN"/>
        </w:rPr>
        <w:t>孰低值</w:t>
      </w:r>
      <w:r>
        <w:rPr>
          <w:rFonts w:hint="eastAsia" w:ascii="宋体" w:hAnsi="宋体" w:eastAsia="宋体" w:cs="宋体"/>
          <w:b w:val="0"/>
          <w:bCs/>
          <w:color w:val="000000" w:themeColor="text1"/>
          <w:sz w:val="21"/>
          <w:szCs w:val="21"/>
          <w14:textFill>
            <w14:solidFill>
              <w14:schemeClr w14:val="tx1"/>
            </w14:solidFill>
          </w14:textFill>
        </w:rPr>
        <w:t>）</w:t>
      </w:r>
    </w:p>
    <w:p w14:paraId="4C1C1397">
      <w:pPr>
        <w:pStyle w:val="3"/>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firstLine="0"/>
        <w:textAlignment w:val="auto"/>
        <w:rPr>
          <w:rFonts w:hint="eastAsia" w:ascii="宋体" w:hAnsi="宋体" w:eastAsia="宋体" w:cs="宋体"/>
          <w:b w:val="0"/>
          <w:bCs/>
          <w:color w:val="000000" w:themeColor="text1"/>
          <w:sz w:val="21"/>
          <w:szCs w:val="21"/>
          <w:lang w:eastAsia="zh-CN"/>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　　（</w:t>
      </w:r>
      <w:r>
        <w:rPr>
          <w:rFonts w:hint="eastAsia" w:ascii="宋体" w:hAnsi="宋体" w:eastAsia="宋体" w:cs="宋体"/>
          <w:b w:val="0"/>
          <w:bCs/>
          <w:color w:val="000000" w:themeColor="text1"/>
          <w:sz w:val="21"/>
          <w:szCs w:val="21"/>
          <w:lang w:val="en-US" w:eastAsia="zh-CN"/>
          <w14:textFill>
            <w14:solidFill>
              <w14:schemeClr w14:val="tx1"/>
            </w14:solidFill>
          </w14:textFill>
        </w:rPr>
        <w:t>4</w:t>
      </w:r>
      <w:r>
        <w:rPr>
          <w:rFonts w:hint="eastAsia" w:ascii="宋体" w:hAnsi="宋体" w:eastAsia="宋体" w:cs="宋体"/>
          <w:b w:val="0"/>
          <w:bCs/>
          <w:color w:val="000000" w:themeColor="text1"/>
          <w:sz w:val="21"/>
          <w:szCs w:val="21"/>
          <w14:textFill>
            <w14:solidFill>
              <w14:schemeClr w14:val="tx1"/>
            </w14:solidFill>
          </w14:textFill>
        </w:rPr>
        <w:t>）</w:t>
      </w:r>
      <w:r>
        <w:rPr>
          <w:rFonts w:hint="eastAsia" w:ascii="宋体" w:hAnsi="宋体" w:eastAsia="宋体" w:cs="宋体"/>
          <w:b w:val="0"/>
          <w:bCs/>
          <w:color w:val="000000" w:themeColor="text1"/>
          <w:sz w:val="21"/>
          <w:szCs w:val="21"/>
          <w:lang w:eastAsia="zh-CN"/>
          <w14:textFill>
            <w14:solidFill>
              <w14:schemeClr w14:val="tx1"/>
            </w14:solidFill>
          </w14:textFill>
        </w:rPr>
        <w:t>资产减值损失</w:t>
      </w:r>
    </w:p>
    <w:p w14:paraId="7C4E7CD0">
      <w:pPr>
        <w:pStyle w:val="3"/>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firstLine="0"/>
        <w:textAlignment w:val="auto"/>
        <w:rPr>
          <w:rFonts w:hint="eastAsia" w:ascii="宋体" w:hAnsi="宋体" w:eastAsia="宋体" w:cs="宋体"/>
          <w:b w:val="0"/>
          <w:bCs/>
          <w:color w:val="000000" w:themeColor="text1"/>
          <w:sz w:val="21"/>
          <w:szCs w:val="21"/>
          <w:lang w:eastAsia="zh-CN"/>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　　（</w:t>
      </w:r>
      <w:r>
        <w:rPr>
          <w:rFonts w:hint="eastAsia" w:ascii="宋体" w:hAnsi="宋体" w:eastAsia="宋体" w:cs="宋体"/>
          <w:b w:val="0"/>
          <w:bCs/>
          <w:color w:val="000000" w:themeColor="text1"/>
          <w:sz w:val="21"/>
          <w:szCs w:val="21"/>
          <w:lang w:val="en-US" w:eastAsia="zh-CN"/>
          <w14:textFill>
            <w14:solidFill>
              <w14:schemeClr w14:val="tx1"/>
            </w14:solidFill>
          </w14:textFill>
        </w:rPr>
        <w:t>2</w:t>
      </w:r>
      <w:r>
        <w:rPr>
          <w:rFonts w:hint="eastAsia" w:ascii="宋体" w:hAnsi="宋体" w:eastAsia="宋体" w:cs="宋体"/>
          <w:b w:val="0"/>
          <w:bCs/>
          <w:color w:val="000000" w:themeColor="text1"/>
          <w:sz w:val="21"/>
          <w:szCs w:val="21"/>
          <w14:textFill>
            <w14:solidFill>
              <w14:schemeClr w14:val="tx1"/>
            </w14:solidFill>
          </w14:textFill>
        </w:rPr>
        <w:t>）</w:t>
      </w:r>
      <w:r>
        <w:rPr>
          <w:rFonts w:hint="eastAsia" w:ascii="宋体" w:hAnsi="宋体" w:eastAsia="宋体" w:cs="宋体"/>
          <w:b w:val="0"/>
          <w:bCs/>
          <w:color w:val="000000" w:themeColor="text1"/>
          <w:sz w:val="21"/>
          <w:szCs w:val="21"/>
          <w:lang w:eastAsia="zh-CN"/>
          <w14:textFill>
            <w14:solidFill>
              <w14:schemeClr w14:val="tx1"/>
            </w14:solidFill>
          </w14:textFill>
        </w:rPr>
        <w:t>坏账准备</w:t>
      </w:r>
    </w:p>
    <w:p w14:paraId="7795E2BE">
      <w:pPr>
        <w:pStyle w:val="3"/>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firstLine="0"/>
        <w:textAlignment w:val="auto"/>
        <w:rPr>
          <w:rFonts w:hint="eastAsia" w:ascii="宋体" w:hAnsi="宋体" w:eastAsia="宋体" w:cs="宋体"/>
          <w:b w:val="0"/>
          <w:bCs/>
          <w:color w:val="000000" w:themeColor="text1"/>
          <w:sz w:val="21"/>
          <w:szCs w:val="21"/>
          <w:lang w:eastAsia="zh-CN"/>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　　</w:t>
      </w:r>
      <w:r>
        <w:rPr>
          <w:rFonts w:hint="eastAsia" w:ascii="宋体" w:hAnsi="宋体" w:eastAsia="宋体" w:cs="宋体"/>
          <w:b w:val="0"/>
          <w:bCs/>
          <w:color w:val="000000" w:themeColor="text1"/>
          <w:sz w:val="21"/>
          <w:szCs w:val="21"/>
          <w:lang w:eastAsia="zh-CN"/>
          <w14:textFill>
            <w14:solidFill>
              <w14:schemeClr w14:val="tx1"/>
            </w14:solidFill>
          </w14:textFill>
        </w:rPr>
        <w:t>贷</w:t>
      </w:r>
      <w:r>
        <w:rPr>
          <w:rFonts w:hint="eastAsia" w:ascii="宋体" w:hAnsi="宋体" w:eastAsia="宋体" w:cs="宋体"/>
          <w:b w:val="0"/>
          <w:bCs/>
          <w:color w:val="000000" w:themeColor="text1"/>
          <w:sz w:val="21"/>
          <w:szCs w:val="21"/>
          <w14:textFill>
            <w14:solidFill>
              <w14:schemeClr w14:val="tx1"/>
            </w14:solidFill>
          </w14:textFill>
        </w:rPr>
        <w:t>：（</w:t>
      </w:r>
      <w:r>
        <w:rPr>
          <w:rFonts w:hint="eastAsia" w:ascii="宋体" w:hAnsi="宋体" w:eastAsia="宋体" w:cs="宋体"/>
          <w:b w:val="0"/>
          <w:bCs/>
          <w:color w:val="000000" w:themeColor="text1"/>
          <w:sz w:val="21"/>
          <w:szCs w:val="21"/>
          <w:lang w:val="en-US" w:eastAsia="zh-CN"/>
          <w14:textFill>
            <w14:solidFill>
              <w14:schemeClr w14:val="tx1"/>
            </w14:solidFill>
          </w14:textFill>
        </w:rPr>
        <w:t>1</w:t>
      </w:r>
      <w:r>
        <w:rPr>
          <w:rFonts w:hint="eastAsia" w:ascii="宋体" w:hAnsi="宋体" w:eastAsia="宋体" w:cs="宋体"/>
          <w:b w:val="0"/>
          <w:bCs/>
          <w:color w:val="000000" w:themeColor="text1"/>
          <w:sz w:val="21"/>
          <w:szCs w:val="21"/>
          <w14:textFill>
            <w14:solidFill>
              <w14:schemeClr w14:val="tx1"/>
            </w14:solidFill>
          </w14:textFill>
        </w:rPr>
        <w:t>）</w:t>
      </w:r>
      <w:r>
        <w:rPr>
          <w:rFonts w:hint="eastAsia" w:ascii="宋体" w:hAnsi="宋体" w:eastAsia="宋体" w:cs="宋体"/>
          <w:b w:val="0"/>
          <w:bCs/>
          <w:color w:val="000000" w:themeColor="text1"/>
          <w:sz w:val="21"/>
          <w:szCs w:val="21"/>
          <w:lang w:eastAsia="zh-CN"/>
          <w14:textFill>
            <w14:solidFill>
              <w14:schemeClr w14:val="tx1"/>
            </w14:solidFill>
          </w14:textFill>
        </w:rPr>
        <w:t xml:space="preserve">应收账款 </w:t>
      </w:r>
    </w:p>
    <w:p w14:paraId="7E64C05D">
      <w:pPr>
        <w:pStyle w:val="3"/>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firstLine="0"/>
        <w:textAlignment w:val="auto"/>
        <w:rPr>
          <w:rFonts w:hint="eastAsia" w:ascii="宋体" w:hAnsi="宋体" w:eastAsia="宋体" w:cs="宋体"/>
          <w:b w:val="0"/>
          <w:bCs/>
          <w:color w:val="FF0000"/>
          <w:sz w:val="21"/>
          <w:szCs w:val="21"/>
          <w:lang w:eastAsia="zh-CN"/>
        </w:rPr>
      </w:pPr>
      <w:r>
        <w:rPr>
          <w:rFonts w:hint="eastAsia" w:ascii="宋体" w:hAnsi="宋体" w:eastAsia="宋体" w:cs="宋体"/>
          <w:b w:val="0"/>
          <w:bCs/>
          <w:color w:val="FF0000"/>
          <w:sz w:val="21"/>
          <w:szCs w:val="21"/>
        </w:rPr>
        <w:t>（</w:t>
      </w:r>
      <w:r>
        <w:rPr>
          <w:rFonts w:hint="eastAsia" w:ascii="宋体" w:hAnsi="宋体" w:eastAsia="宋体" w:cs="宋体"/>
          <w:b w:val="0"/>
          <w:bCs/>
          <w:color w:val="FF0000"/>
          <w:sz w:val="21"/>
          <w:szCs w:val="21"/>
          <w:lang w:eastAsia="zh-CN"/>
        </w:rPr>
        <w:t>二</w:t>
      </w:r>
      <w:r>
        <w:rPr>
          <w:rFonts w:hint="eastAsia" w:ascii="宋体" w:hAnsi="宋体" w:eastAsia="宋体" w:cs="宋体"/>
          <w:b w:val="0"/>
          <w:bCs/>
          <w:color w:val="FF0000"/>
          <w:sz w:val="21"/>
          <w:szCs w:val="21"/>
        </w:rPr>
        <w:t>）</w:t>
      </w:r>
      <w:r>
        <w:rPr>
          <w:rFonts w:hint="eastAsia" w:ascii="宋体" w:hAnsi="宋体" w:eastAsia="宋体" w:cs="宋体"/>
          <w:b w:val="0"/>
          <w:bCs/>
          <w:color w:val="FF0000"/>
          <w:sz w:val="21"/>
          <w:szCs w:val="21"/>
          <w:lang w:eastAsia="zh-CN"/>
        </w:rPr>
        <w:t>修改其他条款</w:t>
      </w:r>
    </w:p>
    <w:p w14:paraId="4550D6A5">
      <w:pPr>
        <w:pStyle w:val="3"/>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firstLine="0"/>
        <w:textAlignment w:val="auto"/>
        <w:rPr>
          <w:rFonts w:hint="eastAsia" w:ascii="宋体" w:hAnsi="宋体" w:eastAsia="宋体" w:cs="宋体"/>
          <w:b w:val="0"/>
          <w:bCs/>
          <w:color w:val="000000" w:themeColor="text1"/>
          <w:sz w:val="21"/>
          <w:szCs w:val="21"/>
          <w:lang w:eastAsia="zh-CN"/>
          <w14:textFill>
            <w14:solidFill>
              <w14:schemeClr w14:val="tx1"/>
            </w14:solidFill>
          </w14:textFill>
        </w:rPr>
      </w:pPr>
      <w:r>
        <w:rPr>
          <w:rFonts w:hint="eastAsia" w:ascii="宋体" w:hAnsi="宋体" w:eastAsia="宋体" w:cs="宋体"/>
          <w:b w:val="0"/>
          <w:bCs/>
          <w:color w:val="FF0000"/>
          <w:sz w:val="21"/>
          <w:szCs w:val="21"/>
          <w:lang w:eastAsia="zh-CN"/>
        </w:rPr>
        <w:t>如果修改其他条款导致全部债权终止确认</w:t>
      </w:r>
      <w:r>
        <w:rPr>
          <w:rFonts w:hint="eastAsia" w:ascii="宋体" w:hAnsi="宋体" w:eastAsia="宋体" w:cs="宋体"/>
          <w:b w:val="0"/>
          <w:bCs/>
          <w:color w:val="FF0000"/>
          <w:sz w:val="21"/>
          <w:szCs w:val="21"/>
        </w:rPr>
        <w:t>：</w:t>
      </w:r>
      <w:r>
        <w:rPr>
          <w:rFonts w:hint="eastAsia" w:ascii="宋体" w:hAnsi="宋体" w:eastAsia="宋体" w:cs="宋体"/>
          <w:b w:val="0"/>
          <w:bCs/>
          <w:color w:val="000000" w:themeColor="text1"/>
          <w:sz w:val="21"/>
          <w:szCs w:val="21"/>
          <w:lang w:eastAsia="zh-CN"/>
          <w14:textFill>
            <w14:solidFill>
              <w14:schemeClr w14:val="tx1"/>
            </w14:solidFill>
          </w14:textFill>
        </w:rPr>
        <w:t>债权人应当按照修改后的条款以公允价值初始计量重组债权。</w:t>
      </w:r>
    </w:p>
    <w:p w14:paraId="43C8041F">
      <w:pPr>
        <w:pStyle w:val="3"/>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firstLine="0"/>
        <w:textAlignment w:val="auto"/>
        <w:rPr>
          <w:rFonts w:hint="eastAsia" w:ascii="宋体" w:hAnsi="宋体" w:eastAsia="宋体" w:cs="宋体"/>
          <w:b w:val="0"/>
          <w:bCs/>
          <w:color w:val="000000" w:themeColor="text1"/>
          <w:sz w:val="21"/>
          <w:szCs w:val="21"/>
          <w:lang w:eastAsia="zh-CN"/>
          <w14:textFill>
            <w14:solidFill>
              <w14:schemeClr w14:val="tx1"/>
            </w14:solidFill>
          </w14:textFill>
        </w:rPr>
      </w:pPr>
      <w:r>
        <w:rPr>
          <w:rFonts w:hint="eastAsia" w:ascii="宋体" w:hAnsi="宋体" w:eastAsia="宋体" w:cs="宋体"/>
          <w:b w:val="0"/>
          <w:bCs/>
          <w:color w:val="000000" w:themeColor="text1"/>
          <w:sz w:val="21"/>
          <w:szCs w:val="21"/>
          <w:lang w:eastAsia="zh-CN"/>
          <w14:textFill>
            <w14:solidFill>
              <w14:schemeClr w14:val="tx1"/>
            </w14:solidFill>
          </w14:textFill>
        </w:rPr>
        <w:t>借</w:t>
      </w:r>
      <w:r>
        <w:rPr>
          <w:rFonts w:hint="eastAsia" w:ascii="宋体" w:hAnsi="宋体" w:eastAsia="宋体" w:cs="宋体"/>
          <w:b w:val="0"/>
          <w:bCs/>
          <w:color w:val="000000" w:themeColor="text1"/>
          <w:sz w:val="21"/>
          <w:szCs w:val="21"/>
          <w14:textFill>
            <w14:solidFill>
              <w14:schemeClr w14:val="tx1"/>
            </w14:solidFill>
          </w14:textFill>
        </w:rPr>
        <w:t>：</w:t>
      </w:r>
      <w:r>
        <w:rPr>
          <w:rFonts w:hint="eastAsia" w:ascii="宋体" w:hAnsi="宋体" w:eastAsia="宋体" w:cs="宋体"/>
          <w:b w:val="0"/>
          <w:bCs/>
          <w:color w:val="000000" w:themeColor="text1"/>
          <w:sz w:val="21"/>
          <w:szCs w:val="21"/>
          <w:lang w:eastAsia="zh-CN"/>
          <w14:textFill>
            <w14:solidFill>
              <w14:schemeClr w14:val="tx1"/>
            </w14:solidFill>
          </w14:textFill>
        </w:rPr>
        <w:t>应收账款</w:t>
      </w:r>
      <w:r>
        <w:rPr>
          <w:rFonts w:hint="eastAsia" w:ascii="宋体" w:hAnsi="宋体" w:eastAsia="宋体" w:cs="宋体"/>
          <w:b w:val="0"/>
          <w:bCs/>
          <w:color w:val="000000" w:themeColor="text1"/>
          <w:sz w:val="21"/>
          <w:szCs w:val="21"/>
          <w:lang w:val="en-US" w:eastAsia="zh-CN"/>
          <w14:textFill>
            <w14:solidFill>
              <w14:schemeClr w14:val="tx1"/>
            </w14:solidFill>
          </w14:textFill>
        </w:rPr>
        <w:t>——</w:t>
      </w:r>
      <w:r>
        <w:rPr>
          <w:rFonts w:hint="eastAsia" w:ascii="宋体" w:hAnsi="宋体" w:eastAsia="宋体" w:cs="宋体"/>
          <w:b w:val="0"/>
          <w:bCs/>
          <w:color w:val="000000" w:themeColor="text1"/>
          <w:sz w:val="21"/>
          <w:szCs w:val="21"/>
          <w:lang w:eastAsia="zh-CN"/>
          <w14:textFill>
            <w14:solidFill>
              <w14:schemeClr w14:val="tx1"/>
            </w14:solidFill>
          </w14:textFill>
        </w:rPr>
        <w:t>重组债权</w:t>
      </w:r>
      <w:r>
        <w:rPr>
          <w:rFonts w:hint="eastAsia" w:ascii="宋体" w:hAnsi="宋体" w:eastAsia="宋体" w:cs="宋体"/>
          <w:b w:val="0"/>
          <w:bCs/>
          <w:color w:val="000000" w:themeColor="text1"/>
          <w:sz w:val="21"/>
          <w:szCs w:val="21"/>
          <w14:textFill>
            <w14:solidFill>
              <w14:schemeClr w14:val="tx1"/>
            </w14:solidFill>
          </w14:textFill>
        </w:rPr>
        <w:t>（</w:t>
      </w:r>
      <w:r>
        <w:rPr>
          <w:rFonts w:hint="eastAsia" w:ascii="宋体" w:hAnsi="宋体" w:eastAsia="宋体" w:cs="宋体"/>
          <w:b w:val="0"/>
          <w:bCs/>
          <w:color w:val="000000" w:themeColor="text1"/>
          <w:sz w:val="21"/>
          <w:szCs w:val="21"/>
          <w:lang w:eastAsia="zh-CN"/>
          <w14:textFill>
            <w14:solidFill>
              <w14:schemeClr w14:val="tx1"/>
            </w14:solidFill>
          </w14:textFill>
        </w:rPr>
        <w:t>公允价值</w:t>
      </w:r>
      <w:r>
        <w:rPr>
          <w:rFonts w:hint="eastAsia" w:ascii="宋体" w:hAnsi="宋体" w:eastAsia="宋体" w:cs="宋体"/>
          <w:b w:val="0"/>
          <w:bCs/>
          <w:color w:val="000000" w:themeColor="text1"/>
          <w:sz w:val="21"/>
          <w:szCs w:val="21"/>
          <w14:textFill>
            <w14:solidFill>
              <w14:schemeClr w14:val="tx1"/>
            </w14:solidFill>
          </w14:textFill>
        </w:rPr>
        <w:t>）</w:t>
      </w:r>
    </w:p>
    <w:p w14:paraId="6CA4E0AA">
      <w:pPr>
        <w:pStyle w:val="3"/>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firstLine="0"/>
        <w:textAlignment w:val="auto"/>
        <w:rPr>
          <w:rFonts w:hint="eastAsia" w:ascii="宋体" w:hAnsi="宋体" w:eastAsia="宋体" w:cs="宋体"/>
          <w:b w:val="0"/>
          <w:bCs/>
          <w:color w:val="000000" w:themeColor="text1"/>
          <w:sz w:val="21"/>
          <w:szCs w:val="21"/>
          <w:lang w:eastAsia="zh-CN"/>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　　</w:t>
      </w:r>
      <w:r>
        <w:rPr>
          <w:rFonts w:hint="eastAsia" w:ascii="宋体" w:hAnsi="宋体" w:eastAsia="宋体" w:cs="宋体"/>
          <w:b w:val="0"/>
          <w:bCs/>
          <w:color w:val="000000" w:themeColor="text1"/>
          <w:sz w:val="21"/>
          <w:szCs w:val="21"/>
          <w:lang w:eastAsia="zh-CN"/>
          <w14:textFill>
            <w14:solidFill>
              <w14:schemeClr w14:val="tx1"/>
            </w14:solidFill>
          </w14:textFill>
        </w:rPr>
        <w:t>坏账准备</w:t>
      </w:r>
    </w:p>
    <w:p w14:paraId="5224D5BB">
      <w:pPr>
        <w:pStyle w:val="3"/>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firstLine="0"/>
        <w:textAlignment w:val="auto"/>
        <w:rPr>
          <w:rFonts w:hint="eastAsia" w:ascii="宋体" w:hAnsi="宋体" w:eastAsia="宋体" w:cs="宋体"/>
          <w:b w:val="0"/>
          <w:bCs/>
          <w:color w:val="000000" w:themeColor="text1"/>
          <w:sz w:val="21"/>
          <w:szCs w:val="21"/>
          <w:lang w:eastAsia="zh-CN"/>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　　</w:t>
      </w:r>
      <w:r>
        <w:rPr>
          <w:rFonts w:hint="eastAsia" w:ascii="宋体" w:hAnsi="宋体" w:eastAsia="宋体" w:cs="宋体"/>
          <w:b w:val="0"/>
          <w:bCs/>
          <w:color w:val="000000" w:themeColor="text1"/>
          <w:sz w:val="21"/>
          <w:szCs w:val="21"/>
          <w:lang w:eastAsia="zh-CN"/>
          <w14:textFill>
            <w14:solidFill>
              <w14:schemeClr w14:val="tx1"/>
            </w14:solidFill>
          </w14:textFill>
        </w:rPr>
        <w:t>贷</w:t>
      </w:r>
      <w:r>
        <w:rPr>
          <w:rFonts w:hint="eastAsia" w:ascii="宋体" w:hAnsi="宋体" w:eastAsia="宋体" w:cs="宋体"/>
          <w:b w:val="0"/>
          <w:bCs/>
          <w:color w:val="000000" w:themeColor="text1"/>
          <w:sz w:val="21"/>
          <w:szCs w:val="21"/>
          <w14:textFill>
            <w14:solidFill>
              <w14:schemeClr w14:val="tx1"/>
            </w14:solidFill>
          </w14:textFill>
        </w:rPr>
        <w:t>：</w:t>
      </w:r>
      <w:r>
        <w:rPr>
          <w:rFonts w:hint="eastAsia" w:ascii="宋体" w:hAnsi="宋体" w:eastAsia="宋体" w:cs="宋体"/>
          <w:b w:val="0"/>
          <w:bCs/>
          <w:color w:val="000000" w:themeColor="text1"/>
          <w:sz w:val="21"/>
          <w:szCs w:val="21"/>
          <w:lang w:eastAsia="zh-CN"/>
          <w14:textFill>
            <w14:solidFill>
              <w14:schemeClr w14:val="tx1"/>
            </w14:solidFill>
          </w14:textFill>
        </w:rPr>
        <w:t>应收账款</w:t>
      </w:r>
    </w:p>
    <w:p w14:paraId="07C83248">
      <w:pPr>
        <w:pStyle w:val="3"/>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firstLine="0"/>
        <w:textAlignment w:val="auto"/>
        <w:rPr>
          <w:rFonts w:hint="eastAsia" w:ascii="宋体" w:hAnsi="宋体" w:eastAsia="宋体" w:cs="宋体"/>
          <w:b w:val="0"/>
          <w:bCs/>
          <w:color w:val="000000" w:themeColor="text1"/>
          <w:sz w:val="21"/>
          <w:szCs w:val="21"/>
          <w:lang w:eastAsia="zh-CN"/>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 xml:space="preserve">           　</w:t>
      </w:r>
      <w:r>
        <w:rPr>
          <w:rFonts w:hint="eastAsia" w:ascii="宋体" w:hAnsi="宋体" w:eastAsia="宋体" w:cs="宋体"/>
          <w:b w:val="0"/>
          <w:bCs/>
          <w:color w:val="000000" w:themeColor="text1"/>
          <w:sz w:val="21"/>
          <w:szCs w:val="21"/>
          <w:lang w:eastAsia="zh-CN"/>
          <w14:textFill>
            <w14:solidFill>
              <w14:schemeClr w14:val="tx1"/>
            </w14:solidFill>
          </w14:textFill>
        </w:rPr>
        <w:t>投资收益</w:t>
      </w:r>
      <w:r>
        <w:rPr>
          <w:rFonts w:hint="eastAsia" w:ascii="宋体" w:hAnsi="宋体" w:eastAsia="宋体" w:cs="宋体"/>
          <w:b w:val="0"/>
          <w:bCs/>
          <w:color w:val="000000" w:themeColor="text1"/>
          <w:sz w:val="21"/>
          <w:szCs w:val="21"/>
          <w14:textFill>
            <w14:solidFill>
              <w14:schemeClr w14:val="tx1"/>
            </w14:solidFill>
          </w14:textFill>
        </w:rPr>
        <w:t>（</w:t>
      </w:r>
      <w:r>
        <w:rPr>
          <w:rFonts w:hint="eastAsia" w:ascii="宋体" w:hAnsi="宋体" w:eastAsia="宋体" w:cs="宋体"/>
          <w:b w:val="0"/>
          <w:bCs/>
          <w:color w:val="000000" w:themeColor="text1"/>
          <w:sz w:val="21"/>
          <w:szCs w:val="21"/>
          <w:lang w:eastAsia="zh-CN"/>
          <w14:textFill>
            <w14:solidFill>
              <w14:schemeClr w14:val="tx1"/>
            </w14:solidFill>
          </w14:textFill>
        </w:rPr>
        <w:t>借或贷</w:t>
      </w:r>
      <w:r>
        <w:rPr>
          <w:rFonts w:hint="eastAsia" w:ascii="宋体" w:hAnsi="宋体" w:eastAsia="宋体" w:cs="宋体"/>
          <w:b w:val="0"/>
          <w:bCs/>
          <w:color w:val="000000" w:themeColor="text1"/>
          <w:sz w:val="21"/>
          <w:szCs w:val="21"/>
          <w14:textFill>
            <w14:solidFill>
              <w14:schemeClr w14:val="tx1"/>
            </w14:solidFill>
          </w14:textFill>
        </w:rPr>
        <w:t>，</w:t>
      </w:r>
      <w:r>
        <w:rPr>
          <w:rFonts w:hint="eastAsia" w:ascii="宋体" w:hAnsi="宋体" w:eastAsia="宋体" w:cs="宋体"/>
          <w:b w:val="0"/>
          <w:bCs/>
          <w:color w:val="000000" w:themeColor="text1"/>
          <w:sz w:val="21"/>
          <w:szCs w:val="21"/>
          <w:lang w:eastAsia="zh-CN"/>
          <w14:textFill>
            <w14:solidFill>
              <w14:schemeClr w14:val="tx1"/>
            </w14:solidFill>
          </w14:textFill>
        </w:rPr>
        <w:t>重组债权的确认金额与债权终止确认日账面价值之间的差额</w:t>
      </w:r>
      <w:r>
        <w:rPr>
          <w:rFonts w:hint="eastAsia" w:ascii="宋体" w:hAnsi="宋体" w:eastAsia="宋体" w:cs="宋体"/>
          <w:b w:val="0"/>
          <w:bCs/>
          <w:color w:val="000000" w:themeColor="text1"/>
          <w:sz w:val="21"/>
          <w:szCs w:val="21"/>
          <w14:textFill>
            <w14:solidFill>
              <w14:schemeClr w14:val="tx1"/>
            </w14:solidFill>
          </w14:textFill>
        </w:rPr>
        <w:t>）</w:t>
      </w:r>
    </w:p>
    <w:p w14:paraId="59ABF3DF">
      <w:pPr>
        <w:pStyle w:val="3"/>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firstLine="0"/>
        <w:textAlignment w:val="auto"/>
        <w:rPr>
          <w:rFonts w:hint="eastAsia" w:ascii="宋体" w:hAnsi="宋体" w:eastAsia="宋体" w:cs="宋体"/>
          <w:b w:val="0"/>
          <w:bCs/>
          <w:color w:val="000000" w:themeColor="text1"/>
          <w:sz w:val="21"/>
          <w:szCs w:val="21"/>
          <w:lang w:eastAsia="zh-CN"/>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三</w:t>
      </w:r>
      <w:r>
        <w:rPr>
          <w:rFonts w:hint="eastAsia" w:ascii="宋体" w:hAnsi="宋体" w:eastAsia="宋体" w:cs="宋体"/>
          <w:b w:val="0"/>
          <w:bCs/>
          <w:color w:val="000000" w:themeColor="text1"/>
          <w:sz w:val="21"/>
          <w:szCs w:val="21"/>
          <w:lang w:eastAsia="zh-CN"/>
          <w14:textFill>
            <w14:solidFill>
              <w14:schemeClr w14:val="tx1"/>
            </w14:solidFill>
          </w14:textFill>
        </w:rPr>
        <w:t>、债务人的会计处理</w:t>
      </w:r>
    </w:p>
    <w:p w14:paraId="11D89045">
      <w:pPr>
        <w:pStyle w:val="3"/>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firstLine="0"/>
        <w:textAlignment w:val="auto"/>
        <w:rPr>
          <w:rFonts w:hint="eastAsia" w:ascii="宋体" w:hAnsi="宋体" w:eastAsia="宋体" w:cs="宋体"/>
          <w:b w:val="0"/>
          <w:bCs/>
          <w:color w:val="FF0000"/>
          <w:sz w:val="21"/>
          <w:szCs w:val="21"/>
          <w:lang w:eastAsia="zh-CN"/>
        </w:rPr>
      </w:pPr>
      <w:r>
        <w:rPr>
          <w:rFonts w:hint="eastAsia" w:ascii="宋体" w:hAnsi="宋体" w:eastAsia="宋体" w:cs="宋体"/>
          <w:b w:val="0"/>
          <w:bCs/>
          <w:color w:val="FF0000"/>
          <w:sz w:val="21"/>
          <w:szCs w:val="21"/>
        </w:rPr>
        <w:t>（</w:t>
      </w:r>
      <w:r>
        <w:rPr>
          <w:rFonts w:hint="eastAsia" w:ascii="宋体" w:hAnsi="宋体" w:eastAsia="宋体" w:cs="宋体"/>
          <w:b w:val="0"/>
          <w:bCs/>
          <w:color w:val="FF0000"/>
          <w:sz w:val="21"/>
          <w:szCs w:val="21"/>
          <w:lang w:eastAsia="zh-CN"/>
        </w:rPr>
        <w:t>一</w:t>
      </w:r>
      <w:r>
        <w:rPr>
          <w:rFonts w:hint="eastAsia" w:ascii="宋体" w:hAnsi="宋体" w:eastAsia="宋体" w:cs="宋体"/>
          <w:b w:val="0"/>
          <w:bCs/>
          <w:color w:val="FF0000"/>
          <w:sz w:val="21"/>
          <w:szCs w:val="21"/>
        </w:rPr>
        <w:t>）</w:t>
      </w:r>
      <w:r>
        <w:rPr>
          <w:rFonts w:hint="eastAsia" w:ascii="宋体" w:hAnsi="宋体" w:eastAsia="宋体" w:cs="宋体"/>
          <w:b w:val="0"/>
          <w:bCs/>
          <w:color w:val="FF0000"/>
          <w:sz w:val="21"/>
          <w:szCs w:val="21"/>
          <w:lang w:eastAsia="zh-CN"/>
        </w:rPr>
        <w:t>债务人以资产清偿债务</w:t>
      </w:r>
      <w:r>
        <w:rPr>
          <w:rFonts w:hint="eastAsia" w:ascii="宋体" w:hAnsi="宋体" w:eastAsia="宋体" w:cs="宋体"/>
          <w:b w:val="0"/>
          <w:bCs/>
          <w:color w:val="FF0000"/>
          <w:sz w:val="21"/>
          <w:szCs w:val="21"/>
        </w:rPr>
        <w:t>（</w:t>
      </w:r>
      <w:r>
        <w:rPr>
          <w:rFonts w:hint="eastAsia" w:ascii="宋体" w:hAnsi="宋体" w:eastAsia="宋体" w:cs="宋体"/>
          <w:b w:val="0"/>
          <w:bCs/>
          <w:color w:val="FF0000"/>
          <w:sz w:val="21"/>
          <w:szCs w:val="21"/>
          <w:lang w:eastAsia="zh-CN"/>
        </w:rPr>
        <w:t>双面差</w:t>
      </w:r>
      <w:r>
        <w:rPr>
          <w:rFonts w:hint="eastAsia" w:ascii="宋体" w:hAnsi="宋体" w:eastAsia="宋体" w:cs="宋体"/>
          <w:b w:val="0"/>
          <w:bCs/>
          <w:color w:val="FF0000"/>
          <w:sz w:val="21"/>
          <w:szCs w:val="21"/>
        </w:rPr>
        <w:t>）</w:t>
      </w:r>
    </w:p>
    <w:p w14:paraId="678EFFE5">
      <w:pPr>
        <w:pStyle w:val="3"/>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firstLine="0"/>
        <w:textAlignment w:val="auto"/>
        <w:rPr>
          <w:rFonts w:hint="eastAsia" w:ascii="宋体" w:hAnsi="宋体" w:eastAsia="宋体" w:cs="宋体"/>
          <w:b w:val="0"/>
          <w:bCs/>
          <w:color w:val="FF0000"/>
          <w:sz w:val="21"/>
          <w:szCs w:val="21"/>
          <w:lang w:eastAsia="zh-CN"/>
        </w:rPr>
      </w:pPr>
      <w:r>
        <w:rPr>
          <w:rFonts w:hint="eastAsia" w:ascii="宋体" w:hAnsi="宋体" w:eastAsia="宋体" w:cs="宋体"/>
          <w:b w:val="0"/>
          <w:bCs/>
          <w:color w:val="000000" w:themeColor="text1"/>
          <w:sz w:val="21"/>
          <w:szCs w:val="21"/>
          <w:lang w:val="en-US" w:eastAsia="zh-CN"/>
          <w14:textFill>
            <w14:solidFill>
              <w14:schemeClr w14:val="tx1"/>
            </w14:solidFill>
          </w14:textFill>
        </w:rPr>
        <w:t>1.</w:t>
      </w:r>
      <w:r>
        <w:rPr>
          <w:rFonts w:hint="eastAsia" w:ascii="宋体" w:hAnsi="宋体" w:eastAsia="宋体" w:cs="宋体"/>
          <w:b w:val="0"/>
          <w:bCs/>
          <w:color w:val="000000" w:themeColor="text1"/>
          <w:sz w:val="21"/>
          <w:szCs w:val="21"/>
          <w:lang w:eastAsia="zh-CN"/>
          <w14:textFill>
            <w14:solidFill>
              <w14:schemeClr w14:val="tx1"/>
            </w14:solidFill>
          </w14:textFill>
        </w:rPr>
        <w:t>债务人以</w:t>
      </w:r>
      <w:r>
        <w:rPr>
          <w:rFonts w:hint="eastAsia" w:ascii="宋体" w:hAnsi="宋体" w:eastAsia="宋体" w:cs="宋体"/>
          <w:b w:val="0"/>
          <w:bCs/>
          <w:color w:val="FF0000"/>
          <w:sz w:val="21"/>
          <w:szCs w:val="21"/>
          <w:lang w:eastAsia="zh-CN"/>
        </w:rPr>
        <w:t>金融资产清偿债务</w:t>
      </w:r>
      <w:r>
        <w:rPr>
          <w:rFonts w:hint="eastAsia" w:ascii="宋体" w:hAnsi="宋体" w:eastAsia="宋体" w:cs="宋体"/>
          <w:b w:val="0"/>
          <w:bCs/>
          <w:color w:val="FF0000"/>
          <w:sz w:val="21"/>
          <w:szCs w:val="21"/>
        </w:rPr>
        <w:t>（</w:t>
      </w:r>
      <w:r>
        <w:rPr>
          <w:rFonts w:hint="eastAsia" w:ascii="宋体" w:hAnsi="宋体" w:eastAsia="宋体" w:cs="宋体"/>
          <w:b w:val="0"/>
          <w:bCs/>
          <w:color w:val="FF0000"/>
          <w:sz w:val="21"/>
          <w:szCs w:val="21"/>
          <w:lang w:eastAsia="zh-CN"/>
        </w:rPr>
        <w:t>双面差记入投资收益</w:t>
      </w:r>
      <w:r>
        <w:rPr>
          <w:rFonts w:hint="eastAsia" w:ascii="宋体" w:hAnsi="宋体" w:eastAsia="宋体" w:cs="宋体"/>
          <w:b w:val="0"/>
          <w:bCs/>
          <w:color w:val="FF0000"/>
          <w:sz w:val="21"/>
          <w:szCs w:val="21"/>
        </w:rPr>
        <w:t>：</w:t>
      </w:r>
      <w:r>
        <w:rPr>
          <w:rFonts w:hint="eastAsia" w:ascii="宋体" w:hAnsi="宋体" w:eastAsia="宋体" w:cs="宋体"/>
          <w:b w:val="0"/>
          <w:bCs/>
          <w:color w:val="FF0000"/>
          <w:sz w:val="21"/>
          <w:szCs w:val="21"/>
          <w:lang w:eastAsia="zh-CN"/>
        </w:rPr>
        <w:t>先按账面价值卖金融资产</w:t>
      </w:r>
      <w:r>
        <w:rPr>
          <w:rFonts w:hint="eastAsia" w:ascii="宋体" w:hAnsi="宋体" w:eastAsia="宋体" w:cs="宋体"/>
          <w:b w:val="0"/>
          <w:bCs/>
          <w:color w:val="FF0000"/>
          <w:sz w:val="21"/>
          <w:szCs w:val="21"/>
        </w:rPr>
        <w:t>，</w:t>
      </w:r>
      <w:r>
        <w:rPr>
          <w:rFonts w:hint="eastAsia" w:ascii="宋体" w:hAnsi="宋体" w:eastAsia="宋体" w:cs="宋体"/>
          <w:b w:val="0"/>
          <w:bCs/>
          <w:color w:val="FF0000"/>
          <w:sz w:val="21"/>
          <w:szCs w:val="21"/>
          <w:lang w:eastAsia="zh-CN"/>
        </w:rPr>
        <w:t>再还债</w:t>
      </w:r>
      <w:r>
        <w:rPr>
          <w:rFonts w:hint="eastAsia" w:ascii="宋体" w:hAnsi="宋体" w:eastAsia="宋体" w:cs="宋体"/>
          <w:b w:val="0"/>
          <w:bCs/>
          <w:color w:val="FF0000"/>
          <w:sz w:val="21"/>
          <w:szCs w:val="21"/>
        </w:rPr>
        <w:t>）</w:t>
      </w:r>
    </w:p>
    <w:p w14:paraId="1B9D9966">
      <w:pPr>
        <w:pStyle w:val="3"/>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firstLine="0"/>
        <w:textAlignment w:val="auto"/>
        <w:rPr>
          <w:rFonts w:hint="eastAsia" w:ascii="宋体" w:hAnsi="宋体" w:eastAsia="宋体" w:cs="宋体"/>
          <w:b w:val="0"/>
          <w:bCs/>
          <w:color w:val="000000" w:themeColor="text1"/>
          <w:sz w:val="21"/>
          <w:szCs w:val="21"/>
          <w:lang w:eastAsia="zh-CN"/>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w:t>
      </w:r>
      <w:r>
        <w:rPr>
          <w:rFonts w:hint="eastAsia" w:ascii="宋体" w:hAnsi="宋体" w:eastAsia="宋体" w:cs="宋体"/>
          <w:b w:val="0"/>
          <w:bCs/>
          <w:color w:val="000000" w:themeColor="text1"/>
          <w:sz w:val="21"/>
          <w:szCs w:val="21"/>
          <w:lang w:val="en-US" w:eastAsia="zh-CN"/>
          <w14:textFill>
            <w14:solidFill>
              <w14:schemeClr w14:val="tx1"/>
            </w14:solidFill>
          </w14:textFill>
        </w:rPr>
        <w:t>1</w:t>
      </w:r>
      <w:r>
        <w:rPr>
          <w:rFonts w:hint="eastAsia" w:ascii="宋体" w:hAnsi="宋体" w:eastAsia="宋体" w:cs="宋体"/>
          <w:b w:val="0"/>
          <w:bCs/>
          <w:color w:val="000000" w:themeColor="text1"/>
          <w:sz w:val="21"/>
          <w:szCs w:val="21"/>
          <w14:textFill>
            <w14:solidFill>
              <w14:schemeClr w14:val="tx1"/>
            </w14:solidFill>
          </w14:textFill>
        </w:rPr>
        <w:t>）</w:t>
      </w:r>
      <w:r>
        <w:rPr>
          <w:rFonts w:hint="eastAsia" w:ascii="宋体" w:hAnsi="宋体" w:eastAsia="宋体" w:cs="宋体"/>
          <w:b w:val="0"/>
          <w:bCs/>
          <w:color w:val="000000" w:themeColor="text1"/>
          <w:sz w:val="21"/>
          <w:szCs w:val="21"/>
          <w:lang w:eastAsia="zh-CN"/>
          <w14:textFill>
            <w14:solidFill>
              <w14:schemeClr w14:val="tx1"/>
            </w14:solidFill>
          </w14:textFill>
        </w:rPr>
        <w:t>借</w:t>
      </w:r>
      <w:r>
        <w:rPr>
          <w:rFonts w:hint="eastAsia" w:ascii="宋体" w:hAnsi="宋体" w:eastAsia="宋体" w:cs="宋体"/>
          <w:b w:val="0"/>
          <w:bCs/>
          <w:color w:val="000000" w:themeColor="text1"/>
          <w:sz w:val="21"/>
          <w:szCs w:val="21"/>
          <w14:textFill>
            <w14:solidFill>
              <w14:schemeClr w14:val="tx1"/>
            </w14:solidFill>
          </w14:textFill>
        </w:rPr>
        <w:t>：</w:t>
      </w:r>
      <w:r>
        <w:rPr>
          <w:rFonts w:hint="eastAsia" w:ascii="宋体" w:hAnsi="宋体" w:eastAsia="宋体" w:cs="宋体"/>
          <w:b w:val="0"/>
          <w:bCs/>
          <w:color w:val="FF0000"/>
          <w:sz w:val="21"/>
          <w:szCs w:val="21"/>
          <w:lang w:eastAsia="zh-CN"/>
        </w:rPr>
        <w:t>应付账款</w:t>
      </w:r>
      <w:r>
        <w:rPr>
          <w:rFonts w:hint="eastAsia" w:ascii="宋体" w:hAnsi="宋体" w:eastAsia="宋体" w:cs="宋体"/>
          <w:b w:val="0"/>
          <w:bCs/>
          <w:color w:val="000000" w:themeColor="text1"/>
          <w:sz w:val="21"/>
          <w:szCs w:val="21"/>
          <w:lang w:eastAsia="zh-CN"/>
          <w14:textFill>
            <w14:solidFill>
              <w14:schemeClr w14:val="tx1"/>
            </w14:solidFill>
          </w14:textFill>
        </w:rPr>
        <w:t>、长期借款</w:t>
      </w:r>
      <w:r>
        <w:rPr>
          <w:rFonts w:hint="eastAsia" w:ascii="宋体" w:hAnsi="宋体" w:eastAsia="宋体" w:cs="宋体"/>
          <w:b w:val="0"/>
          <w:bCs/>
          <w:color w:val="000000" w:themeColor="text1"/>
          <w:sz w:val="21"/>
          <w:szCs w:val="21"/>
          <w14:textFill>
            <w14:solidFill>
              <w14:schemeClr w14:val="tx1"/>
            </w14:solidFill>
          </w14:textFill>
        </w:rPr>
        <w:t>（</w:t>
      </w:r>
      <w:r>
        <w:rPr>
          <w:rFonts w:hint="eastAsia" w:ascii="宋体" w:hAnsi="宋体" w:eastAsia="宋体" w:cs="宋体"/>
          <w:b w:val="0"/>
          <w:bCs/>
          <w:color w:val="000000" w:themeColor="text1"/>
          <w:sz w:val="21"/>
          <w:szCs w:val="21"/>
          <w:lang w:eastAsia="zh-CN"/>
          <w14:textFill>
            <w14:solidFill>
              <w14:schemeClr w14:val="tx1"/>
            </w14:solidFill>
          </w14:textFill>
        </w:rPr>
        <w:t>债务的账面价值</w:t>
      </w:r>
      <w:r>
        <w:rPr>
          <w:rFonts w:hint="eastAsia" w:ascii="宋体" w:hAnsi="宋体" w:eastAsia="宋体" w:cs="宋体"/>
          <w:b w:val="0"/>
          <w:bCs/>
          <w:color w:val="000000" w:themeColor="text1"/>
          <w:sz w:val="21"/>
          <w:szCs w:val="21"/>
          <w14:textFill>
            <w14:solidFill>
              <w14:schemeClr w14:val="tx1"/>
            </w14:solidFill>
          </w14:textFill>
        </w:rPr>
        <w:t>）</w:t>
      </w:r>
    </w:p>
    <w:p w14:paraId="6F7C9E4D">
      <w:pPr>
        <w:pStyle w:val="3"/>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firstLine="0"/>
        <w:textAlignment w:val="auto"/>
        <w:rPr>
          <w:rFonts w:hint="eastAsia" w:ascii="宋体" w:hAnsi="宋体" w:eastAsia="宋体" w:cs="宋体"/>
          <w:b w:val="0"/>
          <w:bCs/>
          <w:color w:val="000000" w:themeColor="text1"/>
          <w:sz w:val="21"/>
          <w:szCs w:val="21"/>
          <w:lang w:eastAsia="zh-CN"/>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 xml:space="preserve">　  </w:t>
      </w:r>
      <w:r>
        <w:rPr>
          <w:rFonts w:hint="eastAsia" w:ascii="宋体" w:hAnsi="宋体" w:eastAsia="宋体" w:cs="宋体"/>
          <w:b w:val="0"/>
          <w:bCs/>
          <w:color w:val="000000" w:themeColor="text1"/>
          <w:sz w:val="21"/>
          <w:szCs w:val="21"/>
          <w:lang w:eastAsia="zh-CN"/>
          <w14:textFill>
            <w14:solidFill>
              <w14:schemeClr w14:val="tx1"/>
            </w14:solidFill>
          </w14:textFill>
        </w:rPr>
        <w:t>债权投资减值准备、坏账准备</w:t>
      </w:r>
    </w:p>
    <w:p w14:paraId="40F14819">
      <w:pPr>
        <w:pStyle w:val="3"/>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firstLine="0"/>
        <w:textAlignment w:val="auto"/>
        <w:rPr>
          <w:rFonts w:hint="eastAsia" w:ascii="宋体" w:hAnsi="宋体" w:eastAsia="宋体" w:cs="宋体"/>
          <w:b w:val="0"/>
          <w:bCs/>
          <w:color w:val="FF0000"/>
          <w:sz w:val="21"/>
          <w:szCs w:val="21"/>
          <w:lang w:eastAsia="zh-CN"/>
        </w:rPr>
      </w:pPr>
      <w:r>
        <w:rPr>
          <w:rFonts w:hint="eastAsia" w:ascii="宋体" w:hAnsi="宋体" w:eastAsia="宋体" w:cs="宋体"/>
          <w:b w:val="0"/>
          <w:bCs/>
          <w:color w:val="000000" w:themeColor="text1"/>
          <w:sz w:val="21"/>
          <w:szCs w:val="21"/>
          <w14:textFill>
            <w14:solidFill>
              <w14:schemeClr w14:val="tx1"/>
            </w14:solidFill>
          </w14:textFill>
        </w:rPr>
        <w:t xml:space="preserve">　  </w:t>
      </w:r>
      <w:r>
        <w:rPr>
          <w:rFonts w:hint="eastAsia" w:ascii="宋体" w:hAnsi="宋体" w:eastAsia="宋体" w:cs="宋体"/>
          <w:b w:val="0"/>
          <w:bCs/>
          <w:color w:val="000000" w:themeColor="text1"/>
          <w:sz w:val="21"/>
          <w:szCs w:val="21"/>
          <w:lang w:eastAsia="zh-CN"/>
          <w14:textFill>
            <w14:solidFill>
              <w14:schemeClr w14:val="tx1"/>
            </w14:solidFill>
          </w14:textFill>
        </w:rPr>
        <w:t>贷</w:t>
      </w:r>
      <w:r>
        <w:rPr>
          <w:rFonts w:hint="eastAsia" w:ascii="宋体" w:hAnsi="宋体" w:eastAsia="宋体" w:cs="宋体"/>
          <w:b w:val="0"/>
          <w:bCs/>
          <w:color w:val="000000" w:themeColor="text1"/>
          <w:sz w:val="21"/>
          <w:szCs w:val="21"/>
          <w14:textFill>
            <w14:solidFill>
              <w14:schemeClr w14:val="tx1"/>
            </w14:solidFill>
          </w14:textFill>
        </w:rPr>
        <w:t>：</w:t>
      </w:r>
      <w:r>
        <w:rPr>
          <w:rFonts w:hint="eastAsia" w:ascii="宋体" w:hAnsi="宋体" w:eastAsia="宋体" w:cs="宋体"/>
          <w:b w:val="0"/>
          <w:bCs/>
          <w:color w:val="000000" w:themeColor="text1"/>
          <w:sz w:val="21"/>
          <w:szCs w:val="21"/>
          <w:lang w:eastAsia="zh-CN"/>
          <w14:textFill>
            <w14:solidFill>
              <w14:schemeClr w14:val="tx1"/>
            </w14:solidFill>
          </w14:textFill>
        </w:rPr>
        <w:t>库存现金、银行存款、交易性金融资产、债权投资、其他债权投资、其他权益工具投资、应收账款等</w:t>
      </w:r>
      <w:r>
        <w:rPr>
          <w:rFonts w:hint="eastAsia" w:ascii="宋体" w:hAnsi="宋体" w:eastAsia="宋体" w:cs="宋体"/>
          <w:b w:val="0"/>
          <w:bCs/>
          <w:color w:val="FF0000"/>
          <w:sz w:val="21"/>
          <w:szCs w:val="21"/>
        </w:rPr>
        <w:t>（</w:t>
      </w:r>
      <w:r>
        <w:rPr>
          <w:rFonts w:hint="eastAsia" w:ascii="宋体" w:hAnsi="宋体" w:eastAsia="宋体" w:cs="宋体"/>
          <w:b w:val="0"/>
          <w:bCs/>
          <w:color w:val="FF0000"/>
          <w:sz w:val="21"/>
          <w:szCs w:val="21"/>
          <w:lang w:eastAsia="zh-CN"/>
        </w:rPr>
        <w:t>偿债金融资产账面价值</w:t>
      </w:r>
      <w:r>
        <w:rPr>
          <w:rFonts w:hint="eastAsia" w:ascii="宋体" w:hAnsi="宋体" w:eastAsia="宋体" w:cs="宋体"/>
          <w:b w:val="0"/>
          <w:bCs/>
          <w:color w:val="FF0000"/>
          <w:sz w:val="21"/>
          <w:szCs w:val="21"/>
        </w:rPr>
        <w:t>）</w:t>
      </w:r>
    </w:p>
    <w:p w14:paraId="399DB6F8">
      <w:pPr>
        <w:pStyle w:val="3"/>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firstLine="0"/>
        <w:textAlignment w:val="auto"/>
        <w:rPr>
          <w:rFonts w:hint="eastAsia" w:ascii="宋体" w:hAnsi="宋体" w:eastAsia="宋体" w:cs="宋体"/>
          <w:b w:val="0"/>
          <w:bCs/>
          <w:color w:val="000000" w:themeColor="text1"/>
          <w:sz w:val="21"/>
          <w:szCs w:val="21"/>
          <w:lang w:eastAsia="zh-CN"/>
          <w14:textFill>
            <w14:solidFill>
              <w14:schemeClr w14:val="tx1"/>
            </w14:solidFill>
          </w14:textFill>
        </w:rPr>
      </w:pPr>
      <w:r>
        <w:rPr>
          <w:rFonts w:hint="eastAsia" w:ascii="宋体" w:hAnsi="宋体" w:eastAsia="宋体" w:cs="宋体"/>
          <w:b w:val="0"/>
          <w:bCs/>
          <w:color w:val="FF0000"/>
          <w:sz w:val="21"/>
          <w:szCs w:val="21"/>
        </w:rPr>
        <w:t xml:space="preserve">             </w:t>
      </w:r>
      <w:r>
        <w:rPr>
          <w:rFonts w:hint="eastAsia" w:ascii="宋体" w:hAnsi="宋体" w:eastAsia="宋体" w:cs="宋体"/>
          <w:b w:val="0"/>
          <w:bCs/>
          <w:color w:val="FF0000"/>
          <w:sz w:val="21"/>
          <w:szCs w:val="21"/>
          <w:lang w:eastAsia="zh-CN"/>
        </w:rPr>
        <w:t>投资收益</w:t>
      </w:r>
      <w:r>
        <w:rPr>
          <w:rFonts w:hint="eastAsia" w:ascii="宋体" w:hAnsi="宋体" w:eastAsia="宋体" w:cs="宋体"/>
          <w:b w:val="0"/>
          <w:bCs/>
          <w:color w:val="000000" w:themeColor="text1"/>
          <w:sz w:val="21"/>
          <w:szCs w:val="21"/>
          <w14:textFill>
            <w14:solidFill>
              <w14:schemeClr w14:val="tx1"/>
            </w14:solidFill>
          </w14:textFill>
        </w:rPr>
        <w:t>（</w:t>
      </w:r>
      <w:r>
        <w:rPr>
          <w:rFonts w:hint="eastAsia" w:ascii="宋体" w:hAnsi="宋体" w:eastAsia="宋体" w:cs="宋体"/>
          <w:b w:val="0"/>
          <w:bCs/>
          <w:color w:val="FF0000"/>
          <w:sz w:val="21"/>
          <w:szCs w:val="21"/>
          <w:lang w:eastAsia="zh-CN"/>
        </w:rPr>
        <w:t>双面差</w:t>
      </w:r>
      <w:r>
        <w:rPr>
          <w:rFonts w:hint="eastAsia" w:ascii="宋体" w:hAnsi="宋体" w:eastAsia="宋体" w:cs="宋体"/>
          <w:b w:val="0"/>
          <w:bCs/>
          <w:color w:val="000000" w:themeColor="text1"/>
          <w:sz w:val="21"/>
          <w:szCs w:val="21"/>
          <w14:textFill>
            <w14:solidFill>
              <w14:schemeClr w14:val="tx1"/>
            </w14:solidFill>
          </w14:textFill>
        </w:rPr>
        <w:t>，</w:t>
      </w:r>
      <w:r>
        <w:rPr>
          <w:rFonts w:hint="eastAsia" w:ascii="宋体" w:hAnsi="宋体" w:eastAsia="宋体" w:cs="宋体"/>
          <w:b w:val="0"/>
          <w:bCs/>
          <w:color w:val="000000" w:themeColor="text1"/>
          <w:sz w:val="21"/>
          <w:szCs w:val="21"/>
          <w:lang w:eastAsia="zh-CN"/>
          <w14:textFill>
            <w14:solidFill>
              <w14:schemeClr w14:val="tx1"/>
            </w14:solidFill>
          </w14:textFill>
        </w:rPr>
        <w:t>债务的账面价值与偿债金融资产账面价值的差额</w:t>
      </w:r>
      <w:r>
        <w:rPr>
          <w:rFonts w:hint="eastAsia" w:ascii="宋体" w:hAnsi="宋体" w:eastAsia="宋体" w:cs="宋体"/>
          <w:b w:val="0"/>
          <w:bCs/>
          <w:color w:val="000000" w:themeColor="text1"/>
          <w:sz w:val="21"/>
          <w:szCs w:val="21"/>
          <w14:textFill>
            <w14:solidFill>
              <w14:schemeClr w14:val="tx1"/>
            </w14:solidFill>
          </w14:textFill>
        </w:rPr>
        <w:t>，</w:t>
      </w:r>
      <w:r>
        <w:rPr>
          <w:rFonts w:hint="eastAsia" w:ascii="宋体" w:hAnsi="宋体" w:eastAsia="宋体" w:cs="宋体"/>
          <w:b w:val="0"/>
          <w:bCs/>
          <w:color w:val="000000" w:themeColor="text1"/>
          <w:sz w:val="21"/>
          <w:szCs w:val="21"/>
          <w:lang w:eastAsia="zh-CN"/>
          <w14:textFill>
            <w14:solidFill>
              <w14:schemeClr w14:val="tx1"/>
            </w14:solidFill>
          </w14:textFill>
        </w:rPr>
        <w:t>借记或贷记</w:t>
      </w:r>
      <w:r>
        <w:rPr>
          <w:rFonts w:hint="eastAsia" w:ascii="宋体" w:hAnsi="宋体" w:eastAsia="宋体" w:cs="宋体"/>
          <w:b w:val="0"/>
          <w:bCs/>
          <w:color w:val="000000" w:themeColor="text1"/>
          <w:sz w:val="21"/>
          <w:szCs w:val="21"/>
          <w14:textFill>
            <w14:solidFill>
              <w14:schemeClr w14:val="tx1"/>
            </w14:solidFill>
          </w14:textFill>
        </w:rPr>
        <w:t>）</w:t>
      </w:r>
    </w:p>
    <w:p w14:paraId="16709891">
      <w:pPr>
        <w:pStyle w:val="3"/>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firstLine="0"/>
        <w:textAlignment w:val="auto"/>
        <w:rPr>
          <w:rFonts w:hint="eastAsia" w:ascii="宋体" w:hAnsi="宋体" w:eastAsia="宋体" w:cs="宋体"/>
          <w:b w:val="0"/>
          <w:bCs/>
          <w:color w:val="000000" w:themeColor="text1"/>
          <w:sz w:val="21"/>
          <w:szCs w:val="21"/>
          <w:lang w:eastAsia="zh-CN"/>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w:t>
      </w:r>
      <w:r>
        <w:rPr>
          <w:rFonts w:hint="eastAsia" w:ascii="宋体" w:hAnsi="宋体" w:eastAsia="宋体" w:cs="宋体"/>
          <w:b w:val="0"/>
          <w:bCs/>
          <w:color w:val="000000" w:themeColor="text1"/>
          <w:sz w:val="21"/>
          <w:szCs w:val="21"/>
          <w:lang w:val="en-US" w:eastAsia="zh-CN"/>
          <w14:textFill>
            <w14:solidFill>
              <w14:schemeClr w14:val="tx1"/>
            </w14:solidFill>
          </w14:textFill>
        </w:rPr>
        <w:t>2</w:t>
      </w:r>
      <w:r>
        <w:rPr>
          <w:rFonts w:hint="eastAsia" w:ascii="宋体" w:hAnsi="宋体" w:eastAsia="宋体" w:cs="宋体"/>
          <w:b w:val="0"/>
          <w:bCs/>
          <w:color w:val="000000" w:themeColor="text1"/>
          <w:sz w:val="21"/>
          <w:szCs w:val="21"/>
          <w14:textFill>
            <w14:solidFill>
              <w14:schemeClr w14:val="tx1"/>
            </w14:solidFill>
          </w14:textFill>
        </w:rPr>
        <w:t>）</w:t>
      </w:r>
      <w:r>
        <w:rPr>
          <w:rFonts w:hint="eastAsia" w:ascii="宋体" w:hAnsi="宋体" w:eastAsia="宋体" w:cs="宋体"/>
          <w:b w:val="0"/>
          <w:bCs/>
          <w:color w:val="000000" w:themeColor="text1"/>
          <w:sz w:val="21"/>
          <w:szCs w:val="21"/>
          <w:lang w:eastAsia="zh-CN"/>
          <w14:textFill>
            <w14:solidFill>
              <w14:schemeClr w14:val="tx1"/>
            </w14:solidFill>
          </w14:textFill>
        </w:rPr>
        <w:t>借</w:t>
      </w:r>
      <w:r>
        <w:rPr>
          <w:rFonts w:hint="eastAsia" w:ascii="宋体" w:hAnsi="宋体" w:eastAsia="宋体" w:cs="宋体"/>
          <w:b w:val="0"/>
          <w:bCs/>
          <w:color w:val="000000" w:themeColor="text1"/>
          <w:sz w:val="21"/>
          <w:szCs w:val="21"/>
          <w14:textFill>
            <w14:solidFill>
              <w14:schemeClr w14:val="tx1"/>
            </w14:solidFill>
          </w14:textFill>
        </w:rPr>
        <w:t>：</w:t>
      </w:r>
      <w:r>
        <w:rPr>
          <w:rFonts w:hint="eastAsia" w:ascii="宋体" w:hAnsi="宋体" w:eastAsia="宋体" w:cs="宋体"/>
          <w:b w:val="0"/>
          <w:bCs/>
          <w:color w:val="000000" w:themeColor="text1"/>
          <w:sz w:val="21"/>
          <w:szCs w:val="21"/>
          <w:lang w:eastAsia="zh-CN"/>
          <w14:textFill>
            <w14:solidFill>
              <w14:schemeClr w14:val="tx1"/>
            </w14:solidFill>
          </w14:textFill>
        </w:rPr>
        <w:t xml:space="preserve">其他综合收益 </w:t>
      </w:r>
    </w:p>
    <w:p w14:paraId="64AA6FCA">
      <w:pPr>
        <w:pStyle w:val="3"/>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firstLine="0"/>
        <w:textAlignment w:val="auto"/>
        <w:rPr>
          <w:rFonts w:hint="eastAsia" w:ascii="宋体" w:hAnsi="宋体" w:eastAsia="宋体" w:cs="宋体"/>
          <w:b w:val="0"/>
          <w:bCs/>
          <w:color w:val="000000" w:themeColor="text1"/>
          <w:sz w:val="21"/>
          <w:szCs w:val="21"/>
          <w:lang w:eastAsia="zh-CN"/>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 xml:space="preserve">　              </w:t>
      </w:r>
      <w:r>
        <w:rPr>
          <w:rFonts w:hint="eastAsia" w:ascii="宋体" w:hAnsi="宋体" w:eastAsia="宋体" w:cs="宋体"/>
          <w:b w:val="0"/>
          <w:bCs/>
          <w:color w:val="000000" w:themeColor="text1"/>
          <w:sz w:val="21"/>
          <w:szCs w:val="21"/>
          <w:lang w:eastAsia="zh-CN"/>
          <w14:textFill>
            <w14:solidFill>
              <w14:schemeClr w14:val="tx1"/>
            </w14:solidFill>
          </w14:textFill>
        </w:rPr>
        <w:t>贷</w:t>
      </w:r>
      <w:r>
        <w:rPr>
          <w:rFonts w:hint="eastAsia" w:ascii="宋体" w:hAnsi="宋体" w:eastAsia="宋体" w:cs="宋体"/>
          <w:b w:val="0"/>
          <w:bCs/>
          <w:color w:val="000000" w:themeColor="text1"/>
          <w:sz w:val="21"/>
          <w:szCs w:val="21"/>
          <w14:textFill>
            <w14:solidFill>
              <w14:schemeClr w14:val="tx1"/>
            </w14:solidFill>
          </w14:textFill>
        </w:rPr>
        <w:t>：</w:t>
      </w:r>
      <w:r>
        <w:rPr>
          <w:rFonts w:hint="eastAsia" w:ascii="宋体" w:hAnsi="宋体" w:eastAsia="宋体" w:cs="宋体"/>
          <w:b w:val="0"/>
          <w:bCs/>
          <w:color w:val="000000" w:themeColor="text1"/>
          <w:sz w:val="21"/>
          <w:szCs w:val="21"/>
          <w:lang w:eastAsia="zh-CN"/>
          <w14:textFill>
            <w14:solidFill>
              <w14:schemeClr w14:val="tx1"/>
            </w14:solidFill>
          </w14:textFill>
        </w:rPr>
        <w:t>投资收益</w:t>
      </w:r>
    </w:p>
    <w:p w14:paraId="1B0807F1">
      <w:pPr>
        <w:pStyle w:val="3"/>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firstLine="0"/>
        <w:textAlignment w:val="auto"/>
        <w:rPr>
          <w:rFonts w:hint="eastAsia" w:ascii="宋体" w:hAnsi="宋体" w:eastAsia="宋体" w:cs="宋体"/>
          <w:b w:val="0"/>
          <w:bCs/>
          <w:color w:val="000000" w:themeColor="text1"/>
          <w:sz w:val="21"/>
          <w:szCs w:val="21"/>
          <w:lang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color w:val="000000" w:themeColor="text1"/>
          <w:sz w:val="21"/>
          <w:szCs w:val="21"/>
          <w:lang w:eastAsia="zh-CN"/>
          <w14:textFill>
            <w14:solidFill>
              <w14:schemeClr w14:val="tx1"/>
            </w14:solidFill>
          </w14:textFill>
        </w:rPr>
        <w:t>利润分配</w:t>
      </w:r>
      <w:r>
        <w:rPr>
          <w:rFonts w:hint="eastAsia" w:ascii="宋体" w:hAnsi="宋体" w:eastAsia="宋体" w:cs="宋体"/>
          <w:b w:val="0"/>
          <w:bCs/>
          <w:color w:val="000000" w:themeColor="text1"/>
          <w:sz w:val="21"/>
          <w:szCs w:val="21"/>
          <w:lang w:val="en-US" w:eastAsia="zh-CN"/>
          <w14:textFill>
            <w14:solidFill>
              <w14:schemeClr w14:val="tx1"/>
            </w14:solidFill>
          </w14:textFill>
        </w:rPr>
        <w:t>——</w:t>
      </w:r>
      <w:r>
        <w:rPr>
          <w:rFonts w:hint="eastAsia" w:ascii="宋体" w:hAnsi="宋体" w:eastAsia="宋体" w:cs="宋体"/>
          <w:b w:val="0"/>
          <w:bCs/>
          <w:color w:val="000000" w:themeColor="text1"/>
          <w:sz w:val="21"/>
          <w:szCs w:val="21"/>
          <w:lang w:eastAsia="zh-CN"/>
          <w14:textFill>
            <w14:solidFill>
              <w14:schemeClr w14:val="tx1"/>
            </w14:solidFill>
          </w14:textFill>
        </w:rPr>
        <w:t>未分配利润</w:t>
      </w:r>
    </w:p>
    <w:p w14:paraId="3A003A74">
      <w:pPr>
        <w:pStyle w:val="3"/>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firstLine="0"/>
        <w:textAlignment w:val="auto"/>
        <w:rPr>
          <w:rFonts w:hint="eastAsia" w:ascii="宋体" w:hAnsi="宋体" w:eastAsia="宋体" w:cs="宋体"/>
          <w:b w:val="0"/>
          <w:bCs/>
          <w:color w:val="FF0000"/>
          <w:sz w:val="21"/>
          <w:szCs w:val="21"/>
          <w:lang w:eastAsia="zh-CN"/>
        </w:rPr>
      </w:pPr>
      <w:r>
        <w:rPr>
          <w:rFonts w:hint="eastAsia" w:ascii="宋体" w:hAnsi="宋体" w:eastAsia="宋体" w:cs="宋体"/>
          <w:b w:val="0"/>
          <w:bCs/>
          <w:color w:val="000000" w:themeColor="text1"/>
          <w:sz w:val="21"/>
          <w:szCs w:val="21"/>
          <w:lang w:val="en-US" w:eastAsia="zh-CN"/>
          <w14:textFill>
            <w14:solidFill>
              <w14:schemeClr w14:val="tx1"/>
            </w14:solidFill>
          </w14:textFill>
        </w:rPr>
        <w:t>2.</w:t>
      </w:r>
      <w:r>
        <w:rPr>
          <w:rFonts w:hint="eastAsia" w:ascii="宋体" w:hAnsi="宋体" w:eastAsia="宋体" w:cs="宋体"/>
          <w:b w:val="0"/>
          <w:bCs/>
          <w:color w:val="000000" w:themeColor="text1"/>
          <w:sz w:val="21"/>
          <w:szCs w:val="21"/>
          <w:lang w:eastAsia="zh-CN"/>
          <w14:textFill>
            <w14:solidFill>
              <w14:schemeClr w14:val="tx1"/>
            </w14:solidFill>
          </w14:textFill>
        </w:rPr>
        <w:t>债务人以</w:t>
      </w:r>
      <w:r>
        <w:rPr>
          <w:rFonts w:hint="eastAsia" w:ascii="宋体" w:hAnsi="宋体" w:eastAsia="宋体" w:cs="宋体"/>
          <w:b w:val="0"/>
          <w:bCs/>
          <w:color w:val="FF0000"/>
          <w:sz w:val="21"/>
          <w:szCs w:val="21"/>
          <w:lang w:eastAsia="zh-CN"/>
        </w:rPr>
        <w:t>非金融资产清偿债务</w:t>
      </w:r>
      <w:r>
        <w:rPr>
          <w:rFonts w:hint="eastAsia" w:ascii="宋体" w:hAnsi="宋体" w:eastAsia="宋体" w:cs="宋体"/>
          <w:b w:val="0"/>
          <w:bCs/>
          <w:color w:val="FF0000"/>
          <w:sz w:val="21"/>
          <w:szCs w:val="21"/>
        </w:rPr>
        <w:t>（</w:t>
      </w:r>
      <w:r>
        <w:rPr>
          <w:rFonts w:hint="eastAsia" w:ascii="宋体" w:hAnsi="宋体" w:eastAsia="宋体" w:cs="宋体"/>
          <w:b w:val="0"/>
          <w:bCs/>
          <w:color w:val="FF0000"/>
          <w:sz w:val="21"/>
          <w:szCs w:val="21"/>
          <w:lang w:eastAsia="zh-CN"/>
        </w:rPr>
        <w:t>双面差记入其他收益</w:t>
      </w:r>
      <w:r>
        <w:rPr>
          <w:rFonts w:hint="eastAsia" w:ascii="宋体" w:hAnsi="宋体" w:eastAsia="宋体" w:cs="宋体"/>
          <w:b w:val="0"/>
          <w:bCs/>
          <w:color w:val="FF0000"/>
          <w:sz w:val="21"/>
          <w:szCs w:val="21"/>
        </w:rPr>
        <w:t>：</w:t>
      </w:r>
      <w:r>
        <w:rPr>
          <w:rFonts w:hint="eastAsia" w:ascii="宋体" w:hAnsi="宋体" w:eastAsia="宋体" w:cs="宋体"/>
          <w:b w:val="0"/>
          <w:bCs/>
          <w:color w:val="FF0000"/>
          <w:sz w:val="21"/>
          <w:szCs w:val="21"/>
          <w:lang w:eastAsia="zh-CN"/>
        </w:rPr>
        <w:t>先按账面价值结转资产</w:t>
      </w:r>
      <w:r>
        <w:rPr>
          <w:rFonts w:hint="eastAsia" w:ascii="宋体" w:hAnsi="宋体" w:eastAsia="宋体" w:cs="宋体"/>
          <w:b w:val="0"/>
          <w:bCs/>
          <w:color w:val="FF0000"/>
          <w:sz w:val="21"/>
          <w:szCs w:val="21"/>
        </w:rPr>
        <w:t>，</w:t>
      </w:r>
      <w:r>
        <w:rPr>
          <w:rFonts w:hint="eastAsia" w:ascii="宋体" w:hAnsi="宋体" w:eastAsia="宋体" w:cs="宋体"/>
          <w:b w:val="0"/>
          <w:bCs/>
          <w:color w:val="FF0000"/>
          <w:sz w:val="21"/>
          <w:szCs w:val="21"/>
          <w:lang w:eastAsia="zh-CN"/>
        </w:rPr>
        <w:t>再还债</w:t>
      </w:r>
      <w:r>
        <w:rPr>
          <w:rFonts w:hint="eastAsia" w:ascii="宋体" w:hAnsi="宋体" w:eastAsia="宋体" w:cs="宋体"/>
          <w:b w:val="0"/>
          <w:bCs/>
          <w:color w:val="FF0000"/>
          <w:sz w:val="21"/>
          <w:szCs w:val="21"/>
        </w:rPr>
        <w:t>）</w:t>
      </w:r>
    </w:p>
    <w:p w14:paraId="43DFEDC4">
      <w:pPr>
        <w:pStyle w:val="3"/>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firstLine="0"/>
        <w:textAlignment w:val="auto"/>
        <w:rPr>
          <w:rFonts w:hint="eastAsia" w:ascii="宋体" w:hAnsi="宋体" w:eastAsia="宋体" w:cs="宋体"/>
          <w:b w:val="0"/>
          <w:bCs/>
          <w:color w:val="000000" w:themeColor="text1"/>
          <w:sz w:val="21"/>
          <w:szCs w:val="21"/>
          <w:lang w:eastAsia="zh-CN"/>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w:t>
      </w:r>
      <w:r>
        <w:rPr>
          <w:rFonts w:hint="eastAsia" w:ascii="宋体" w:hAnsi="宋体" w:eastAsia="宋体" w:cs="宋体"/>
          <w:b w:val="0"/>
          <w:bCs/>
          <w:color w:val="000000" w:themeColor="text1"/>
          <w:sz w:val="21"/>
          <w:szCs w:val="21"/>
          <w:lang w:val="en-US" w:eastAsia="zh-CN"/>
          <w14:textFill>
            <w14:solidFill>
              <w14:schemeClr w14:val="tx1"/>
            </w14:solidFill>
          </w14:textFill>
        </w:rPr>
        <w:t>1</w:t>
      </w:r>
      <w:r>
        <w:rPr>
          <w:rFonts w:hint="eastAsia" w:ascii="宋体" w:hAnsi="宋体" w:eastAsia="宋体" w:cs="宋体"/>
          <w:b w:val="0"/>
          <w:bCs/>
          <w:color w:val="000000" w:themeColor="text1"/>
          <w:sz w:val="21"/>
          <w:szCs w:val="21"/>
          <w14:textFill>
            <w14:solidFill>
              <w14:schemeClr w14:val="tx1"/>
            </w14:solidFill>
          </w14:textFill>
        </w:rPr>
        <w:t>）</w:t>
      </w:r>
      <w:r>
        <w:rPr>
          <w:rFonts w:hint="eastAsia" w:ascii="宋体" w:hAnsi="宋体" w:eastAsia="宋体" w:cs="宋体"/>
          <w:b w:val="0"/>
          <w:bCs/>
          <w:color w:val="000000" w:themeColor="text1"/>
          <w:sz w:val="21"/>
          <w:szCs w:val="21"/>
          <w:lang w:eastAsia="zh-CN"/>
          <w14:textFill>
            <w14:solidFill>
              <w14:schemeClr w14:val="tx1"/>
            </w14:solidFill>
          </w14:textFill>
        </w:rPr>
        <w:t>借</w:t>
      </w:r>
      <w:r>
        <w:rPr>
          <w:rFonts w:hint="eastAsia" w:ascii="宋体" w:hAnsi="宋体" w:eastAsia="宋体" w:cs="宋体"/>
          <w:b w:val="0"/>
          <w:bCs/>
          <w:color w:val="000000" w:themeColor="text1"/>
          <w:sz w:val="21"/>
          <w:szCs w:val="21"/>
          <w14:textFill>
            <w14:solidFill>
              <w14:schemeClr w14:val="tx1"/>
            </w14:solidFill>
          </w14:textFill>
        </w:rPr>
        <w:t>：</w:t>
      </w:r>
      <w:r>
        <w:rPr>
          <w:rFonts w:hint="eastAsia" w:ascii="宋体" w:hAnsi="宋体" w:eastAsia="宋体" w:cs="宋体"/>
          <w:b w:val="0"/>
          <w:bCs/>
          <w:color w:val="000000" w:themeColor="text1"/>
          <w:sz w:val="21"/>
          <w:szCs w:val="21"/>
          <w:lang w:eastAsia="zh-CN"/>
          <w14:textFill>
            <w14:solidFill>
              <w14:schemeClr w14:val="tx1"/>
            </w14:solidFill>
          </w14:textFill>
        </w:rPr>
        <w:t>应付账款、长期借款等</w:t>
      </w:r>
    </w:p>
    <w:p w14:paraId="14D9DBA4">
      <w:pPr>
        <w:pStyle w:val="3"/>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firstLine="0"/>
        <w:textAlignment w:val="auto"/>
        <w:rPr>
          <w:rFonts w:hint="eastAsia" w:ascii="宋体" w:hAnsi="宋体" w:eastAsia="宋体" w:cs="宋体"/>
          <w:b w:val="0"/>
          <w:bCs/>
          <w:color w:val="000000" w:themeColor="text1"/>
          <w:sz w:val="21"/>
          <w:szCs w:val="21"/>
          <w:lang w:eastAsia="zh-CN"/>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 xml:space="preserve">　              </w:t>
      </w:r>
      <w:r>
        <w:rPr>
          <w:rFonts w:hint="eastAsia" w:ascii="宋体" w:hAnsi="宋体" w:eastAsia="宋体" w:cs="宋体"/>
          <w:b w:val="0"/>
          <w:bCs/>
          <w:color w:val="000000" w:themeColor="text1"/>
          <w:sz w:val="21"/>
          <w:szCs w:val="21"/>
          <w:lang w:eastAsia="zh-CN"/>
          <w14:textFill>
            <w14:solidFill>
              <w14:schemeClr w14:val="tx1"/>
            </w14:solidFill>
          </w14:textFill>
        </w:rPr>
        <w:t xml:space="preserve">存货跌价准备 </w:t>
      </w:r>
    </w:p>
    <w:p w14:paraId="2BF66E70">
      <w:pPr>
        <w:pStyle w:val="3"/>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firstLine="0"/>
        <w:textAlignment w:val="auto"/>
        <w:rPr>
          <w:rFonts w:hint="eastAsia" w:ascii="宋体" w:hAnsi="宋体" w:eastAsia="宋体" w:cs="宋体"/>
          <w:b w:val="0"/>
          <w:bCs/>
          <w:color w:val="000000" w:themeColor="text1"/>
          <w:sz w:val="21"/>
          <w:szCs w:val="21"/>
          <w:lang w:eastAsia="zh-CN"/>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 xml:space="preserve">           　   </w:t>
      </w:r>
      <w:r>
        <w:rPr>
          <w:rFonts w:hint="eastAsia" w:ascii="宋体" w:hAnsi="宋体" w:eastAsia="宋体" w:cs="宋体"/>
          <w:b w:val="0"/>
          <w:bCs/>
          <w:color w:val="000000" w:themeColor="text1"/>
          <w:sz w:val="21"/>
          <w:szCs w:val="21"/>
          <w:lang w:eastAsia="zh-CN"/>
          <w14:textFill>
            <w14:solidFill>
              <w14:schemeClr w14:val="tx1"/>
            </w14:solidFill>
          </w14:textFill>
        </w:rPr>
        <w:t>无形资产减值准备</w:t>
      </w:r>
    </w:p>
    <w:p w14:paraId="6C4F59B4">
      <w:pPr>
        <w:pStyle w:val="3"/>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firstLine="0"/>
        <w:textAlignment w:val="auto"/>
        <w:rPr>
          <w:rFonts w:hint="eastAsia" w:ascii="宋体" w:hAnsi="宋体" w:eastAsia="宋体" w:cs="宋体"/>
          <w:b w:val="0"/>
          <w:bCs/>
          <w:color w:val="000000" w:themeColor="text1"/>
          <w:sz w:val="21"/>
          <w:szCs w:val="21"/>
          <w:lang w:eastAsia="zh-CN"/>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 xml:space="preserve">           　   </w:t>
      </w:r>
      <w:r>
        <w:rPr>
          <w:rFonts w:hint="eastAsia" w:ascii="宋体" w:hAnsi="宋体" w:eastAsia="宋体" w:cs="宋体"/>
          <w:b w:val="0"/>
          <w:bCs/>
          <w:color w:val="000000" w:themeColor="text1"/>
          <w:sz w:val="21"/>
          <w:szCs w:val="21"/>
          <w:lang w:eastAsia="zh-CN"/>
          <w14:textFill>
            <w14:solidFill>
              <w14:schemeClr w14:val="tx1"/>
            </w14:solidFill>
          </w14:textFill>
        </w:rPr>
        <w:t>累计摊销</w:t>
      </w:r>
    </w:p>
    <w:p w14:paraId="374F8E65">
      <w:pPr>
        <w:pStyle w:val="3"/>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firstLine="0"/>
        <w:textAlignment w:val="auto"/>
        <w:rPr>
          <w:rFonts w:hint="eastAsia" w:ascii="宋体" w:hAnsi="宋体" w:eastAsia="宋体" w:cs="宋体"/>
          <w:b w:val="0"/>
          <w:bCs/>
          <w:color w:val="000000" w:themeColor="text1"/>
          <w:sz w:val="21"/>
          <w:szCs w:val="21"/>
          <w:lang w:eastAsia="zh-CN"/>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 xml:space="preserve">　              </w:t>
      </w:r>
      <w:r>
        <w:rPr>
          <w:rFonts w:hint="eastAsia" w:ascii="宋体" w:hAnsi="宋体" w:eastAsia="宋体" w:cs="宋体"/>
          <w:b w:val="0"/>
          <w:bCs/>
          <w:color w:val="000000" w:themeColor="text1"/>
          <w:sz w:val="21"/>
          <w:szCs w:val="21"/>
          <w:lang w:eastAsia="zh-CN"/>
          <w14:textFill>
            <w14:solidFill>
              <w14:schemeClr w14:val="tx1"/>
            </w14:solidFill>
          </w14:textFill>
        </w:rPr>
        <w:t>贷</w:t>
      </w:r>
      <w:r>
        <w:rPr>
          <w:rFonts w:hint="eastAsia" w:ascii="宋体" w:hAnsi="宋体" w:eastAsia="宋体" w:cs="宋体"/>
          <w:b w:val="0"/>
          <w:bCs/>
          <w:color w:val="000000" w:themeColor="text1"/>
          <w:sz w:val="21"/>
          <w:szCs w:val="21"/>
          <w14:textFill>
            <w14:solidFill>
              <w14:schemeClr w14:val="tx1"/>
            </w14:solidFill>
          </w14:textFill>
        </w:rPr>
        <w:t>：</w:t>
      </w:r>
      <w:r>
        <w:rPr>
          <w:rFonts w:hint="eastAsia" w:ascii="宋体" w:hAnsi="宋体" w:eastAsia="宋体" w:cs="宋体"/>
          <w:b w:val="0"/>
          <w:bCs/>
          <w:color w:val="000000" w:themeColor="text1"/>
          <w:sz w:val="21"/>
          <w:szCs w:val="21"/>
          <w:lang w:eastAsia="zh-CN"/>
          <w14:textFill>
            <w14:solidFill>
              <w14:schemeClr w14:val="tx1"/>
            </w14:solidFill>
          </w14:textFill>
        </w:rPr>
        <w:t>库存商品、固定资产清理、无形资产等</w:t>
      </w:r>
      <w:r>
        <w:rPr>
          <w:rFonts w:hint="eastAsia" w:ascii="宋体" w:hAnsi="宋体" w:eastAsia="宋体" w:cs="宋体"/>
          <w:b w:val="0"/>
          <w:bCs/>
          <w:color w:val="000000" w:themeColor="text1"/>
          <w:sz w:val="21"/>
          <w:szCs w:val="21"/>
          <w14:textFill>
            <w14:solidFill>
              <w14:schemeClr w14:val="tx1"/>
            </w14:solidFill>
          </w14:textFill>
        </w:rPr>
        <w:t>（</w:t>
      </w:r>
      <w:r>
        <w:rPr>
          <w:rFonts w:hint="eastAsia" w:ascii="宋体" w:hAnsi="宋体" w:eastAsia="宋体" w:cs="宋体"/>
          <w:b w:val="0"/>
          <w:bCs/>
          <w:color w:val="000000" w:themeColor="text1"/>
          <w:sz w:val="21"/>
          <w:szCs w:val="21"/>
          <w:lang w:eastAsia="zh-CN"/>
          <w14:textFill>
            <w14:solidFill>
              <w14:schemeClr w14:val="tx1"/>
            </w14:solidFill>
          </w14:textFill>
        </w:rPr>
        <w:t>转让资产的账面价值</w:t>
      </w:r>
      <w:r>
        <w:rPr>
          <w:rFonts w:hint="eastAsia" w:ascii="宋体" w:hAnsi="宋体" w:eastAsia="宋体" w:cs="宋体"/>
          <w:b w:val="0"/>
          <w:bCs/>
          <w:color w:val="000000" w:themeColor="text1"/>
          <w:sz w:val="21"/>
          <w:szCs w:val="21"/>
          <w14:textFill>
            <w14:solidFill>
              <w14:schemeClr w14:val="tx1"/>
            </w14:solidFill>
          </w14:textFill>
        </w:rPr>
        <w:t>）</w:t>
      </w:r>
    </w:p>
    <w:p w14:paraId="73B6FCBF">
      <w:pPr>
        <w:pStyle w:val="3"/>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firstLine="0"/>
        <w:textAlignment w:val="auto"/>
        <w:rPr>
          <w:rFonts w:hint="eastAsia" w:ascii="宋体" w:hAnsi="宋体" w:eastAsia="宋体" w:cs="宋体"/>
          <w:b w:val="0"/>
          <w:bCs/>
          <w:color w:val="FF0000"/>
          <w:sz w:val="21"/>
          <w:szCs w:val="21"/>
          <w:lang w:eastAsia="zh-CN"/>
        </w:rPr>
      </w:pPr>
      <w:r>
        <w:rPr>
          <w:rFonts w:hint="eastAsia" w:ascii="宋体" w:hAnsi="宋体" w:eastAsia="宋体" w:cs="宋体"/>
          <w:b w:val="0"/>
          <w:bCs/>
          <w:color w:val="000000" w:themeColor="text1"/>
          <w:sz w:val="21"/>
          <w:szCs w:val="21"/>
          <w14:textFill>
            <w14:solidFill>
              <w14:schemeClr w14:val="tx1"/>
            </w14:solidFill>
          </w14:textFill>
        </w:rPr>
        <w:t xml:space="preserve">                         </w:t>
      </w:r>
      <w:r>
        <w:rPr>
          <w:rFonts w:hint="eastAsia" w:ascii="宋体" w:hAnsi="宋体" w:eastAsia="宋体" w:cs="宋体"/>
          <w:b w:val="0"/>
          <w:bCs/>
          <w:color w:val="FF0000"/>
          <w:sz w:val="21"/>
          <w:szCs w:val="21"/>
          <w:lang w:eastAsia="zh-CN"/>
        </w:rPr>
        <w:t>其他收益——债务重组收益</w:t>
      </w:r>
      <w:r>
        <w:rPr>
          <w:rFonts w:hint="eastAsia" w:ascii="宋体" w:hAnsi="宋体" w:eastAsia="宋体" w:cs="宋体"/>
          <w:b w:val="0"/>
          <w:bCs/>
          <w:color w:val="FF0000"/>
          <w:sz w:val="21"/>
          <w:szCs w:val="21"/>
        </w:rPr>
        <w:t>（</w:t>
      </w:r>
      <w:r>
        <w:rPr>
          <w:rFonts w:hint="eastAsia" w:ascii="宋体" w:hAnsi="宋体" w:eastAsia="宋体" w:cs="宋体"/>
          <w:b w:val="0"/>
          <w:bCs/>
          <w:color w:val="FF0000"/>
          <w:sz w:val="21"/>
          <w:szCs w:val="21"/>
          <w:lang w:eastAsia="zh-CN"/>
        </w:rPr>
        <w:t>差额</w:t>
      </w:r>
      <w:r>
        <w:rPr>
          <w:rFonts w:hint="eastAsia" w:ascii="宋体" w:hAnsi="宋体" w:eastAsia="宋体" w:cs="宋体"/>
          <w:b w:val="0"/>
          <w:bCs/>
          <w:color w:val="FF0000"/>
          <w:sz w:val="21"/>
          <w:szCs w:val="21"/>
        </w:rPr>
        <w:t>）</w:t>
      </w:r>
    </w:p>
    <w:p w14:paraId="69B07540">
      <w:pPr>
        <w:pStyle w:val="3"/>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firstLine="0"/>
        <w:textAlignment w:val="auto"/>
        <w:rPr>
          <w:rFonts w:hint="eastAsia" w:ascii="宋体" w:hAnsi="宋体" w:eastAsia="宋体" w:cs="宋体"/>
          <w:b w:val="0"/>
          <w:bCs/>
          <w:color w:val="000000" w:themeColor="text1"/>
          <w:sz w:val="21"/>
          <w:szCs w:val="21"/>
          <w:lang w:eastAsia="zh-CN"/>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w:t>
      </w:r>
      <w:r>
        <w:rPr>
          <w:rFonts w:hint="eastAsia" w:ascii="宋体" w:hAnsi="宋体" w:eastAsia="宋体" w:cs="宋体"/>
          <w:b w:val="0"/>
          <w:bCs/>
          <w:color w:val="000000" w:themeColor="text1"/>
          <w:sz w:val="21"/>
          <w:szCs w:val="21"/>
          <w:lang w:val="en-US" w:eastAsia="zh-CN"/>
          <w14:textFill>
            <w14:solidFill>
              <w14:schemeClr w14:val="tx1"/>
            </w14:solidFill>
          </w14:textFill>
        </w:rPr>
        <w:t>2</w:t>
      </w:r>
      <w:r>
        <w:rPr>
          <w:rFonts w:hint="eastAsia" w:ascii="宋体" w:hAnsi="宋体" w:eastAsia="宋体" w:cs="宋体"/>
          <w:b w:val="0"/>
          <w:bCs/>
          <w:color w:val="000000" w:themeColor="text1"/>
          <w:sz w:val="21"/>
          <w:szCs w:val="21"/>
          <w14:textFill>
            <w14:solidFill>
              <w14:schemeClr w14:val="tx1"/>
            </w14:solidFill>
          </w14:textFill>
        </w:rPr>
        <w:t>）</w:t>
      </w:r>
      <w:r>
        <w:rPr>
          <w:rFonts w:hint="eastAsia" w:ascii="宋体" w:hAnsi="宋体" w:eastAsia="宋体" w:cs="宋体"/>
          <w:b w:val="0"/>
          <w:bCs/>
          <w:color w:val="000000" w:themeColor="text1"/>
          <w:sz w:val="21"/>
          <w:szCs w:val="21"/>
          <w:lang w:eastAsia="zh-CN"/>
          <w14:textFill>
            <w14:solidFill>
              <w14:schemeClr w14:val="tx1"/>
            </w14:solidFill>
          </w14:textFill>
        </w:rPr>
        <w:t>债务人以包含非金融资产的处置组清偿债务的</w:t>
      </w:r>
    </w:p>
    <w:p w14:paraId="0FAD53AD">
      <w:pPr>
        <w:pStyle w:val="3"/>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firstLine="0"/>
        <w:textAlignment w:val="auto"/>
        <w:rPr>
          <w:rFonts w:hint="eastAsia" w:ascii="宋体" w:hAnsi="宋体" w:eastAsia="宋体" w:cs="宋体"/>
          <w:b w:val="0"/>
          <w:bCs/>
          <w:color w:val="000000" w:themeColor="text1"/>
          <w:sz w:val="21"/>
          <w:szCs w:val="21"/>
          <w:lang w:eastAsia="zh-CN"/>
          <w14:textFill>
            <w14:solidFill>
              <w14:schemeClr w14:val="tx1"/>
            </w14:solidFill>
          </w14:textFill>
        </w:rPr>
      </w:pPr>
      <w:r>
        <w:rPr>
          <w:rFonts w:hint="eastAsia" w:ascii="宋体" w:hAnsi="宋体" w:eastAsia="宋体" w:cs="宋体"/>
          <w:b w:val="0"/>
          <w:bCs/>
          <w:color w:val="000000" w:themeColor="text1"/>
          <w:sz w:val="21"/>
          <w:szCs w:val="21"/>
          <w:lang w:eastAsia="zh-CN"/>
          <w14:textFill>
            <w14:solidFill>
              <w14:schemeClr w14:val="tx1"/>
            </w14:solidFill>
          </w14:textFill>
        </w:rPr>
        <w:t>借</w:t>
      </w:r>
      <w:r>
        <w:rPr>
          <w:rFonts w:hint="eastAsia" w:ascii="宋体" w:hAnsi="宋体" w:eastAsia="宋体" w:cs="宋体"/>
          <w:b w:val="0"/>
          <w:bCs/>
          <w:color w:val="000000" w:themeColor="text1"/>
          <w:sz w:val="21"/>
          <w:szCs w:val="21"/>
          <w14:textFill>
            <w14:solidFill>
              <w14:schemeClr w14:val="tx1"/>
            </w14:solidFill>
          </w14:textFill>
        </w:rPr>
        <w:t>：</w:t>
      </w:r>
      <w:r>
        <w:rPr>
          <w:rFonts w:hint="eastAsia" w:ascii="宋体" w:hAnsi="宋体" w:eastAsia="宋体" w:cs="宋体"/>
          <w:b w:val="0"/>
          <w:bCs/>
          <w:color w:val="000000" w:themeColor="text1"/>
          <w:sz w:val="21"/>
          <w:szCs w:val="21"/>
          <w:lang w:eastAsia="zh-CN"/>
          <w14:textFill>
            <w14:solidFill>
              <w14:schemeClr w14:val="tx1"/>
            </w14:solidFill>
          </w14:textFill>
        </w:rPr>
        <w:t>应付账款等</w:t>
      </w:r>
    </w:p>
    <w:p w14:paraId="5A959AD2">
      <w:pPr>
        <w:pStyle w:val="3"/>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firstLine="0"/>
        <w:textAlignment w:val="auto"/>
        <w:rPr>
          <w:rFonts w:hint="eastAsia" w:ascii="宋体" w:hAnsi="宋体" w:eastAsia="宋体" w:cs="宋体"/>
          <w:b w:val="0"/>
          <w:bCs/>
          <w:color w:val="000000" w:themeColor="text1"/>
          <w:sz w:val="21"/>
          <w:szCs w:val="21"/>
          <w:lang w:eastAsia="zh-CN"/>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　　</w:t>
      </w:r>
      <w:r>
        <w:rPr>
          <w:rFonts w:hint="eastAsia" w:ascii="宋体" w:hAnsi="宋体" w:eastAsia="宋体" w:cs="宋体"/>
          <w:b w:val="0"/>
          <w:bCs/>
          <w:color w:val="000000" w:themeColor="text1"/>
          <w:sz w:val="21"/>
          <w:szCs w:val="21"/>
          <w:lang w:eastAsia="zh-CN"/>
          <w14:textFill>
            <w14:solidFill>
              <w14:schemeClr w14:val="tx1"/>
            </w14:solidFill>
          </w14:textFill>
        </w:rPr>
        <w:t>××负债</w:t>
      </w:r>
    </w:p>
    <w:p w14:paraId="68746601">
      <w:pPr>
        <w:pStyle w:val="3"/>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firstLine="0"/>
        <w:textAlignment w:val="auto"/>
        <w:rPr>
          <w:rFonts w:hint="eastAsia" w:ascii="宋体" w:hAnsi="宋体" w:eastAsia="宋体" w:cs="宋体"/>
          <w:b w:val="0"/>
          <w:bCs/>
          <w:color w:val="000000" w:themeColor="text1"/>
          <w:sz w:val="21"/>
          <w:szCs w:val="21"/>
          <w:lang w:eastAsia="zh-CN"/>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　　</w:t>
      </w:r>
      <w:r>
        <w:rPr>
          <w:rFonts w:hint="eastAsia" w:ascii="宋体" w:hAnsi="宋体" w:eastAsia="宋体" w:cs="宋体"/>
          <w:b w:val="0"/>
          <w:bCs/>
          <w:color w:val="000000" w:themeColor="text1"/>
          <w:sz w:val="21"/>
          <w:szCs w:val="21"/>
          <w:lang w:eastAsia="zh-CN"/>
          <w14:textFill>
            <w14:solidFill>
              <w14:schemeClr w14:val="tx1"/>
            </w14:solidFill>
          </w14:textFill>
        </w:rPr>
        <w:t>××准备</w:t>
      </w:r>
    </w:p>
    <w:p w14:paraId="7D8C8EF1">
      <w:pPr>
        <w:pStyle w:val="3"/>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firstLine="0"/>
        <w:textAlignment w:val="auto"/>
        <w:rPr>
          <w:rFonts w:hint="eastAsia" w:ascii="宋体" w:hAnsi="宋体" w:eastAsia="宋体" w:cs="宋体"/>
          <w:b w:val="0"/>
          <w:bCs/>
          <w:color w:val="000000" w:themeColor="text1"/>
          <w:sz w:val="21"/>
          <w:szCs w:val="21"/>
          <w:lang w:eastAsia="zh-CN"/>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　　</w:t>
      </w:r>
      <w:r>
        <w:rPr>
          <w:rFonts w:hint="eastAsia" w:ascii="宋体" w:hAnsi="宋体" w:eastAsia="宋体" w:cs="宋体"/>
          <w:b w:val="0"/>
          <w:bCs/>
          <w:color w:val="000000" w:themeColor="text1"/>
          <w:sz w:val="21"/>
          <w:szCs w:val="21"/>
          <w:lang w:eastAsia="zh-CN"/>
          <w14:textFill>
            <w14:solidFill>
              <w14:schemeClr w14:val="tx1"/>
            </w14:solidFill>
          </w14:textFill>
        </w:rPr>
        <w:t>贷</w:t>
      </w:r>
      <w:r>
        <w:rPr>
          <w:rFonts w:hint="eastAsia" w:ascii="宋体" w:hAnsi="宋体" w:eastAsia="宋体" w:cs="宋体"/>
          <w:b w:val="0"/>
          <w:bCs/>
          <w:color w:val="000000" w:themeColor="text1"/>
          <w:sz w:val="21"/>
          <w:szCs w:val="21"/>
          <w14:textFill>
            <w14:solidFill>
              <w14:schemeClr w14:val="tx1"/>
            </w14:solidFill>
          </w14:textFill>
        </w:rPr>
        <w:t>：</w:t>
      </w:r>
      <w:r>
        <w:rPr>
          <w:rFonts w:hint="eastAsia" w:ascii="宋体" w:hAnsi="宋体" w:eastAsia="宋体" w:cs="宋体"/>
          <w:b w:val="0"/>
          <w:bCs/>
          <w:color w:val="000000" w:themeColor="text1"/>
          <w:sz w:val="21"/>
          <w:szCs w:val="21"/>
          <w:lang w:eastAsia="zh-CN"/>
          <w14:textFill>
            <w14:solidFill>
              <w14:schemeClr w14:val="tx1"/>
            </w14:solidFill>
          </w14:textFill>
        </w:rPr>
        <w:t>××资产</w:t>
      </w:r>
    </w:p>
    <w:p w14:paraId="2FC5917A">
      <w:pPr>
        <w:pStyle w:val="3"/>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firstLine="0"/>
        <w:textAlignment w:val="auto"/>
        <w:rPr>
          <w:rFonts w:hint="eastAsia" w:ascii="宋体" w:hAnsi="宋体" w:eastAsia="宋体" w:cs="宋体"/>
          <w:b w:val="0"/>
          <w:bCs/>
          <w:color w:val="000000" w:themeColor="text1"/>
          <w:sz w:val="21"/>
          <w:szCs w:val="21"/>
          <w:lang w:eastAsia="zh-CN"/>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 xml:space="preserve">           　</w:t>
      </w:r>
      <w:r>
        <w:rPr>
          <w:rFonts w:hint="eastAsia" w:ascii="宋体" w:hAnsi="宋体" w:eastAsia="宋体" w:cs="宋体"/>
          <w:b w:val="0"/>
          <w:bCs/>
          <w:color w:val="000000" w:themeColor="text1"/>
          <w:sz w:val="21"/>
          <w:szCs w:val="21"/>
          <w:lang w:eastAsia="zh-CN"/>
          <w14:textFill>
            <w14:solidFill>
              <w14:schemeClr w14:val="tx1"/>
            </w14:solidFill>
          </w14:textFill>
        </w:rPr>
        <w:t>其他收益</w:t>
      </w:r>
      <w:r>
        <w:rPr>
          <w:rFonts w:hint="eastAsia" w:ascii="宋体" w:hAnsi="宋体" w:eastAsia="宋体" w:cs="宋体"/>
          <w:b w:val="0"/>
          <w:bCs/>
          <w:color w:val="000000" w:themeColor="text1"/>
          <w:sz w:val="21"/>
          <w:szCs w:val="21"/>
          <w:lang w:val="en-US" w:eastAsia="zh-CN"/>
          <w14:textFill>
            <w14:solidFill>
              <w14:schemeClr w14:val="tx1"/>
            </w14:solidFill>
          </w14:textFill>
        </w:rPr>
        <w:t>——</w:t>
      </w:r>
      <w:r>
        <w:rPr>
          <w:rFonts w:hint="eastAsia" w:ascii="宋体" w:hAnsi="宋体" w:eastAsia="宋体" w:cs="宋体"/>
          <w:b w:val="0"/>
          <w:bCs/>
          <w:color w:val="000000" w:themeColor="text1"/>
          <w:sz w:val="21"/>
          <w:szCs w:val="21"/>
          <w:lang w:eastAsia="zh-CN"/>
          <w14:textFill>
            <w14:solidFill>
              <w14:schemeClr w14:val="tx1"/>
            </w14:solidFill>
          </w14:textFill>
        </w:rPr>
        <w:t>债务重组收益</w:t>
      </w:r>
      <w:r>
        <w:rPr>
          <w:rFonts w:hint="eastAsia" w:ascii="宋体" w:hAnsi="宋体" w:eastAsia="宋体" w:cs="宋体"/>
          <w:b w:val="0"/>
          <w:bCs/>
          <w:color w:val="000000" w:themeColor="text1"/>
          <w:sz w:val="21"/>
          <w:szCs w:val="21"/>
          <w14:textFill>
            <w14:solidFill>
              <w14:schemeClr w14:val="tx1"/>
            </w14:solidFill>
          </w14:textFill>
        </w:rPr>
        <w:t>（</w:t>
      </w:r>
      <w:r>
        <w:rPr>
          <w:rFonts w:hint="eastAsia" w:ascii="宋体" w:hAnsi="宋体" w:eastAsia="宋体" w:cs="宋体"/>
          <w:b w:val="0"/>
          <w:bCs/>
          <w:color w:val="000000" w:themeColor="text1"/>
          <w:sz w:val="21"/>
          <w:szCs w:val="21"/>
          <w:lang w:eastAsia="zh-CN"/>
          <w14:textFill>
            <w14:solidFill>
              <w14:schemeClr w14:val="tx1"/>
            </w14:solidFill>
          </w14:textFill>
        </w:rPr>
        <w:t>借或贷</w:t>
      </w:r>
      <w:r>
        <w:rPr>
          <w:rFonts w:hint="eastAsia" w:ascii="宋体" w:hAnsi="宋体" w:eastAsia="宋体" w:cs="宋体"/>
          <w:b w:val="0"/>
          <w:bCs/>
          <w:color w:val="000000" w:themeColor="text1"/>
          <w:sz w:val="21"/>
          <w:szCs w:val="21"/>
          <w14:textFill>
            <w14:solidFill>
              <w14:schemeClr w14:val="tx1"/>
            </w14:solidFill>
          </w14:textFill>
        </w:rPr>
        <w:t>）</w:t>
      </w:r>
    </w:p>
    <w:p w14:paraId="39D169F7">
      <w:pPr>
        <w:pStyle w:val="3"/>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firstLine="0"/>
        <w:textAlignment w:val="auto"/>
        <w:rPr>
          <w:rFonts w:hint="eastAsia" w:ascii="宋体" w:hAnsi="宋体" w:eastAsia="宋体" w:cs="宋体"/>
          <w:b w:val="0"/>
          <w:bCs/>
          <w:color w:val="FF0000"/>
          <w:sz w:val="21"/>
          <w:szCs w:val="21"/>
          <w:lang w:eastAsia="zh-CN"/>
        </w:rPr>
      </w:pPr>
      <w:r>
        <w:rPr>
          <w:rFonts w:hint="eastAsia" w:ascii="宋体" w:hAnsi="宋体" w:eastAsia="宋体" w:cs="宋体"/>
          <w:b w:val="0"/>
          <w:bCs/>
          <w:color w:val="000000" w:themeColor="text1"/>
          <w:sz w:val="21"/>
          <w:szCs w:val="21"/>
          <w14:textFill>
            <w14:solidFill>
              <w14:schemeClr w14:val="tx1"/>
            </w14:solidFill>
          </w14:textFill>
        </w:rPr>
        <w:t>（</w:t>
      </w:r>
      <w:r>
        <w:rPr>
          <w:rFonts w:hint="eastAsia" w:ascii="宋体" w:hAnsi="宋体" w:eastAsia="宋体" w:cs="宋体"/>
          <w:b w:val="0"/>
          <w:bCs/>
          <w:color w:val="000000" w:themeColor="text1"/>
          <w:sz w:val="21"/>
          <w:szCs w:val="21"/>
          <w:lang w:eastAsia="zh-CN"/>
          <w14:textFill>
            <w14:solidFill>
              <w14:schemeClr w14:val="tx1"/>
            </w14:solidFill>
          </w14:textFill>
        </w:rPr>
        <w:t>二</w:t>
      </w:r>
      <w:r>
        <w:rPr>
          <w:rFonts w:hint="eastAsia" w:ascii="宋体" w:hAnsi="宋体" w:eastAsia="宋体" w:cs="宋体"/>
          <w:b w:val="0"/>
          <w:bCs/>
          <w:color w:val="000000" w:themeColor="text1"/>
          <w:sz w:val="21"/>
          <w:szCs w:val="21"/>
          <w14:textFill>
            <w14:solidFill>
              <w14:schemeClr w14:val="tx1"/>
            </w14:solidFill>
          </w14:textFill>
        </w:rPr>
        <w:t>）</w:t>
      </w:r>
      <w:r>
        <w:rPr>
          <w:rFonts w:hint="eastAsia" w:ascii="宋体" w:hAnsi="宋体" w:eastAsia="宋体" w:cs="宋体"/>
          <w:b w:val="0"/>
          <w:bCs/>
          <w:color w:val="000000" w:themeColor="text1"/>
          <w:sz w:val="21"/>
          <w:szCs w:val="21"/>
          <w:lang w:eastAsia="zh-CN"/>
          <w14:textFill>
            <w14:solidFill>
              <w14:schemeClr w14:val="tx1"/>
            </w14:solidFill>
          </w14:textFill>
        </w:rPr>
        <w:t>债务人将债务转为</w:t>
      </w:r>
      <w:r>
        <w:rPr>
          <w:rFonts w:hint="eastAsia" w:ascii="宋体" w:hAnsi="宋体" w:eastAsia="宋体" w:cs="宋体"/>
          <w:b w:val="0"/>
          <w:bCs/>
          <w:color w:val="FF0000"/>
          <w:sz w:val="21"/>
          <w:szCs w:val="21"/>
          <w:lang w:eastAsia="zh-CN"/>
        </w:rPr>
        <w:t>权益工具</w:t>
      </w:r>
      <w:r>
        <w:rPr>
          <w:rFonts w:hint="eastAsia" w:ascii="宋体" w:hAnsi="宋体" w:eastAsia="宋体" w:cs="宋体"/>
          <w:b w:val="0"/>
          <w:bCs/>
          <w:color w:val="FF0000"/>
          <w:sz w:val="21"/>
          <w:szCs w:val="21"/>
        </w:rPr>
        <w:t>（</w:t>
      </w:r>
      <w:r>
        <w:rPr>
          <w:rFonts w:hint="eastAsia" w:ascii="宋体" w:hAnsi="宋体" w:eastAsia="宋体" w:cs="宋体"/>
          <w:b w:val="0"/>
          <w:bCs/>
          <w:color w:val="FF0000"/>
          <w:sz w:val="21"/>
          <w:szCs w:val="21"/>
          <w:lang w:eastAsia="zh-CN"/>
        </w:rPr>
        <w:t>权益工具使用公允价值</w:t>
      </w:r>
      <w:r>
        <w:rPr>
          <w:rFonts w:hint="eastAsia" w:ascii="宋体" w:hAnsi="宋体" w:eastAsia="宋体" w:cs="宋体"/>
          <w:b w:val="0"/>
          <w:bCs/>
          <w:color w:val="FF0000"/>
          <w:sz w:val="21"/>
          <w:szCs w:val="21"/>
        </w:rPr>
        <w:t>）</w:t>
      </w:r>
    </w:p>
    <w:p w14:paraId="331BC0F5">
      <w:pPr>
        <w:pStyle w:val="3"/>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firstLine="0"/>
        <w:textAlignment w:val="auto"/>
        <w:rPr>
          <w:rFonts w:hint="eastAsia" w:ascii="宋体" w:hAnsi="宋体" w:eastAsia="宋体" w:cs="宋体"/>
          <w:b w:val="0"/>
          <w:bCs/>
          <w:color w:val="000000" w:themeColor="text1"/>
          <w:sz w:val="21"/>
          <w:szCs w:val="21"/>
          <w:lang w:eastAsia="zh-CN"/>
          <w14:textFill>
            <w14:solidFill>
              <w14:schemeClr w14:val="tx1"/>
            </w14:solidFill>
          </w14:textFill>
        </w:rPr>
      </w:pPr>
      <w:r>
        <w:rPr>
          <w:rFonts w:hint="eastAsia" w:ascii="宋体" w:hAnsi="宋体" w:eastAsia="宋体" w:cs="宋体"/>
          <w:b w:val="0"/>
          <w:bCs/>
          <w:color w:val="000000" w:themeColor="text1"/>
          <w:sz w:val="21"/>
          <w:szCs w:val="21"/>
          <w:lang w:eastAsia="zh-CN"/>
          <w14:textFill>
            <w14:solidFill>
              <w14:schemeClr w14:val="tx1"/>
            </w14:solidFill>
          </w14:textFill>
        </w:rPr>
        <w:t>债务人初始确认权益工具时</w:t>
      </w:r>
      <w:r>
        <w:rPr>
          <w:rFonts w:hint="eastAsia" w:ascii="宋体" w:hAnsi="宋体" w:eastAsia="宋体" w:cs="宋体"/>
          <w:b w:val="0"/>
          <w:bCs/>
          <w:color w:val="000000" w:themeColor="text1"/>
          <w:sz w:val="21"/>
          <w:szCs w:val="21"/>
          <w14:textFill>
            <w14:solidFill>
              <w14:schemeClr w14:val="tx1"/>
            </w14:solidFill>
          </w14:textFill>
        </w:rPr>
        <w:t>，</w:t>
      </w:r>
      <w:r>
        <w:rPr>
          <w:rFonts w:hint="eastAsia" w:ascii="宋体" w:hAnsi="宋体" w:eastAsia="宋体" w:cs="宋体"/>
          <w:b w:val="0"/>
          <w:bCs/>
          <w:color w:val="FF0000"/>
          <w:sz w:val="21"/>
          <w:szCs w:val="21"/>
          <w:lang w:eastAsia="zh-CN"/>
        </w:rPr>
        <w:t>应当按照权益工具的公允价值计量</w:t>
      </w:r>
      <w:r>
        <w:rPr>
          <w:rFonts w:hint="eastAsia" w:ascii="宋体" w:hAnsi="宋体" w:eastAsia="宋体" w:cs="宋体"/>
          <w:b w:val="0"/>
          <w:bCs/>
          <w:color w:val="FF0000"/>
          <w:sz w:val="21"/>
          <w:szCs w:val="21"/>
        </w:rPr>
        <w:t>，</w:t>
      </w:r>
      <w:r>
        <w:rPr>
          <w:rFonts w:hint="eastAsia" w:ascii="宋体" w:hAnsi="宋体" w:eastAsia="宋体" w:cs="宋体"/>
          <w:b w:val="0"/>
          <w:bCs/>
          <w:color w:val="FF0000"/>
          <w:sz w:val="21"/>
          <w:szCs w:val="21"/>
          <w:lang w:eastAsia="zh-CN"/>
        </w:rPr>
        <w:t>权益工具的公允价值不能可靠计量的</w:t>
      </w:r>
      <w:r>
        <w:rPr>
          <w:rFonts w:hint="eastAsia" w:ascii="宋体" w:hAnsi="宋体" w:eastAsia="宋体" w:cs="宋体"/>
          <w:b w:val="0"/>
          <w:bCs/>
          <w:color w:val="FF0000"/>
          <w:sz w:val="21"/>
          <w:szCs w:val="21"/>
        </w:rPr>
        <w:t>，</w:t>
      </w:r>
      <w:r>
        <w:rPr>
          <w:rFonts w:hint="eastAsia" w:ascii="宋体" w:hAnsi="宋体" w:eastAsia="宋体" w:cs="宋体"/>
          <w:b w:val="0"/>
          <w:bCs/>
          <w:color w:val="FF0000"/>
          <w:sz w:val="21"/>
          <w:szCs w:val="21"/>
          <w:lang w:eastAsia="zh-CN"/>
        </w:rPr>
        <w:t>应当按照所清偿债务的公允价值计量</w:t>
      </w:r>
      <w:r>
        <w:rPr>
          <w:rFonts w:hint="eastAsia" w:ascii="宋体" w:hAnsi="宋体" w:eastAsia="宋体" w:cs="宋体"/>
          <w:b w:val="0"/>
          <w:bCs/>
          <w:color w:val="000000" w:themeColor="text1"/>
          <w:sz w:val="21"/>
          <w:szCs w:val="21"/>
          <w:lang w:eastAsia="zh-CN"/>
          <w14:textFill>
            <w14:solidFill>
              <w14:schemeClr w14:val="tx1"/>
            </w14:solidFill>
          </w14:textFill>
        </w:rPr>
        <w:t>。所清偿债务账面价值与权益工具确认金额之间的差额</w:t>
      </w:r>
      <w:r>
        <w:rPr>
          <w:rFonts w:hint="eastAsia" w:ascii="宋体" w:hAnsi="宋体" w:eastAsia="宋体" w:cs="宋体"/>
          <w:b w:val="0"/>
          <w:bCs/>
          <w:color w:val="000000" w:themeColor="text1"/>
          <w:sz w:val="21"/>
          <w:szCs w:val="21"/>
          <w14:textFill>
            <w14:solidFill>
              <w14:schemeClr w14:val="tx1"/>
            </w14:solidFill>
          </w14:textFill>
        </w:rPr>
        <w:t>，</w:t>
      </w:r>
      <w:r>
        <w:rPr>
          <w:rFonts w:hint="eastAsia" w:ascii="宋体" w:hAnsi="宋体" w:eastAsia="宋体" w:cs="宋体"/>
          <w:b w:val="0"/>
          <w:bCs/>
          <w:color w:val="000000" w:themeColor="text1"/>
          <w:sz w:val="21"/>
          <w:szCs w:val="21"/>
          <w:lang w:eastAsia="zh-CN"/>
          <w14:textFill>
            <w14:solidFill>
              <w14:schemeClr w14:val="tx1"/>
            </w14:solidFill>
          </w14:textFill>
        </w:rPr>
        <w:t>记入“投资收益”科目。</w:t>
      </w:r>
    </w:p>
    <w:p w14:paraId="28C04236">
      <w:pPr>
        <w:pStyle w:val="3"/>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firstLine="0"/>
        <w:textAlignment w:val="auto"/>
        <w:rPr>
          <w:rFonts w:hint="eastAsia" w:ascii="宋体" w:hAnsi="宋体" w:eastAsia="宋体" w:cs="宋体"/>
          <w:b w:val="0"/>
          <w:bCs/>
          <w:color w:val="000000" w:themeColor="text1"/>
          <w:sz w:val="21"/>
          <w:szCs w:val="21"/>
          <w:lang w:eastAsia="zh-CN"/>
          <w14:textFill>
            <w14:solidFill>
              <w14:schemeClr w14:val="tx1"/>
            </w14:solidFill>
          </w14:textFill>
        </w:rPr>
      </w:pPr>
      <w:r>
        <w:rPr>
          <w:rFonts w:hint="eastAsia" w:ascii="宋体" w:hAnsi="宋体" w:eastAsia="宋体" w:cs="宋体"/>
          <w:b w:val="0"/>
          <w:bCs/>
          <w:color w:val="000000" w:themeColor="text1"/>
          <w:sz w:val="21"/>
          <w:szCs w:val="21"/>
          <w:lang w:eastAsia="zh-CN"/>
          <w14:textFill>
            <w14:solidFill>
              <w14:schemeClr w14:val="tx1"/>
            </w14:solidFill>
          </w14:textFill>
        </w:rPr>
        <w:t>借</w:t>
      </w:r>
      <w:r>
        <w:rPr>
          <w:rFonts w:hint="eastAsia" w:ascii="宋体" w:hAnsi="宋体" w:eastAsia="宋体" w:cs="宋体"/>
          <w:b w:val="0"/>
          <w:bCs/>
          <w:color w:val="000000" w:themeColor="text1"/>
          <w:sz w:val="21"/>
          <w:szCs w:val="21"/>
          <w14:textFill>
            <w14:solidFill>
              <w14:schemeClr w14:val="tx1"/>
            </w14:solidFill>
          </w14:textFill>
        </w:rPr>
        <w:t>：</w:t>
      </w:r>
      <w:r>
        <w:rPr>
          <w:rFonts w:hint="eastAsia" w:ascii="宋体" w:hAnsi="宋体" w:eastAsia="宋体" w:cs="宋体"/>
          <w:b w:val="0"/>
          <w:bCs/>
          <w:color w:val="000000" w:themeColor="text1"/>
          <w:sz w:val="21"/>
          <w:szCs w:val="21"/>
          <w:lang w:eastAsia="zh-CN"/>
          <w14:textFill>
            <w14:solidFill>
              <w14:schemeClr w14:val="tx1"/>
            </w14:solidFill>
          </w14:textFill>
        </w:rPr>
        <w:t>应付账款等</w:t>
      </w:r>
    </w:p>
    <w:p w14:paraId="3FC89DDB">
      <w:pPr>
        <w:pStyle w:val="3"/>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firstLine="0"/>
        <w:textAlignment w:val="auto"/>
        <w:rPr>
          <w:rFonts w:hint="eastAsia" w:ascii="宋体" w:hAnsi="宋体" w:eastAsia="宋体" w:cs="宋体"/>
          <w:b w:val="0"/>
          <w:bCs/>
          <w:color w:val="000000" w:themeColor="text1"/>
          <w:sz w:val="21"/>
          <w:szCs w:val="21"/>
          <w:lang w:eastAsia="zh-CN"/>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　　</w:t>
      </w:r>
      <w:r>
        <w:rPr>
          <w:rFonts w:hint="eastAsia" w:ascii="宋体" w:hAnsi="宋体" w:eastAsia="宋体" w:cs="宋体"/>
          <w:b w:val="0"/>
          <w:bCs/>
          <w:color w:val="000000" w:themeColor="text1"/>
          <w:sz w:val="21"/>
          <w:szCs w:val="21"/>
          <w:lang w:eastAsia="zh-CN"/>
          <w14:textFill>
            <w14:solidFill>
              <w14:schemeClr w14:val="tx1"/>
            </w14:solidFill>
          </w14:textFill>
        </w:rPr>
        <w:t>贷</w:t>
      </w:r>
      <w:r>
        <w:rPr>
          <w:rFonts w:hint="eastAsia" w:ascii="宋体" w:hAnsi="宋体" w:eastAsia="宋体" w:cs="宋体"/>
          <w:b w:val="0"/>
          <w:bCs/>
          <w:color w:val="000000" w:themeColor="text1"/>
          <w:sz w:val="21"/>
          <w:szCs w:val="21"/>
          <w14:textFill>
            <w14:solidFill>
              <w14:schemeClr w14:val="tx1"/>
            </w14:solidFill>
          </w14:textFill>
        </w:rPr>
        <w:t>：</w:t>
      </w:r>
      <w:r>
        <w:rPr>
          <w:rFonts w:hint="eastAsia" w:ascii="宋体" w:hAnsi="宋体" w:eastAsia="宋体" w:cs="宋体"/>
          <w:b w:val="0"/>
          <w:bCs/>
          <w:color w:val="000000" w:themeColor="text1"/>
          <w:sz w:val="21"/>
          <w:szCs w:val="21"/>
          <w:lang w:eastAsia="zh-CN"/>
          <w14:textFill>
            <w14:solidFill>
              <w14:schemeClr w14:val="tx1"/>
            </w14:solidFill>
          </w14:textFill>
        </w:rPr>
        <w:t>股本</w:t>
      </w:r>
      <w:r>
        <w:rPr>
          <w:rFonts w:hint="eastAsia" w:ascii="宋体" w:hAnsi="宋体" w:eastAsia="宋体" w:cs="宋体"/>
          <w:b w:val="0"/>
          <w:bCs/>
          <w:color w:val="000000" w:themeColor="text1"/>
          <w:sz w:val="21"/>
          <w:szCs w:val="21"/>
          <w14:textFill>
            <w14:solidFill>
              <w14:schemeClr w14:val="tx1"/>
            </w14:solidFill>
          </w14:textFill>
        </w:rPr>
        <w:t>（</w:t>
      </w:r>
      <w:r>
        <w:rPr>
          <w:rFonts w:hint="eastAsia" w:ascii="宋体" w:hAnsi="宋体" w:eastAsia="宋体" w:cs="宋体"/>
          <w:b w:val="0"/>
          <w:bCs/>
          <w:color w:val="000000" w:themeColor="text1"/>
          <w:sz w:val="21"/>
          <w:szCs w:val="21"/>
          <w:lang w:eastAsia="zh-CN"/>
          <w14:textFill>
            <w14:solidFill>
              <w14:schemeClr w14:val="tx1"/>
            </w14:solidFill>
          </w14:textFill>
        </w:rPr>
        <w:t>实收资本</w:t>
      </w:r>
      <w:r>
        <w:rPr>
          <w:rFonts w:hint="eastAsia" w:ascii="宋体" w:hAnsi="宋体" w:eastAsia="宋体" w:cs="宋体"/>
          <w:b w:val="0"/>
          <w:bCs/>
          <w:color w:val="000000" w:themeColor="text1"/>
          <w:sz w:val="21"/>
          <w:szCs w:val="21"/>
          <w14:textFill>
            <w14:solidFill>
              <w14:schemeClr w14:val="tx1"/>
            </w14:solidFill>
          </w14:textFill>
        </w:rPr>
        <w:t>）</w:t>
      </w:r>
    </w:p>
    <w:p w14:paraId="6705D4CB">
      <w:pPr>
        <w:pStyle w:val="3"/>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firstLine="0"/>
        <w:textAlignment w:val="auto"/>
        <w:rPr>
          <w:rFonts w:hint="eastAsia" w:ascii="宋体" w:hAnsi="宋体" w:eastAsia="宋体" w:cs="宋体"/>
          <w:b w:val="0"/>
          <w:bCs/>
          <w:color w:val="000000" w:themeColor="text1"/>
          <w:sz w:val="21"/>
          <w:szCs w:val="21"/>
          <w:lang w:eastAsia="zh-CN"/>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 xml:space="preserve">　           </w:t>
      </w:r>
      <w:r>
        <w:rPr>
          <w:rFonts w:hint="eastAsia" w:ascii="宋体" w:hAnsi="宋体" w:eastAsia="宋体" w:cs="宋体"/>
          <w:b w:val="0"/>
          <w:bCs/>
          <w:color w:val="000000" w:themeColor="text1"/>
          <w:sz w:val="21"/>
          <w:szCs w:val="21"/>
          <w:lang w:eastAsia="zh-CN"/>
          <w14:textFill>
            <w14:solidFill>
              <w14:schemeClr w14:val="tx1"/>
            </w14:solidFill>
          </w14:textFill>
        </w:rPr>
        <w:t>资本公积——股本溢价</w:t>
      </w:r>
      <w:r>
        <w:rPr>
          <w:rFonts w:hint="eastAsia" w:ascii="宋体" w:hAnsi="宋体" w:eastAsia="宋体" w:cs="宋体"/>
          <w:b w:val="0"/>
          <w:bCs/>
          <w:color w:val="000000" w:themeColor="text1"/>
          <w:sz w:val="21"/>
          <w:szCs w:val="21"/>
          <w14:textFill>
            <w14:solidFill>
              <w14:schemeClr w14:val="tx1"/>
            </w14:solidFill>
          </w14:textFill>
        </w:rPr>
        <w:t>（</w:t>
      </w:r>
      <w:r>
        <w:rPr>
          <w:rFonts w:hint="eastAsia" w:ascii="宋体" w:hAnsi="宋体" w:eastAsia="宋体" w:cs="宋体"/>
          <w:b w:val="0"/>
          <w:bCs/>
          <w:color w:val="000000" w:themeColor="text1"/>
          <w:sz w:val="21"/>
          <w:szCs w:val="21"/>
          <w:lang w:eastAsia="zh-CN"/>
          <w14:textFill>
            <w14:solidFill>
              <w14:schemeClr w14:val="tx1"/>
            </w14:solidFill>
          </w14:textFill>
        </w:rPr>
        <w:t>资本溢价</w:t>
      </w:r>
      <w:r>
        <w:rPr>
          <w:rFonts w:hint="eastAsia" w:ascii="宋体" w:hAnsi="宋体" w:eastAsia="宋体" w:cs="宋体"/>
          <w:b w:val="0"/>
          <w:bCs/>
          <w:color w:val="000000" w:themeColor="text1"/>
          <w:sz w:val="21"/>
          <w:szCs w:val="21"/>
          <w14:textFill>
            <w14:solidFill>
              <w14:schemeClr w14:val="tx1"/>
            </w14:solidFill>
          </w14:textFill>
        </w:rPr>
        <w:t>）</w:t>
      </w:r>
    </w:p>
    <w:p w14:paraId="3AFE4DEC">
      <w:pPr>
        <w:pStyle w:val="3"/>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firstLine="0"/>
        <w:textAlignment w:val="auto"/>
        <w:rPr>
          <w:rFonts w:hint="eastAsia" w:ascii="宋体" w:hAnsi="宋体" w:eastAsia="宋体" w:cs="宋体"/>
          <w:b w:val="0"/>
          <w:bCs/>
          <w:color w:val="FF0000"/>
          <w:sz w:val="21"/>
          <w:szCs w:val="21"/>
          <w:lang w:eastAsia="zh-CN"/>
        </w:rPr>
      </w:pPr>
      <w:r>
        <w:rPr>
          <w:rFonts w:hint="eastAsia" w:ascii="宋体" w:hAnsi="宋体" w:eastAsia="宋体" w:cs="宋体"/>
          <w:b w:val="0"/>
          <w:bCs/>
          <w:color w:val="000000" w:themeColor="text1"/>
          <w:sz w:val="21"/>
          <w:szCs w:val="21"/>
          <w14:textFill>
            <w14:solidFill>
              <w14:schemeClr w14:val="tx1"/>
            </w14:solidFill>
          </w14:textFill>
        </w:rPr>
        <w:t xml:space="preserve">           　</w:t>
      </w:r>
      <w:r>
        <w:rPr>
          <w:rFonts w:hint="eastAsia" w:ascii="宋体" w:hAnsi="宋体" w:eastAsia="宋体" w:cs="宋体"/>
          <w:b w:val="0"/>
          <w:bCs/>
          <w:color w:val="FF0000"/>
          <w:sz w:val="21"/>
          <w:szCs w:val="21"/>
          <w:lang w:eastAsia="zh-CN"/>
        </w:rPr>
        <w:t>投资收益【所清偿债务账面价值与权益工具</w:t>
      </w:r>
      <w:r>
        <w:rPr>
          <w:rFonts w:hint="eastAsia" w:ascii="宋体" w:hAnsi="宋体" w:eastAsia="宋体" w:cs="宋体"/>
          <w:b w:val="0"/>
          <w:bCs/>
          <w:color w:val="FF0000"/>
          <w:sz w:val="21"/>
          <w:szCs w:val="21"/>
        </w:rPr>
        <w:t>（</w:t>
      </w:r>
      <w:r>
        <w:rPr>
          <w:rFonts w:hint="eastAsia" w:ascii="宋体" w:hAnsi="宋体" w:eastAsia="宋体" w:cs="宋体"/>
          <w:b w:val="0"/>
          <w:bCs/>
          <w:color w:val="FF0000"/>
          <w:sz w:val="21"/>
          <w:szCs w:val="21"/>
          <w:lang w:eastAsia="zh-CN"/>
        </w:rPr>
        <w:t>公允价值</w:t>
      </w:r>
      <w:r>
        <w:rPr>
          <w:rFonts w:hint="eastAsia" w:ascii="宋体" w:hAnsi="宋体" w:eastAsia="宋体" w:cs="宋体"/>
          <w:b w:val="0"/>
          <w:bCs/>
          <w:color w:val="FF0000"/>
          <w:sz w:val="21"/>
          <w:szCs w:val="21"/>
        </w:rPr>
        <w:t>）</w:t>
      </w:r>
      <w:r>
        <w:rPr>
          <w:rFonts w:hint="eastAsia" w:ascii="宋体" w:hAnsi="宋体" w:eastAsia="宋体" w:cs="宋体"/>
          <w:b w:val="0"/>
          <w:bCs/>
          <w:color w:val="FF0000"/>
          <w:sz w:val="21"/>
          <w:szCs w:val="21"/>
          <w:lang w:eastAsia="zh-CN"/>
        </w:rPr>
        <w:t>确认金额之间的差额】</w:t>
      </w:r>
    </w:p>
    <w:p w14:paraId="08582DF2">
      <w:pPr>
        <w:pStyle w:val="3"/>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firstLine="0"/>
        <w:textAlignment w:val="auto"/>
        <w:rPr>
          <w:rFonts w:hint="eastAsia" w:ascii="宋体" w:hAnsi="宋体" w:eastAsia="宋体" w:cs="宋体"/>
          <w:b w:val="0"/>
          <w:bCs/>
          <w:color w:val="000000" w:themeColor="text1"/>
          <w:sz w:val="21"/>
          <w:szCs w:val="21"/>
          <w:lang w:eastAsia="zh-CN"/>
          <w14:textFill>
            <w14:solidFill>
              <w14:schemeClr w14:val="tx1"/>
            </w14:solidFill>
          </w14:textFill>
        </w:rPr>
      </w:pPr>
      <w:r>
        <w:rPr>
          <w:rFonts w:hint="eastAsia" w:ascii="宋体" w:hAnsi="宋体" w:eastAsia="宋体" w:cs="宋体"/>
          <w:b w:val="0"/>
          <w:bCs/>
          <w:color w:val="000000" w:themeColor="text1"/>
          <w:sz w:val="21"/>
          <w:szCs w:val="21"/>
          <w:lang w:eastAsia="zh-CN"/>
          <w14:textFill>
            <w14:solidFill>
              <w14:schemeClr w14:val="tx1"/>
            </w14:solidFill>
          </w14:textFill>
        </w:rPr>
        <w:t>债务人因发行权益工具而支出的相关税费等</w:t>
      </w:r>
      <w:r>
        <w:rPr>
          <w:rFonts w:hint="eastAsia" w:ascii="宋体" w:hAnsi="宋体" w:eastAsia="宋体" w:cs="宋体"/>
          <w:b w:val="0"/>
          <w:bCs/>
          <w:color w:val="000000" w:themeColor="text1"/>
          <w:sz w:val="21"/>
          <w:szCs w:val="21"/>
          <w14:textFill>
            <w14:solidFill>
              <w14:schemeClr w14:val="tx1"/>
            </w14:solidFill>
          </w14:textFill>
        </w:rPr>
        <w:t>，</w:t>
      </w:r>
      <w:r>
        <w:rPr>
          <w:rFonts w:hint="eastAsia" w:ascii="宋体" w:hAnsi="宋体" w:eastAsia="宋体" w:cs="宋体"/>
          <w:b w:val="0"/>
          <w:bCs/>
          <w:color w:val="000000" w:themeColor="text1"/>
          <w:sz w:val="21"/>
          <w:szCs w:val="21"/>
          <w:lang w:eastAsia="zh-CN"/>
          <w14:textFill>
            <w14:solidFill>
              <w14:schemeClr w14:val="tx1"/>
            </w14:solidFill>
          </w14:textFill>
        </w:rPr>
        <w:t>应当依次冲减资本溢价、盈余公积、未分配利润等。</w:t>
      </w:r>
    </w:p>
    <w:p w14:paraId="224503F4">
      <w:pPr>
        <w:pStyle w:val="3"/>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firstLine="0"/>
        <w:textAlignment w:val="auto"/>
        <w:rPr>
          <w:rFonts w:hint="eastAsia" w:ascii="宋体" w:hAnsi="宋体" w:eastAsia="宋体" w:cs="宋体"/>
          <w:b w:val="0"/>
          <w:bCs/>
          <w:color w:val="000000" w:themeColor="text1"/>
          <w:sz w:val="21"/>
          <w:szCs w:val="21"/>
          <w:lang w:eastAsia="zh-CN"/>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w:t>
      </w:r>
      <w:r>
        <w:rPr>
          <w:rFonts w:hint="eastAsia" w:ascii="宋体" w:hAnsi="宋体" w:eastAsia="宋体" w:cs="宋体"/>
          <w:b w:val="0"/>
          <w:bCs/>
          <w:color w:val="000000" w:themeColor="text1"/>
          <w:sz w:val="21"/>
          <w:szCs w:val="21"/>
          <w:lang w:eastAsia="zh-CN"/>
          <w14:textFill>
            <w14:solidFill>
              <w14:schemeClr w14:val="tx1"/>
            </w14:solidFill>
          </w14:textFill>
        </w:rPr>
        <w:t>三</w:t>
      </w:r>
      <w:r>
        <w:rPr>
          <w:rFonts w:hint="eastAsia" w:ascii="宋体" w:hAnsi="宋体" w:eastAsia="宋体" w:cs="宋体"/>
          <w:b w:val="0"/>
          <w:bCs/>
          <w:color w:val="000000" w:themeColor="text1"/>
          <w:sz w:val="21"/>
          <w:szCs w:val="21"/>
          <w14:textFill>
            <w14:solidFill>
              <w14:schemeClr w14:val="tx1"/>
            </w14:solidFill>
          </w14:textFill>
        </w:rPr>
        <w:t>）</w:t>
      </w:r>
      <w:r>
        <w:rPr>
          <w:rFonts w:hint="eastAsia" w:ascii="宋体" w:hAnsi="宋体" w:eastAsia="宋体" w:cs="宋体"/>
          <w:b w:val="0"/>
          <w:bCs/>
          <w:color w:val="000000" w:themeColor="text1"/>
          <w:sz w:val="21"/>
          <w:szCs w:val="21"/>
          <w:lang w:eastAsia="zh-CN"/>
          <w14:textFill>
            <w14:solidFill>
              <w14:schemeClr w14:val="tx1"/>
            </w14:solidFill>
          </w14:textFill>
        </w:rPr>
        <w:t>修改其他条款</w:t>
      </w:r>
    </w:p>
    <w:p w14:paraId="095703AF">
      <w:pPr>
        <w:pStyle w:val="3"/>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firstLine="0"/>
        <w:textAlignment w:val="auto"/>
        <w:rPr>
          <w:rFonts w:hint="eastAsia" w:ascii="宋体" w:hAnsi="宋体" w:eastAsia="宋体" w:cs="宋体"/>
          <w:b w:val="0"/>
          <w:bCs/>
          <w:color w:val="FF0000"/>
          <w:sz w:val="21"/>
          <w:szCs w:val="21"/>
          <w:lang w:eastAsia="zh-CN"/>
        </w:rPr>
      </w:pPr>
      <w:r>
        <w:rPr>
          <w:rFonts w:hint="eastAsia" w:ascii="宋体" w:hAnsi="宋体" w:eastAsia="宋体" w:cs="宋体"/>
          <w:b w:val="0"/>
          <w:bCs/>
          <w:color w:val="000000" w:themeColor="text1"/>
          <w:sz w:val="21"/>
          <w:szCs w:val="21"/>
          <w:lang w:eastAsia="zh-CN"/>
          <w14:textFill>
            <w14:solidFill>
              <w14:schemeClr w14:val="tx1"/>
            </w14:solidFill>
          </w14:textFill>
        </w:rPr>
        <w:t>如果修改其他条款</w:t>
      </w:r>
      <w:r>
        <w:rPr>
          <w:rFonts w:hint="eastAsia" w:ascii="宋体" w:hAnsi="宋体" w:eastAsia="宋体" w:cs="宋体"/>
          <w:b w:val="0"/>
          <w:bCs/>
          <w:color w:val="FF0000"/>
          <w:sz w:val="21"/>
          <w:szCs w:val="21"/>
          <w:lang w:eastAsia="zh-CN"/>
        </w:rPr>
        <w:t>导致债务终止确认</w:t>
      </w:r>
    </w:p>
    <w:p w14:paraId="51BAB4F1">
      <w:pPr>
        <w:pStyle w:val="3"/>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firstLine="0"/>
        <w:textAlignment w:val="auto"/>
        <w:rPr>
          <w:rFonts w:hint="eastAsia" w:ascii="宋体" w:hAnsi="宋体" w:eastAsia="宋体" w:cs="宋体"/>
          <w:b w:val="0"/>
          <w:bCs/>
          <w:color w:val="000000" w:themeColor="text1"/>
          <w:sz w:val="21"/>
          <w:szCs w:val="21"/>
          <w:lang w:eastAsia="zh-CN"/>
          <w14:textFill>
            <w14:solidFill>
              <w14:schemeClr w14:val="tx1"/>
            </w14:solidFill>
          </w14:textFill>
        </w:rPr>
      </w:pPr>
      <w:r>
        <w:rPr>
          <w:rFonts w:hint="eastAsia" w:ascii="宋体" w:hAnsi="宋体" w:eastAsia="宋体" w:cs="宋体"/>
          <w:b w:val="0"/>
          <w:bCs/>
          <w:color w:val="000000" w:themeColor="text1"/>
          <w:sz w:val="21"/>
          <w:szCs w:val="21"/>
          <w:lang w:eastAsia="zh-CN"/>
          <w14:textFill>
            <w14:solidFill>
              <w14:schemeClr w14:val="tx1"/>
            </w14:solidFill>
          </w14:textFill>
        </w:rPr>
        <w:t>债务人应当按照公允价值计量重组债务</w:t>
      </w:r>
      <w:r>
        <w:rPr>
          <w:rFonts w:hint="eastAsia" w:ascii="宋体" w:hAnsi="宋体" w:eastAsia="宋体" w:cs="宋体"/>
          <w:b w:val="0"/>
          <w:bCs/>
          <w:color w:val="000000" w:themeColor="text1"/>
          <w:sz w:val="21"/>
          <w:szCs w:val="21"/>
          <w14:textFill>
            <w14:solidFill>
              <w14:schemeClr w14:val="tx1"/>
            </w14:solidFill>
          </w14:textFill>
        </w:rPr>
        <w:t>：</w:t>
      </w:r>
    </w:p>
    <w:p w14:paraId="77B33BD6">
      <w:pPr>
        <w:pStyle w:val="3"/>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firstLine="0"/>
        <w:textAlignment w:val="auto"/>
        <w:rPr>
          <w:rFonts w:hint="eastAsia" w:ascii="宋体" w:hAnsi="宋体" w:eastAsia="宋体" w:cs="宋体"/>
          <w:b w:val="0"/>
          <w:bCs/>
          <w:color w:val="000000" w:themeColor="text1"/>
          <w:sz w:val="21"/>
          <w:szCs w:val="21"/>
          <w:lang w:eastAsia="zh-CN"/>
          <w14:textFill>
            <w14:solidFill>
              <w14:schemeClr w14:val="tx1"/>
            </w14:solidFill>
          </w14:textFill>
        </w:rPr>
      </w:pPr>
      <w:r>
        <w:rPr>
          <w:rFonts w:hint="eastAsia" w:ascii="宋体" w:hAnsi="宋体" w:eastAsia="宋体" w:cs="宋体"/>
          <w:b w:val="0"/>
          <w:bCs/>
          <w:color w:val="000000" w:themeColor="text1"/>
          <w:sz w:val="21"/>
          <w:szCs w:val="21"/>
          <w:lang w:eastAsia="zh-CN"/>
          <w14:textFill>
            <w14:solidFill>
              <w14:schemeClr w14:val="tx1"/>
            </w14:solidFill>
          </w14:textFill>
        </w:rPr>
        <w:t>借</w:t>
      </w:r>
      <w:r>
        <w:rPr>
          <w:rFonts w:hint="eastAsia" w:ascii="宋体" w:hAnsi="宋体" w:eastAsia="宋体" w:cs="宋体"/>
          <w:b w:val="0"/>
          <w:bCs/>
          <w:color w:val="000000" w:themeColor="text1"/>
          <w:sz w:val="21"/>
          <w:szCs w:val="21"/>
          <w14:textFill>
            <w14:solidFill>
              <w14:schemeClr w14:val="tx1"/>
            </w14:solidFill>
          </w14:textFill>
        </w:rPr>
        <w:t>：</w:t>
      </w:r>
      <w:r>
        <w:rPr>
          <w:rFonts w:hint="eastAsia" w:ascii="宋体" w:hAnsi="宋体" w:eastAsia="宋体" w:cs="宋体"/>
          <w:b w:val="0"/>
          <w:bCs/>
          <w:color w:val="000000" w:themeColor="text1"/>
          <w:sz w:val="21"/>
          <w:szCs w:val="21"/>
          <w:lang w:eastAsia="zh-CN"/>
          <w14:textFill>
            <w14:solidFill>
              <w14:schemeClr w14:val="tx1"/>
            </w14:solidFill>
          </w14:textFill>
        </w:rPr>
        <w:t>应付账款、长期借款</w:t>
      </w:r>
      <w:r>
        <w:rPr>
          <w:rFonts w:hint="eastAsia" w:ascii="宋体" w:hAnsi="宋体" w:eastAsia="宋体" w:cs="宋体"/>
          <w:b w:val="0"/>
          <w:bCs/>
          <w:color w:val="000000" w:themeColor="text1"/>
          <w:sz w:val="21"/>
          <w:szCs w:val="21"/>
          <w14:textFill>
            <w14:solidFill>
              <w14:schemeClr w14:val="tx1"/>
            </w14:solidFill>
          </w14:textFill>
        </w:rPr>
        <w:t>（</w:t>
      </w:r>
      <w:r>
        <w:rPr>
          <w:rFonts w:hint="eastAsia" w:ascii="宋体" w:hAnsi="宋体" w:eastAsia="宋体" w:cs="宋体"/>
          <w:b w:val="0"/>
          <w:bCs/>
          <w:color w:val="000000" w:themeColor="text1"/>
          <w:sz w:val="21"/>
          <w:szCs w:val="21"/>
          <w:lang w:eastAsia="zh-CN"/>
          <w14:textFill>
            <w14:solidFill>
              <w14:schemeClr w14:val="tx1"/>
            </w14:solidFill>
          </w14:textFill>
        </w:rPr>
        <w:t>账面价值</w:t>
      </w:r>
      <w:r>
        <w:rPr>
          <w:rFonts w:hint="eastAsia" w:ascii="宋体" w:hAnsi="宋体" w:eastAsia="宋体" w:cs="宋体"/>
          <w:b w:val="0"/>
          <w:bCs/>
          <w:color w:val="000000" w:themeColor="text1"/>
          <w:sz w:val="21"/>
          <w:szCs w:val="21"/>
          <w14:textFill>
            <w14:solidFill>
              <w14:schemeClr w14:val="tx1"/>
            </w14:solidFill>
          </w14:textFill>
        </w:rPr>
        <w:t>）</w:t>
      </w:r>
    </w:p>
    <w:p w14:paraId="200AF2F4">
      <w:pPr>
        <w:pStyle w:val="3"/>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firstLine="0"/>
        <w:textAlignment w:val="auto"/>
        <w:rPr>
          <w:rFonts w:hint="eastAsia" w:ascii="宋体" w:hAnsi="宋体" w:eastAsia="宋体" w:cs="宋体"/>
          <w:b w:val="0"/>
          <w:bCs/>
          <w:color w:val="000000" w:themeColor="text1"/>
          <w:sz w:val="21"/>
          <w:szCs w:val="21"/>
          <w:lang w:eastAsia="zh-CN"/>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　　</w:t>
      </w:r>
      <w:r>
        <w:rPr>
          <w:rFonts w:hint="eastAsia" w:ascii="宋体" w:hAnsi="宋体" w:eastAsia="宋体" w:cs="宋体"/>
          <w:b w:val="0"/>
          <w:bCs/>
          <w:color w:val="000000" w:themeColor="text1"/>
          <w:sz w:val="21"/>
          <w:szCs w:val="21"/>
          <w:lang w:eastAsia="zh-CN"/>
          <w14:textFill>
            <w14:solidFill>
              <w14:schemeClr w14:val="tx1"/>
            </w14:solidFill>
          </w14:textFill>
        </w:rPr>
        <w:t>贷</w:t>
      </w:r>
      <w:r>
        <w:rPr>
          <w:rFonts w:hint="eastAsia" w:ascii="宋体" w:hAnsi="宋体" w:eastAsia="宋体" w:cs="宋体"/>
          <w:b w:val="0"/>
          <w:bCs/>
          <w:color w:val="000000" w:themeColor="text1"/>
          <w:sz w:val="21"/>
          <w:szCs w:val="21"/>
          <w14:textFill>
            <w14:solidFill>
              <w14:schemeClr w14:val="tx1"/>
            </w14:solidFill>
          </w14:textFill>
        </w:rPr>
        <w:t>：</w:t>
      </w:r>
      <w:r>
        <w:rPr>
          <w:rFonts w:hint="eastAsia" w:ascii="宋体" w:hAnsi="宋体" w:eastAsia="宋体" w:cs="宋体"/>
          <w:b w:val="0"/>
          <w:bCs/>
          <w:color w:val="000000" w:themeColor="text1"/>
          <w:sz w:val="21"/>
          <w:szCs w:val="21"/>
          <w:lang w:eastAsia="zh-CN"/>
          <w14:textFill>
            <w14:solidFill>
              <w14:schemeClr w14:val="tx1"/>
            </w14:solidFill>
          </w14:textFill>
        </w:rPr>
        <w:t>应付账款、长期借款——重组债务</w:t>
      </w:r>
      <w:r>
        <w:rPr>
          <w:rFonts w:hint="eastAsia" w:ascii="宋体" w:hAnsi="宋体" w:eastAsia="宋体" w:cs="宋体"/>
          <w:b w:val="0"/>
          <w:bCs/>
          <w:color w:val="000000" w:themeColor="text1"/>
          <w:sz w:val="21"/>
          <w:szCs w:val="21"/>
          <w14:textFill>
            <w14:solidFill>
              <w14:schemeClr w14:val="tx1"/>
            </w14:solidFill>
          </w14:textFill>
        </w:rPr>
        <w:t>（</w:t>
      </w:r>
      <w:r>
        <w:rPr>
          <w:rFonts w:hint="eastAsia" w:ascii="宋体" w:hAnsi="宋体" w:eastAsia="宋体" w:cs="宋体"/>
          <w:b w:val="0"/>
          <w:bCs/>
          <w:color w:val="FF0000"/>
          <w:sz w:val="21"/>
          <w:szCs w:val="21"/>
          <w:lang w:eastAsia="zh-CN"/>
        </w:rPr>
        <w:t>公允价值</w:t>
      </w:r>
      <w:r>
        <w:rPr>
          <w:rFonts w:hint="eastAsia" w:ascii="宋体" w:hAnsi="宋体" w:eastAsia="宋体" w:cs="宋体"/>
          <w:b w:val="0"/>
          <w:bCs/>
          <w:color w:val="000000" w:themeColor="text1"/>
          <w:sz w:val="21"/>
          <w:szCs w:val="21"/>
          <w14:textFill>
            <w14:solidFill>
              <w14:schemeClr w14:val="tx1"/>
            </w14:solidFill>
          </w14:textFill>
        </w:rPr>
        <w:t>）</w:t>
      </w:r>
    </w:p>
    <w:p w14:paraId="21161E2B">
      <w:pPr>
        <w:pStyle w:val="3"/>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firstLine="0"/>
        <w:textAlignment w:val="auto"/>
        <w:rPr>
          <w:rFonts w:hint="eastAsia" w:ascii="宋体" w:hAnsi="宋体" w:eastAsia="宋体" w:cs="宋体"/>
          <w:b w:val="0"/>
          <w:bCs/>
          <w:color w:val="000000" w:themeColor="text1"/>
          <w:sz w:val="21"/>
          <w:szCs w:val="21"/>
          <w:lang w:eastAsia="zh-CN"/>
          <w14:textFill>
            <w14:solidFill>
              <w14:schemeClr w14:val="tx1"/>
            </w14:solidFill>
          </w14:textFill>
        </w:rPr>
      </w:pPr>
      <w:r>
        <w:rPr>
          <w:rFonts w:hint="eastAsia" w:ascii="宋体" w:hAnsi="宋体" w:eastAsia="宋体" w:cs="宋体"/>
          <w:b w:val="0"/>
          <w:bCs/>
          <w:color w:val="000000" w:themeColor="text1"/>
          <w:sz w:val="21"/>
          <w:szCs w:val="21"/>
          <w:lang w:eastAsia="zh-CN"/>
          <w14:textFill>
            <w14:solidFill>
              <w14:schemeClr w14:val="tx1"/>
            </w14:solidFill>
          </w14:textFill>
        </w:rPr>
        <w:t>投资收益【终止确认的债务账面价值与重组债务确认金额</w:t>
      </w:r>
      <w:r>
        <w:rPr>
          <w:rFonts w:hint="eastAsia" w:ascii="宋体" w:hAnsi="宋体" w:eastAsia="宋体" w:cs="宋体"/>
          <w:b w:val="0"/>
          <w:bCs/>
          <w:color w:val="000000" w:themeColor="text1"/>
          <w:sz w:val="21"/>
          <w:szCs w:val="21"/>
          <w14:textFill>
            <w14:solidFill>
              <w14:schemeClr w14:val="tx1"/>
            </w14:solidFill>
          </w14:textFill>
        </w:rPr>
        <w:t>（</w:t>
      </w:r>
      <w:r>
        <w:rPr>
          <w:rFonts w:hint="eastAsia" w:ascii="宋体" w:hAnsi="宋体" w:eastAsia="宋体" w:cs="宋体"/>
          <w:b w:val="0"/>
          <w:bCs/>
          <w:color w:val="000000" w:themeColor="text1"/>
          <w:sz w:val="21"/>
          <w:szCs w:val="21"/>
          <w:lang w:eastAsia="zh-CN"/>
          <w14:textFill>
            <w14:solidFill>
              <w14:schemeClr w14:val="tx1"/>
            </w14:solidFill>
          </w14:textFill>
        </w:rPr>
        <w:t>公允价值</w:t>
      </w:r>
      <w:r>
        <w:rPr>
          <w:rFonts w:hint="eastAsia" w:ascii="宋体" w:hAnsi="宋体" w:eastAsia="宋体" w:cs="宋体"/>
          <w:b w:val="0"/>
          <w:bCs/>
          <w:color w:val="000000" w:themeColor="text1"/>
          <w:sz w:val="21"/>
          <w:szCs w:val="21"/>
          <w14:textFill>
            <w14:solidFill>
              <w14:schemeClr w14:val="tx1"/>
            </w14:solidFill>
          </w14:textFill>
        </w:rPr>
        <w:t>）</w:t>
      </w:r>
      <w:r>
        <w:rPr>
          <w:rFonts w:hint="eastAsia" w:ascii="宋体" w:hAnsi="宋体" w:eastAsia="宋体" w:cs="宋体"/>
          <w:b w:val="0"/>
          <w:bCs/>
          <w:color w:val="000000" w:themeColor="text1"/>
          <w:sz w:val="21"/>
          <w:szCs w:val="21"/>
          <w:lang w:eastAsia="zh-CN"/>
          <w14:textFill>
            <w14:solidFill>
              <w14:schemeClr w14:val="tx1"/>
            </w14:solidFill>
          </w14:textFill>
        </w:rPr>
        <w:t>之间的差额</w:t>
      </w:r>
      <w:r>
        <w:rPr>
          <w:rFonts w:hint="eastAsia" w:ascii="宋体" w:hAnsi="宋体" w:eastAsia="宋体" w:cs="宋体"/>
          <w:b w:val="0"/>
          <w:bCs/>
          <w:color w:val="000000" w:themeColor="text1"/>
          <w:sz w:val="21"/>
          <w:szCs w:val="21"/>
          <w14:textFill>
            <w14:solidFill>
              <w14:schemeClr w14:val="tx1"/>
            </w14:solidFill>
          </w14:textFill>
        </w:rPr>
        <w:t>，</w:t>
      </w:r>
      <w:r>
        <w:rPr>
          <w:rFonts w:hint="eastAsia" w:ascii="宋体" w:hAnsi="宋体" w:eastAsia="宋体" w:cs="宋体"/>
          <w:b w:val="0"/>
          <w:bCs/>
          <w:color w:val="000000" w:themeColor="text1"/>
          <w:sz w:val="21"/>
          <w:szCs w:val="21"/>
          <w:lang w:eastAsia="zh-CN"/>
          <w14:textFill>
            <w14:solidFill>
              <w14:schemeClr w14:val="tx1"/>
            </w14:solidFill>
          </w14:textFill>
        </w:rPr>
        <w:t>借或贷】</w:t>
      </w:r>
    </w:p>
    <w:p w14:paraId="3E1811F7">
      <w:pPr>
        <w:pStyle w:val="3"/>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firstLine="0"/>
        <w:textAlignment w:val="auto"/>
        <w:rPr>
          <w:rFonts w:hint="eastAsia" w:ascii="宋体" w:hAnsi="宋体" w:eastAsia="宋体" w:cs="宋体"/>
          <w:b w:val="0"/>
          <w:bCs/>
          <w:color w:val="000000" w:themeColor="text1"/>
          <w:sz w:val="21"/>
          <w:szCs w:val="21"/>
          <w:lang w:eastAsia="zh-CN"/>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w:t>
      </w:r>
      <w:r>
        <w:rPr>
          <w:rFonts w:hint="eastAsia" w:ascii="宋体" w:hAnsi="宋体" w:eastAsia="宋体" w:cs="宋体"/>
          <w:b w:val="0"/>
          <w:bCs/>
          <w:color w:val="000000" w:themeColor="text1"/>
          <w:sz w:val="21"/>
          <w:szCs w:val="21"/>
          <w:lang w:eastAsia="zh-CN"/>
          <w14:textFill>
            <w14:solidFill>
              <w14:schemeClr w14:val="tx1"/>
            </w14:solidFill>
          </w14:textFill>
        </w:rPr>
        <w:t>四</w:t>
      </w:r>
      <w:r>
        <w:rPr>
          <w:rFonts w:hint="eastAsia" w:ascii="宋体" w:hAnsi="宋体" w:eastAsia="宋体" w:cs="宋体"/>
          <w:b w:val="0"/>
          <w:bCs/>
          <w:color w:val="000000" w:themeColor="text1"/>
          <w:sz w:val="21"/>
          <w:szCs w:val="21"/>
          <w14:textFill>
            <w14:solidFill>
              <w14:schemeClr w14:val="tx1"/>
            </w14:solidFill>
          </w14:textFill>
        </w:rPr>
        <w:t>）</w:t>
      </w:r>
      <w:r>
        <w:rPr>
          <w:rFonts w:hint="eastAsia" w:ascii="宋体" w:hAnsi="宋体" w:eastAsia="宋体" w:cs="宋体"/>
          <w:b w:val="0"/>
          <w:bCs/>
          <w:color w:val="000000" w:themeColor="text1"/>
          <w:sz w:val="21"/>
          <w:szCs w:val="21"/>
          <w:lang w:eastAsia="zh-CN"/>
          <w14:textFill>
            <w14:solidFill>
              <w14:schemeClr w14:val="tx1"/>
            </w14:solidFill>
          </w14:textFill>
        </w:rPr>
        <w:t>组合方式</w:t>
      </w:r>
    </w:p>
    <w:p w14:paraId="2A1AB3E9">
      <w:pPr>
        <w:pStyle w:val="3"/>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firstLine="0"/>
        <w:textAlignment w:val="auto"/>
        <w:rPr>
          <w:rFonts w:hint="eastAsia" w:ascii="宋体" w:hAnsi="宋体" w:eastAsia="宋体" w:cs="宋体"/>
          <w:b w:val="0"/>
          <w:bCs/>
          <w:color w:val="FF0000"/>
          <w:sz w:val="21"/>
          <w:szCs w:val="21"/>
          <w:lang w:eastAsia="zh-CN"/>
        </w:rPr>
      </w:pPr>
      <w:r>
        <w:rPr>
          <w:rFonts w:hint="eastAsia" w:ascii="宋体" w:hAnsi="宋体" w:eastAsia="宋体" w:cs="宋体"/>
          <w:b w:val="0"/>
          <w:bCs/>
          <w:color w:val="000000" w:themeColor="text1"/>
          <w:sz w:val="21"/>
          <w:szCs w:val="21"/>
          <w:lang w:eastAsia="zh-CN"/>
          <w14:textFill>
            <w14:solidFill>
              <w14:schemeClr w14:val="tx1"/>
            </w14:solidFill>
          </w14:textFill>
        </w:rPr>
        <w:t>债务重组采用以资产清偿债务、将债务转为权益工具、修改其他条款等方式的组合进行的</w:t>
      </w:r>
      <w:r>
        <w:rPr>
          <w:rFonts w:hint="eastAsia" w:ascii="宋体" w:hAnsi="宋体" w:eastAsia="宋体" w:cs="宋体"/>
          <w:b w:val="0"/>
          <w:bCs/>
          <w:color w:val="000000" w:themeColor="text1"/>
          <w:sz w:val="21"/>
          <w:szCs w:val="21"/>
          <w14:textFill>
            <w14:solidFill>
              <w14:schemeClr w14:val="tx1"/>
            </w14:solidFill>
          </w14:textFill>
        </w:rPr>
        <w:t>，</w:t>
      </w:r>
      <w:r>
        <w:rPr>
          <w:rFonts w:hint="eastAsia" w:ascii="宋体" w:hAnsi="宋体" w:eastAsia="宋体" w:cs="宋体"/>
          <w:b w:val="0"/>
          <w:bCs/>
          <w:color w:val="000000" w:themeColor="text1"/>
          <w:sz w:val="21"/>
          <w:szCs w:val="21"/>
          <w:lang w:eastAsia="zh-CN"/>
          <w14:textFill>
            <w14:solidFill>
              <w14:schemeClr w14:val="tx1"/>
            </w14:solidFill>
          </w14:textFill>
        </w:rPr>
        <w:t>对于权益工具</w:t>
      </w:r>
      <w:r>
        <w:rPr>
          <w:rFonts w:hint="eastAsia" w:ascii="宋体" w:hAnsi="宋体" w:eastAsia="宋体" w:cs="宋体"/>
          <w:b w:val="0"/>
          <w:bCs/>
          <w:color w:val="000000" w:themeColor="text1"/>
          <w:sz w:val="21"/>
          <w:szCs w:val="21"/>
          <w14:textFill>
            <w14:solidFill>
              <w14:schemeClr w14:val="tx1"/>
            </w14:solidFill>
          </w14:textFill>
        </w:rPr>
        <w:t>，</w:t>
      </w:r>
      <w:r>
        <w:rPr>
          <w:rFonts w:hint="eastAsia" w:ascii="宋体" w:hAnsi="宋体" w:eastAsia="宋体" w:cs="宋体"/>
          <w:b w:val="0"/>
          <w:bCs/>
          <w:color w:val="FF0000"/>
          <w:sz w:val="21"/>
          <w:szCs w:val="21"/>
          <w:lang w:eastAsia="zh-CN"/>
        </w:rPr>
        <w:t>债务人应当在初始确认时按照权益工具的公允价值计量</w:t>
      </w:r>
      <w:r>
        <w:rPr>
          <w:rFonts w:hint="eastAsia" w:ascii="宋体" w:hAnsi="宋体" w:eastAsia="宋体" w:cs="宋体"/>
          <w:b w:val="0"/>
          <w:bCs/>
          <w:color w:val="FF0000"/>
          <w:sz w:val="21"/>
          <w:szCs w:val="21"/>
        </w:rPr>
        <w:t>，</w:t>
      </w:r>
      <w:r>
        <w:rPr>
          <w:rFonts w:hint="eastAsia" w:ascii="宋体" w:hAnsi="宋体" w:eastAsia="宋体" w:cs="宋体"/>
          <w:b w:val="0"/>
          <w:bCs/>
          <w:color w:val="FF0000"/>
          <w:sz w:val="21"/>
          <w:szCs w:val="21"/>
          <w:lang w:eastAsia="zh-CN"/>
        </w:rPr>
        <w:t>权益工具的公允价值不能可靠计量的</w:t>
      </w:r>
      <w:r>
        <w:rPr>
          <w:rFonts w:hint="eastAsia" w:ascii="宋体" w:hAnsi="宋体" w:eastAsia="宋体" w:cs="宋体"/>
          <w:b w:val="0"/>
          <w:bCs/>
          <w:color w:val="FF0000"/>
          <w:sz w:val="21"/>
          <w:szCs w:val="21"/>
        </w:rPr>
        <w:t>，</w:t>
      </w:r>
      <w:r>
        <w:rPr>
          <w:rFonts w:hint="eastAsia" w:ascii="宋体" w:hAnsi="宋体" w:eastAsia="宋体" w:cs="宋体"/>
          <w:b w:val="0"/>
          <w:bCs/>
          <w:color w:val="FF0000"/>
          <w:sz w:val="21"/>
          <w:szCs w:val="21"/>
          <w:lang w:eastAsia="zh-CN"/>
        </w:rPr>
        <w:t>应当按照所清偿债务的公允价值计量。</w:t>
      </w:r>
    </w:p>
    <w:p w14:paraId="651B34EC">
      <w:pPr>
        <w:pStyle w:val="2"/>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firstLine="0"/>
        <w:textAlignment w:val="auto"/>
        <w:rPr>
          <w:rFonts w:hint="eastAsia" w:ascii="宋体" w:hAnsi="宋体" w:eastAsia="宋体" w:cs="宋体"/>
          <w:b w:val="0"/>
          <w:bCs/>
          <w:sz w:val="21"/>
          <w:szCs w:val="21"/>
        </w:rPr>
      </w:pPr>
    </w:p>
    <w:p w14:paraId="4CD36ACD">
      <w:pPr>
        <w:pStyle w:val="2"/>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firstLine="0"/>
        <w:textAlignment w:val="auto"/>
        <w:rPr>
          <w:rFonts w:hint="eastAsia" w:ascii="宋体" w:hAnsi="宋体" w:eastAsia="宋体" w:cs="宋体"/>
          <w:b w:val="0"/>
          <w:bCs/>
          <w:sz w:val="21"/>
          <w:szCs w:val="21"/>
        </w:rPr>
      </w:pPr>
    </w:p>
    <w:p w14:paraId="1B8FE3F2">
      <w:pPr>
        <w:pStyle w:val="2"/>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firstLine="0"/>
        <w:textAlignment w:val="auto"/>
        <w:rPr>
          <w:rFonts w:hint="eastAsia" w:ascii="宋体" w:hAnsi="宋体" w:eastAsia="宋体" w:cs="宋体"/>
          <w:b w:val="0"/>
          <w:bCs/>
          <w:sz w:val="21"/>
          <w:szCs w:val="21"/>
        </w:rPr>
      </w:pPr>
    </w:p>
    <w:p w14:paraId="406380C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第十七章  所得税</w:t>
      </w:r>
    </w:p>
    <w:p w14:paraId="6184046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i w:val="0"/>
          <w:sz w:val="21"/>
          <w:szCs w:val="21"/>
          <w:u w:val="none"/>
          <w:lang w:eastAsia="zh-CN"/>
        </w:rPr>
      </w:pPr>
    </w:p>
    <w:tbl>
      <w:tblPr>
        <w:tblStyle w:val="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7"/>
        <w:gridCol w:w="2991"/>
        <w:gridCol w:w="6308"/>
      </w:tblGrid>
      <w:tr w14:paraId="33FE3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 w:type="pct"/>
            <w:noWrap w:val="0"/>
            <w:vAlign w:val="top"/>
          </w:tcPr>
          <w:p w14:paraId="14A0369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sz w:val="21"/>
                <w:szCs w:val="21"/>
                <w:u w:val="none"/>
                <w:lang w:eastAsia="zh-CN"/>
              </w:rPr>
            </w:pPr>
          </w:p>
          <w:p w14:paraId="464B754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（1）</w:t>
            </w:r>
          </w:p>
          <w:p w14:paraId="4F6E4D5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固定</w:t>
            </w:r>
          </w:p>
          <w:p w14:paraId="6B48C24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资产</w:t>
            </w:r>
          </w:p>
        </w:tc>
        <w:tc>
          <w:tcPr>
            <w:tcW w:w="1475" w:type="pct"/>
            <w:noWrap w:val="0"/>
            <w:vAlign w:val="top"/>
          </w:tcPr>
          <w:p w14:paraId="3109C79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color w:val="FF0000"/>
                <w:sz w:val="21"/>
                <w:szCs w:val="21"/>
                <w:u w:val="none"/>
                <w:lang w:eastAsia="zh-CN"/>
              </w:rPr>
            </w:pPr>
          </w:p>
          <w:p w14:paraId="6BDBAA0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i w:val="0"/>
                <w:sz w:val="21"/>
                <w:szCs w:val="21"/>
                <w:u w:val="none"/>
                <w:lang w:eastAsia="zh-CN"/>
              </w:rPr>
            </w:pPr>
            <w:r>
              <w:rPr>
                <w:rFonts w:hint="eastAsia" w:ascii="宋体" w:hAnsi="宋体" w:eastAsia="宋体" w:cs="宋体"/>
                <w:b w:val="0"/>
                <w:bCs w:val="0"/>
                <w:i w:val="0"/>
                <w:color w:val="FF0000"/>
                <w:sz w:val="21"/>
                <w:szCs w:val="21"/>
                <w:u w:val="none"/>
                <w:lang w:eastAsia="zh-CN"/>
              </w:rPr>
              <w:t>【例】</w:t>
            </w:r>
            <w:r>
              <w:rPr>
                <w:rFonts w:hint="eastAsia" w:ascii="宋体" w:hAnsi="宋体" w:eastAsia="宋体" w:cs="宋体"/>
                <w:b w:val="0"/>
                <w:bCs w:val="0"/>
                <w:i w:val="0"/>
                <w:sz w:val="21"/>
                <w:szCs w:val="21"/>
                <w:u w:val="none"/>
                <w:lang w:eastAsia="zh-CN"/>
              </w:rPr>
              <w:t xml:space="preserve">固定资产原值100万元；会计10年；税法20年；税前利润1 000万元。 </w:t>
            </w:r>
          </w:p>
        </w:tc>
        <w:tc>
          <w:tcPr>
            <w:tcW w:w="3111" w:type="pct"/>
            <w:noWrap w:val="0"/>
            <w:vAlign w:val="top"/>
          </w:tcPr>
          <w:p w14:paraId="2048027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账面价值＝100－100/10＝90（万元）</w:t>
            </w:r>
            <w:r>
              <w:rPr>
                <w:rFonts w:hint="eastAsia" w:ascii="宋体" w:hAnsi="宋体" w:eastAsia="宋体" w:cs="宋体"/>
                <w:b w:val="0"/>
                <w:bCs w:val="0"/>
                <w:i w:val="0"/>
                <w:sz w:val="21"/>
                <w:szCs w:val="21"/>
                <w:u w:val="none"/>
                <w:lang w:eastAsia="zh-CN"/>
              </w:rPr>
              <w:br w:type="textWrapping"/>
            </w:r>
            <w:r>
              <w:rPr>
                <w:rFonts w:hint="eastAsia" w:ascii="宋体" w:hAnsi="宋体" w:eastAsia="宋体" w:cs="宋体"/>
                <w:b w:val="0"/>
                <w:bCs w:val="0"/>
                <w:i w:val="0"/>
                <w:sz w:val="21"/>
                <w:szCs w:val="21"/>
                <w:u w:val="none"/>
                <w:lang w:eastAsia="zh-CN"/>
              </w:rPr>
              <w:t xml:space="preserve">计税基础＝100－100/20＝95（万元） </w:t>
            </w:r>
            <w:r>
              <w:rPr>
                <w:rFonts w:hint="eastAsia" w:ascii="宋体" w:hAnsi="宋体" w:eastAsia="宋体" w:cs="宋体"/>
                <w:b w:val="0"/>
                <w:bCs w:val="0"/>
                <w:i w:val="0"/>
                <w:sz w:val="21"/>
                <w:szCs w:val="21"/>
                <w:u w:val="none"/>
                <w:lang w:eastAsia="zh-CN"/>
              </w:rPr>
              <w:br w:type="textWrapping"/>
            </w:r>
            <w:r>
              <w:rPr>
                <w:rFonts w:hint="eastAsia" w:ascii="宋体" w:hAnsi="宋体" w:eastAsia="宋体" w:cs="宋体"/>
                <w:b w:val="0"/>
                <w:bCs w:val="0"/>
                <w:i w:val="0"/>
                <w:sz w:val="21"/>
                <w:szCs w:val="21"/>
                <w:u w:val="none"/>
                <w:lang w:eastAsia="zh-CN"/>
              </w:rPr>
              <w:t xml:space="preserve">可抵扣暂时性差异＝5（万元） </w:t>
            </w:r>
            <w:r>
              <w:rPr>
                <w:rFonts w:hint="eastAsia" w:ascii="宋体" w:hAnsi="宋体" w:eastAsia="宋体" w:cs="宋体"/>
                <w:b w:val="0"/>
                <w:bCs w:val="0"/>
                <w:i w:val="0"/>
                <w:sz w:val="21"/>
                <w:szCs w:val="21"/>
                <w:u w:val="none"/>
                <w:lang w:eastAsia="zh-CN"/>
              </w:rPr>
              <w:br w:type="textWrapping"/>
            </w:r>
            <w:r>
              <w:rPr>
                <w:rFonts w:hint="eastAsia" w:ascii="宋体" w:hAnsi="宋体" w:eastAsia="宋体" w:cs="宋体"/>
                <w:b w:val="0"/>
                <w:bCs w:val="0"/>
                <w:i w:val="0"/>
                <w:sz w:val="21"/>
                <w:szCs w:val="21"/>
                <w:u w:val="none"/>
                <w:lang w:eastAsia="zh-CN"/>
              </w:rPr>
              <w:t xml:space="preserve">递延所得税资产＝5×25%＝1.25（万元） </w:t>
            </w:r>
            <w:r>
              <w:rPr>
                <w:rFonts w:hint="eastAsia" w:ascii="宋体" w:hAnsi="宋体" w:eastAsia="宋体" w:cs="宋体"/>
                <w:b w:val="0"/>
                <w:bCs w:val="0"/>
                <w:i w:val="0"/>
                <w:sz w:val="21"/>
                <w:szCs w:val="21"/>
                <w:u w:val="none"/>
                <w:lang w:eastAsia="zh-CN"/>
              </w:rPr>
              <w:br w:type="textWrapping"/>
            </w:r>
            <w:r>
              <w:rPr>
                <w:rFonts w:hint="eastAsia" w:ascii="宋体" w:hAnsi="宋体" w:eastAsia="宋体" w:cs="宋体"/>
                <w:b w:val="0"/>
                <w:bCs w:val="0"/>
                <w:i w:val="0"/>
                <w:sz w:val="21"/>
                <w:szCs w:val="21"/>
                <w:u w:val="none"/>
                <w:lang w:eastAsia="zh-CN"/>
              </w:rPr>
              <w:t xml:space="preserve">应交所得税＝（1 000＋100/10－100/20）×25%＝ 251.25（万元） </w:t>
            </w:r>
          </w:p>
        </w:tc>
      </w:tr>
      <w:tr w14:paraId="04B8A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 w:type="pct"/>
            <w:vMerge w:val="restart"/>
            <w:noWrap w:val="0"/>
            <w:vAlign w:val="top"/>
          </w:tcPr>
          <w:p w14:paraId="6E520B9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sz w:val="21"/>
                <w:szCs w:val="21"/>
                <w:u w:val="none"/>
                <w:lang w:eastAsia="zh-CN"/>
              </w:rPr>
            </w:pPr>
          </w:p>
          <w:p w14:paraId="1BABD4F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sz w:val="21"/>
                <w:szCs w:val="21"/>
                <w:u w:val="none"/>
                <w:lang w:eastAsia="zh-CN"/>
              </w:rPr>
            </w:pPr>
          </w:p>
          <w:p w14:paraId="7EC85D6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sz w:val="21"/>
                <w:szCs w:val="21"/>
                <w:u w:val="none"/>
                <w:lang w:eastAsia="zh-CN"/>
              </w:rPr>
            </w:pPr>
          </w:p>
          <w:p w14:paraId="3332701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sz w:val="21"/>
                <w:szCs w:val="21"/>
                <w:u w:val="none"/>
                <w:lang w:eastAsia="zh-CN"/>
              </w:rPr>
            </w:pPr>
          </w:p>
          <w:p w14:paraId="4B7CC68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（2）</w:t>
            </w:r>
          </w:p>
          <w:p w14:paraId="3E78C5C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无形</w:t>
            </w:r>
          </w:p>
          <w:p w14:paraId="57E04B0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资产</w:t>
            </w:r>
          </w:p>
        </w:tc>
        <w:tc>
          <w:tcPr>
            <w:tcW w:w="1475" w:type="pct"/>
            <w:noWrap w:val="0"/>
            <w:vAlign w:val="top"/>
          </w:tcPr>
          <w:p w14:paraId="266C532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i w:val="0"/>
                <w:sz w:val="21"/>
                <w:szCs w:val="21"/>
                <w:u w:val="none"/>
                <w:lang w:eastAsia="zh-CN"/>
              </w:rPr>
            </w:pPr>
            <w:r>
              <w:rPr>
                <w:rFonts w:hint="eastAsia" w:ascii="宋体" w:hAnsi="宋体" w:eastAsia="宋体" w:cs="宋体"/>
                <w:b w:val="0"/>
                <w:bCs w:val="0"/>
                <w:i w:val="0"/>
                <w:color w:val="FF0000"/>
                <w:sz w:val="21"/>
                <w:szCs w:val="21"/>
                <w:u w:val="none"/>
                <w:lang w:eastAsia="zh-CN"/>
              </w:rPr>
              <w:t>【例】</w:t>
            </w:r>
            <w:r>
              <w:rPr>
                <w:rFonts w:hint="eastAsia" w:ascii="宋体" w:hAnsi="宋体" w:eastAsia="宋体" w:cs="宋体"/>
                <w:b w:val="0"/>
                <w:bCs w:val="0"/>
                <w:i w:val="0"/>
                <w:sz w:val="21"/>
                <w:szCs w:val="21"/>
                <w:u w:val="none"/>
                <w:lang w:eastAsia="zh-CN"/>
              </w:rPr>
              <w:t xml:space="preserve">研发支出为200万元，其中费用化支出为80万元，资本化支出120万元。7月1日专利权研发完成，预计使用10年，税前利润100万元。假设加计扣除率75%。 </w:t>
            </w:r>
          </w:p>
        </w:tc>
        <w:tc>
          <w:tcPr>
            <w:tcW w:w="3111" w:type="pct"/>
            <w:noWrap w:val="0"/>
            <w:vAlign w:val="top"/>
          </w:tcPr>
          <w:p w14:paraId="1735633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 xml:space="preserve">账面价值＝120－120/10×6/12＝114（万元） </w:t>
            </w:r>
            <w:r>
              <w:rPr>
                <w:rFonts w:hint="eastAsia" w:ascii="宋体" w:hAnsi="宋体" w:eastAsia="宋体" w:cs="宋体"/>
                <w:b w:val="0"/>
                <w:bCs w:val="0"/>
                <w:i w:val="0"/>
                <w:sz w:val="21"/>
                <w:szCs w:val="21"/>
                <w:u w:val="none"/>
                <w:lang w:eastAsia="zh-CN"/>
              </w:rPr>
              <w:br w:type="textWrapping"/>
            </w:r>
            <w:r>
              <w:rPr>
                <w:rFonts w:hint="eastAsia" w:ascii="宋体" w:hAnsi="宋体" w:eastAsia="宋体" w:cs="宋体"/>
                <w:b w:val="0"/>
                <w:bCs w:val="0"/>
                <w:i w:val="0"/>
                <w:sz w:val="21"/>
                <w:szCs w:val="21"/>
                <w:u w:val="none"/>
                <w:lang w:eastAsia="zh-CN"/>
              </w:rPr>
              <w:t xml:space="preserve">计税基础＝120×175%－120×175%/10×6/12    </w:t>
            </w:r>
            <w:r>
              <w:rPr>
                <w:rFonts w:hint="eastAsia" w:ascii="宋体" w:hAnsi="宋体" w:eastAsia="宋体" w:cs="宋体"/>
                <w:b w:val="0"/>
                <w:bCs w:val="0"/>
                <w:i w:val="0"/>
                <w:sz w:val="21"/>
                <w:szCs w:val="21"/>
                <w:u w:val="none"/>
                <w:lang w:eastAsia="zh-CN"/>
              </w:rPr>
              <w:br w:type="textWrapping"/>
            </w:r>
            <w:r>
              <w:rPr>
                <w:rFonts w:hint="eastAsia" w:ascii="宋体" w:hAnsi="宋体" w:eastAsia="宋体" w:cs="宋体"/>
                <w:b w:val="0"/>
                <w:bCs w:val="0"/>
                <w:i w:val="0"/>
                <w:sz w:val="21"/>
                <w:szCs w:val="21"/>
                <w:u w:val="none"/>
                <w:lang w:eastAsia="zh-CN"/>
              </w:rPr>
              <w:t xml:space="preserve">        ＝199.5（万元） </w:t>
            </w:r>
            <w:r>
              <w:rPr>
                <w:rFonts w:hint="eastAsia" w:ascii="宋体" w:hAnsi="宋体" w:eastAsia="宋体" w:cs="宋体"/>
                <w:b w:val="0"/>
                <w:bCs w:val="0"/>
                <w:i w:val="0"/>
                <w:sz w:val="21"/>
                <w:szCs w:val="21"/>
                <w:u w:val="none"/>
                <w:lang w:eastAsia="zh-CN"/>
              </w:rPr>
              <w:br w:type="textWrapping"/>
            </w:r>
            <w:r>
              <w:rPr>
                <w:rFonts w:hint="eastAsia" w:ascii="宋体" w:hAnsi="宋体" w:eastAsia="宋体" w:cs="宋体"/>
                <w:b w:val="0"/>
                <w:bCs w:val="0"/>
                <w:i w:val="0"/>
                <w:sz w:val="21"/>
                <w:szCs w:val="21"/>
                <w:u w:val="none"/>
                <w:lang w:eastAsia="zh-CN"/>
              </w:rPr>
              <w:t xml:space="preserve">可抵扣暂时性差异＝199.5－114＝85.5（万元） </w:t>
            </w:r>
            <w:r>
              <w:rPr>
                <w:rFonts w:hint="eastAsia" w:ascii="宋体" w:hAnsi="宋体" w:eastAsia="宋体" w:cs="宋体"/>
                <w:b w:val="0"/>
                <w:bCs w:val="0"/>
                <w:i w:val="0"/>
                <w:sz w:val="21"/>
                <w:szCs w:val="21"/>
                <w:u w:val="none"/>
                <w:lang w:eastAsia="zh-CN"/>
              </w:rPr>
              <w:br w:type="textWrapping"/>
            </w:r>
            <w:r>
              <w:rPr>
                <w:rFonts w:hint="eastAsia" w:ascii="宋体" w:hAnsi="宋体" w:eastAsia="宋体" w:cs="宋体"/>
                <w:b w:val="0"/>
                <w:bCs w:val="0"/>
                <w:i w:val="0"/>
                <w:sz w:val="21"/>
                <w:szCs w:val="21"/>
                <w:u w:val="none"/>
                <w:lang w:eastAsia="zh-CN"/>
              </w:rPr>
              <w:t>不确认相关的递延所得税资产。</w:t>
            </w:r>
            <w:r>
              <w:rPr>
                <w:rFonts w:hint="eastAsia" w:ascii="宋体" w:hAnsi="宋体" w:eastAsia="宋体" w:cs="宋体"/>
                <w:b w:val="0"/>
                <w:bCs w:val="0"/>
                <w:i w:val="0"/>
                <w:sz w:val="21"/>
                <w:szCs w:val="21"/>
                <w:u w:val="none"/>
                <w:lang w:eastAsia="zh-CN"/>
              </w:rPr>
              <w:br w:type="textWrapping"/>
            </w:r>
            <w:r>
              <w:rPr>
                <w:rFonts w:hint="eastAsia" w:ascii="宋体" w:hAnsi="宋体" w:eastAsia="宋体" w:cs="宋体"/>
                <w:b w:val="0"/>
                <w:bCs w:val="0"/>
                <w:i w:val="0"/>
                <w:sz w:val="21"/>
                <w:szCs w:val="21"/>
                <w:u w:val="none"/>
                <w:lang w:eastAsia="zh-CN"/>
              </w:rPr>
              <w:t xml:space="preserve">应交所得税＝（100－80×75%＋120/10×6/12－120×175%/10×6/12）×25%＝8.875（万元） </w:t>
            </w:r>
          </w:p>
        </w:tc>
      </w:tr>
      <w:tr w14:paraId="2B145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 w:type="pct"/>
            <w:vMerge w:val="continue"/>
            <w:noWrap w:val="0"/>
            <w:vAlign w:val="top"/>
          </w:tcPr>
          <w:p w14:paraId="492ED42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i w:val="0"/>
                <w:sz w:val="21"/>
                <w:szCs w:val="21"/>
                <w:u w:val="none"/>
                <w:lang w:eastAsia="zh-CN"/>
              </w:rPr>
            </w:pPr>
          </w:p>
        </w:tc>
        <w:tc>
          <w:tcPr>
            <w:tcW w:w="1475" w:type="pct"/>
            <w:noWrap w:val="0"/>
            <w:vAlign w:val="top"/>
          </w:tcPr>
          <w:p w14:paraId="0484476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color w:val="FF0000"/>
                <w:sz w:val="21"/>
                <w:szCs w:val="21"/>
                <w:u w:val="none"/>
                <w:lang w:eastAsia="zh-CN"/>
              </w:rPr>
            </w:pPr>
          </w:p>
          <w:p w14:paraId="094E1BA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i w:val="0"/>
                <w:sz w:val="21"/>
                <w:szCs w:val="21"/>
                <w:u w:val="none"/>
                <w:lang w:eastAsia="zh-CN"/>
              </w:rPr>
            </w:pPr>
            <w:r>
              <w:rPr>
                <w:rFonts w:hint="eastAsia" w:ascii="宋体" w:hAnsi="宋体" w:eastAsia="宋体" w:cs="宋体"/>
                <w:b w:val="0"/>
                <w:bCs w:val="0"/>
                <w:i w:val="0"/>
                <w:color w:val="FF0000"/>
                <w:sz w:val="21"/>
                <w:szCs w:val="21"/>
                <w:u w:val="none"/>
                <w:lang w:eastAsia="zh-CN"/>
              </w:rPr>
              <w:t>【例】</w:t>
            </w:r>
            <w:r>
              <w:rPr>
                <w:rFonts w:hint="eastAsia" w:ascii="宋体" w:hAnsi="宋体" w:eastAsia="宋体" w:cs="宋体"/>
                <w:b w:val="0"/>
                <w:bCs w:val="0"/>
                <w:i w:val="0"/>
                <w:sz w:val="21"/>
                <w:szCs w:val="21"/>
                <w:u w:val="none"/>
                <w:lang w:eastAsia="zh-CN"/>
              </w:rPr>
              <w:t xml:space="preserve">无形资产原值100万元；会计摊销0；税法摊销10万元。 </w:t>
            </w:r>
          </w:p>
        </w:tc>
        <w:tc>
          <w:tcPr>
            <w:tcW w:w="3111" w:type="pct"/>
            <w:noWrap w:val="0"/>
            <w:vAlign w:val="top"/>
          </w:tcPr>
          <w:p w14:paraId="4D6138F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账面价值＝100－0＝100（万元）</w:t>
            </w:r>
            <w:r>
              <w:rPr>
                <w:rFonts w:hint="eastAsia" w:ascii="宋体" w:hAnsi="宋体" w:eastAsia="宋体" w:cs="宋体"/>
                <w:b w:val="0"/>
                <w:bCs w:val="0"/>
                <w:i w:val="0"/>
                <w:sz w:val="21"/>
                <w:szCs w:val="21"/>
                <w:u w:val="none"/>
                <w:lang w:eastAsia="zh-CN"/>
              </w:rPr>
              <w:br w:type="textWrapping"/>
            </w:r>
            <w:r>
              <w:rPr>
                <w:rFonts w:hint="eastAsia" w:ascii="宋体" w:hAnsi="宋体" w:eastAsia="宋体" w:cs="宋体"/>
                <w:b w:val="0"/>
                <w:bCs w:val="0"/>
                <w:i w:val="0"/>
                <w:sz w:val="21"/>
                <w:szCs w:val="21"/>
                <w:u w:val="none"/>
                <w:lang w:eastAsia="zh-CN"/>
              </w:rPr>
              <w:t xml:space="preserve">计税基础＝100－10＝90（万元） </w:t>
            </w:r>
            <w:r>
              <w:rPr>
                <w:rFonts w:hint="eastAsia" w:ascii="宋体" w:hAnsi="宋体" w:eastAsia="宋体" w:cs="宋体"/>
                <w:b w:val="0"/>
                <w:bCs w:val="0"/>
                <w:i w:val="0"/>
                <w:sz w:val="21"/>
                <w:szCs w:val="21"/>
                <w:u w:val="none"/>
                <w:lang w:eastAsia="zh-CN"/>
              </w:rPr>
              <w:br w:type="textWrapping"/>
            </w:r>
            <w:r>
              <w:rPr>
                <w:rFonts w:hint="eastAsia" w:ascii="宋体" w:hAnsi="宋体" w:eastAsia="宋体" w:cs="宋体"/>
                <w:b w:val="0"/>
                <w:bCs w:val="0"/>
                <w:i w:val="0"/>
                <w:sz w:val="21"/>
                <w:szCs w:val="21"/>
                <w:u w:val="none"/>
                <w:lang w:eastAsia="zh-CN"/>
              </w:rPr>
              <w:t>应纳税暂时性差异＝10（万元）</w:t>
            </w:r>
            <w:r>
              <w:rPr>
                <w:rFonts w:hint="eastAsia" w:ascii="宋体" w:hAnsi="宋体" w:eastAsia="宋体" w:cs="宋体"/>
                <w:b w:val="0"/>
                <w:bCs w:val="0"/>
                <w:i w:val="0"/>
                <w:sz w:val="21"/>
                <w:szCs w:val="21"/>
                <w:u w:val="none"/>
                <w:lang w:eastAsia="zh-CN"/>
              </w:rPr>
              <w:br w:type="textWrapping"/>
            </w:r>
            <w:r>
              <w:rPr>
                <w:rFonts w:hint="eastAsia" w:ascii="宋体" w:hAnsi="宋体" w:eastAsia="宋体" w:cs="宋体"/>
                <w:b w:val="0"/>
                <w:bCs w:val="0"/>
                <w:i w:val="0"/>
                <w:sz w:val="21"/>
                <w:szCs w:val="21"/>
                <w:u w:val="none"/>
                <w:lang w:eastAsia="zh-CN"/>
              </w:rPr>
              <w:t xml:space="preserve">递延所得税负债＝10×25%＝2.5（万元） </w:t>
            </w:r>
            <w:r>
              <w:rPr>
                <w:rFonts w:hint="eastAsia" w:ascii="宋体" w:hAnsi="宋体" w:eastAsia="宋体" w:cs="宋体"/>
                <w:b w:val="0"/>
                <w:bCs w:val="0"/>
                <w:i w:val="0"/>
                <w:sz w:val="21"/>
                <w:szCs w:val="21"/>
                <w:u w:val="none"/>
                <w:lang w:eastAsia="zh-CN"/>
              </w:rPr>
              <w:br w:type="textWrapping"/>
            </w:r>
            <w:r>
              <w:rPr>
                <w:rFonts w:hint="eastAsia" w:ascii="宋体" w:hAnsi="宋体" w:eastAsia="宋体" w:cs="宋体"/>
                <w:b w:val="0"/>
                <w:bCs w:val="0"/>
                <w:i w:val="0"/>
                <w:sz w:val="21"/>
                <w:szCs w:val="21"/>
                <w:u w:val="none"/>
                <w:lang w:eastAsia="zh-CN"/>
              </w:rPr>
              <w:t xml:space="preserve">纳税调整＝＋0－10＝－10（万元） </w:t>
            </w:r>
          </w:p>
        </w:tc>
      </w:tr>
    </w:tbl>
    <w:p w14:paraId="1A8B365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i w:val="0"/>
          <w:sz w:val="21"/>
          <w:szCs w:val="21"/>
          <w:u w:val="none"/>
          <w:lang w:eastAsia="zh-CN"/>
        </w:rPr>
      </w:pPr>
    </w:p>
    <w:p w14:paraId="4D3CE6C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i w:val="0"/>
          <w:sz w:val="21"/>
          <w:szCs w:val="21"/>
          <w:u w:val="none"/>
          <w:lang w:eastAsia="zh-CN"/>
        </w:rPr>
      </w:pPr>
    </w:p>
    <w:p w14:paraId="45A68EF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i w:val="0"/>
          <w:sz w:val="21"/>
          <w:szCs w:val="21"/>
          <w:u w:val="none"/>
          <w:lang w:eastAsia="zh-CN"/>
        </w:rPr>
      </w:pPr>
    </w:p>
    <w:p w14:paraId="036B42A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i w:val="0"/>
          <w:sz w:val="21"/>
          <w:szCs w:val="21"/>
          <w:u w:val="none"/>
          <w:lang w:eastAsia="zh-CN"/>
        </w:rPr>
      </w:pPr>
    </w:p>
    <w:p w14:paraId="3568FDB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i w:val="0"/>
          <w:sz w:val="21"/>
          <w:szCs w:val="21"/>
          <w:u w:val="none"/>
          <w:lang w:eastAsia="zh-CN"/>
        </w:rPr>
      </w:pPr>
    </w:p>
    <w:p w14:paraId="1E01E35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i w:val="0"/>
          <w:sz w:val="21"/>
          <w:szCs w:val="21"/>
          <w:u w:val="none"/>
          <w:lang w:eastAsia="zh-CN"/>
        </w:rPr>
      </w:pPr>
    </w:p>
    <w:tbl>
      <w:tblPr>
        <w:tblStyle w:val="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4"/>
        <w:gridCol w:w="2948"/>
        <w:gridCol w:w="6304"/>
      </w:tblGrid>
      <w:tr w14:paraId="6791B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Merge w:val="restart"/>
            <w:noWrap w:val="0"/>
            <w:vAlign w:val="top"/>
          </w:tcPr>
          <w:p w14:paraId="333BE65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sz w:val="21"/>
                <w:szCs w:val="21"/>
                <w:u w:val="none"/>
                <w:lang w:eastAsia="zh-CN"/>
              </w:rPr>
            </w:pPr>
          </w:p>
          <w:p w14:paraId="423F71A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sz w:val="21"/>
                <w:szCs w:val="21"/>
                <w:u w:val="none"/>
                <w:lang w:eastAsia="zh-CN"/>
              </w:rPr>
            </w:pPr>
          </w:p>
          <w:p w14:paraId="1776BFB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sz w:val="21"/>
                <w:szCs w:val="21"/>
                <w:u w:val="none"/>
                <w:lang w:eastAsia="zh-CN"/>
              </w:rPr>
            </w:pPr>
          </w:p>
          <w:p w14:paraId="0BA63D5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（3）</w:t>
            </w:r>
          </w:p>
          <w:p w14:paraId="4107EC0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金融</w:t>
            </w:r>
          </w:p>
          <w:p w14:paraId="0EA9836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资产</w:t>
            </w:r>
          </w:p>
        </w:tc>
        <w:tc>
          <w:tcPr>
            <w:tcW w:w="1454" w:type="pct"/>
            <w:noWrap w:val="0"/>
            <w:vAlign w:val="top"/>
          </w:tcPr>
          <w:p w14:paraId="326DE24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r>
              <w:rPr>
                <w:rFonts w:hint="eastAsia" w:ascii="宋体" w:hAnsi="宋体" w:eastAsia="宋体" w:cs="宋体"/>
                <w:b w:val="0"/>
                <w:bCs w:val="0"/>
                <w:i w:val="0"/>
                <w:color w:val="FF0000"/>
                <w:sz w:val="21"/>
                <w:szCs w:val="21"/>
                <w:u w:val="none"/>
                <w:lang w:eastAsia="zh-CN"/>
              </w:rPr>
              <w:t>【例】</w:t>
            </w:r>
            <w:r>
              <w:rPr>
                <w:rFonts w:hint="eastAsia" w:ascii="宋体" w:hAnsi="宋体" w:eastAsia="宋体" w:cs="宋体"/>
                <w:b w:val="0"/>
                <w:bCs w:val="0"/>
                <w:i w:val="0"/>
                <w:sz w:val="21"/>
                <w:szCs w:val="21"/>
                <w:u w:val="none"/>
                <w:lang w:eastAsia="zh-CN"/>
              </w:rPr>
              <w:t>交易性金融</w:t>
            </w:r>
          </w:p>
          <w:p w14:paraId="7631690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资产，初始成本1 000万元；年末公允价值</w:t>
            </w:r>
          </w:p>
          <w:p w14:paraId="44A4E99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 xml:space="preserve">1 200万元。 </w:t>
            </w:r>
          </w:p>
        </w:tc>
        <w:tc>
          <w:tcPr>
            <w:tcW w:w="3109" w:type="pct"/>
            <w:noWrap w:val="0"/>
            <w:vAlign w:val="top"/>
          </w:tcPr>
          <w:p w14:paraId="7AB5658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账面价值＝1 200万元；计税基础＝</w:t>
            </w:r>
          </w:p>
          <w:p w14:paraId="033345B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 xml:space="preserve">1 000万元。 </w:t>
            </w:r>
            <w:r>
              <w:rPr>
                <w:rFonts w:hint="eastAsia" w:ascii="宋体" w:hAnsi="宋体" w:eastAsia="宋体" w:cs="宋体"/>
                <w:b w:val="0"/>
                <w:bCs w:val="0"/>
                <w:i w:val="0"/>
                <w:sz w:val="21"/>
                <w:szCs w:val="21"/>
                <w:u w:val="none"/>
                <w:lang w:eastAsia="zh-CN"/>
              </w:rPr>
              <w:br w:type="textWrapping"/>
            </w:r>
            <w:r>
              <w:rPr>
                <w:rFonts w:hint="eastAsia" w:ascii="宋体" w:hAnsi="宋体" w:eastAsia="宋体" w:cs="宋体"/>
                <w:b w:val="0"/>
                <w:bCs w:val="0"/>
                <w:i w:val="0"/>
                <w:sz w:val="21"/>
                <w:szCs w:val="21"/>
                <w:u w:val="none"/>
                <w:lang w:eastAsia="zh-CN"/>
              </w:rPr>
              <w:t xml:space="preserve">应纳税暂时性差异＝200（万元） </w:t>
            </w:r>
            <w:r>
              <w:rPr>
                <w:rFonts w:hint="eastAsia" w:ascii="宋体" w:hAnsi="宋体" w:eastAsia="宋体" w:cs="宋体"/>
                <w:b w:val="0"/>
                <w:bCs w:val="0"/>
                <w:i w:val="0"/>
                <w:sz w:val="21"/>
                <w:szCs w:val="21"/>
                <w:u w:val="none"/>
                <w:lang w:eastAsia="zh-CN"/>
              </w:rPr>
              <w:br w:type="textWrapping"/>
            </w:r>
            <w:r>
              <w:rPr>
                <w:rFonts w:hint="eastAsia" w:ascii="宋体" w:hAnsi="宋体" w:eastAsia="宋体" w:cs="宋体"/>
                <w:b w:val="0"/>
                <w:bCs w:val="0"/>
                <w:i w:val="0"/>
                <w:sz w:val="21"/>
                <w:szCs w:val="21"/>
                <w:u w:val="none"/>
                <w:lang w:eastAsia="zh-CN"/>
              </w:rPr>
              <w:t xml:space="preserve">递延所得税负债＝200×25%＝50（万元） </w:t>
            </w:r>
            <w:r>
              <w:rPr>
                <w:rFonts w:hint="eastAsia" w:ascii="宋体" w:hAnsi="宋体" w:eastAsia="宋体" w:cs="宋体"/>
                <w:b w:val="0"/>
                <w:bCs w:val="0"/>
                <w:i w:val="0"/>
                <w:sz w:val="21"/>
                <w:szCs w:val="21"/>
                <w:u w:val="none"/>
                <w:lang w:eastAsia="zh-CN"/>
              </w:rPr>
              <w:br w:type="textWrapping"/>
            </w:r>
            <w:r>
              <w:rPr>
                <w:rFonts w:hint="eastAsia" w:ascii="宋体" w:hAnsi="宋体" w:eastAsia="宋体" w:cs="宋体"/>
                <w:b w:val="0"/>
                <w:bCs w:val="0"/>
                <w:i w:val="0"/>
                <w:sz w:val="21"/>
                <w:szCs w:val="21"/>
                <w:u w:val="none"/>
                <w:lang w:eastAsia="zh-CN"/>
              </w:rPr>
              <w:t>纳税调整＝－200万元。</w:t>
            </w:r>
          </w:p>
        </w:tc>
      </w:tr>
      <w:tr w14:paraId="32CF0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Merge w:val="continue"/>
            <w:noWrap w:val="0"/>
            <w:vAlign w:val="top"/>
          </w:tcPr>
          <w:p w14:paraId="0B55947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i w:val="0"/>
                <w:sz w:val="21"/>
                <w:szCs w:val="21"/>
                <w:u w:val="none"/>
                <w:lang w:eastAsia="zh-CN"/>
              </w:rPr>
            </w:pPr>
          </w:p>
        </w:tc>
        <w:tc>
          <w:tcPr>
            <w:tcW w:w="1454" w:type="pct"/>
            <w:noWrap w:val="0"/>
            <w:vAlign w:val="top"/>
          </w:tcPr>
          <w:p w14:paraId="4BFAE6A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color w:val="FF0000"/>
                <w:sz w:val="21"/>
                <w:szCs w:val="21"/>
                <w:u w:val="none"/>
                <w:lang w:eastAsia="zh-CN"/>
              </w:rPr>
            </w:pPr>
          </w:p>
          <w:p w14:paraId="2E51C91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i w:val="0"/>
                <w:sz w:val="21"/>
                <w:szCs w:val="21"/>
                <w:u w:val="none"/>
                <w:lang w:eastAsia="zh-CN"/>
              </w:rPr>
            </w:pPr>
            <w:r>
              <w:rPr>
                <w:rFonts w:hint="eastAsia" w:ascii="宋体" w:hAnsi="宋体" w:eastAsia="宋体" w:cs="宋体"/>
                <w:b w:val="0"/>
                <w:bCs w:val="0"/>
                <w:i w:val="0"/>
                <w:color w:val="FF0000"/>
                <w:sz w:val="21"/>
                <w:szCs w:val="21"/>
                <w:u w:val="none"/>
                <w:lang w:eastAsia="zh-CN"/>
              </w:rPr>
              <w:t>【例】</w:t>
            </w:r>
            <w:r>
              <w:rPr>
                <w:rFonts w:hint="eastAsia" w:ascii="宋体" w:hAnsi="宋体" w:eastAsia="宋体" w:cs="宋体"/>
                <w:b w:val="0"/>
                <w:bCs w:val="0"/>
                <w:i w:val="0"/>
                <w:sz w:val="21"/>
                <w:szCs w:val="21"/>
                <w:u w:val="none"/>
                <w:lang w:eastAsia="zh-CN"/>
              </w:rPr>
              <w:t xml:space="preserve">其他债权投资 </w:t>
            </w:r>
            <w:r>
              <w:rPr>
                <w:rFonts w:hint="eastAsia" w:ascii="宋体" w:hAnsi="宋体" w:eastAsia="宋体" w:cs="宋体"/>
                <w:b w:val="0"/>
                <w:bCs w:val="0"/>
                <w:i w:val="0"/>
                <w:sz w:val="21"/>
                <w:szCs w:val="21"/>
                <w:u w:val="none"/>
                <w:lang w:eastAsia="zh-CN"/>
              </w:rPr>
              <w:br w:type="textWrapping"/>
            </w:r>
            <w:r>
              <w:rPr>
                <w:rFonts w:hint="eastAsia" w:ascii="宋体" w:hAnsi="宋体" w:eastAsia="宋体" w:cs="宋体"/>
                <w:b w:val="0"/>
                <w:bCs w:val="0"/>
                <w:i w:val="0"/>
                <w:sz w:val="21"/>
                <w:szCs w:val="21"/>
                <w:u w:val="none"/>
                <w:lang w:eastAsia="zh-CN"/>
              </w:rPr>
              <w:t xml:space="preserve">其他权益工具投资。 </w:t>
            </w:r>
          </w:p>
        </w:tc>
        <w:tc>
          <w:tcPr>
            <w:tcW w:w="3109" w:type="pct"/>
            <w:noWrap w:val="0"/>
            <w:vAlign w:val="top"/>
          </w:tcPr>
          <w:p w14:paraId="1F46E78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 xml:space="preserve">账面价值＝1 200万元；计税基础＝1 000万元。 </w:t>
            </w:r>
            <w:r>
              <w:rPr>
                <w:rFonts w:hint="eastAsia" w:ascii="宋体" w:hAnsi="宋体" w:eastAsia="宋体" w:cs="宋体"/>
                <w:b w:val="0"/>
                <w:bCs w:val="0"/>
                <w:i w:val="0"/>
                <w:sz w:val="21"/>
                <w:szCs w:val="21"/>
                <w:u w:val="none"/>
                <w:lang w:eastAsia="zh-CN"/>
              </w:rPr>
              <w:br w:type="textWrapping"/>
            </w:r>
            <w:r>
              <w:rPr>
                <w:rFonts w:hint="eastAsia" w:ascii="宋体" w:hAnsi="宋体" w:eastAsia="宋体" w:cs="宋体"/>
                <w:b w:val="0"/>
                <w:bCs w:val="0"/>
                <w:i w:val="0"/>
                <w:sz w:val="21"/>
                <w:szCs w:val="21"/>
                <w:u w:val="none"/>
                <w:lang w:eastAsia="zh-CN"/>
              </w:rPr>
              <w:t xml:space="preserve">应纳税暂时性差异＝200万元 </w:t>
            </w:r>
            <w:r>
              <w:rPr>
                <w:rFonts w:hint="eastAsia" w:ascii="宋体" w:hAnsi="宋体" w:eastAsia="宋体" w:cs="宋体"/>
                <w:b w:val="0"/>
                <w:bCs w:val="0"/>
                <w:i w:val="0"/>
                <w:sz w:val="21"/>
                <w:szCs w:val="21"/>
                <w:u w:val="none"/>
                <w:lang w:eastAsia="zh-CN"/>
              </w:rPr>
              <w:br w:type="textWrapping"/>
            </w:r>
            <w:r>
              <w:rPr>
                <w:rFonts w:hint="eastAsia" w:ascii="宋体" w:hAnsi="宋体" w:eastAsia="宋体" w:cs="宋体"/>
                <w:b w:val="0"/>
                <w:bCs w:val="0"/>
                <w:i w:val="0"/>
                <w:sz w:val="21"/>
                <w:szCs w:val="21"/>
                <w:u w:val="none"/>
                <w:lang w:eastAsia="zh-CN"/>
              </w:rPr>
              <w:t xml:space="preserve">纳税调整＝0 </w:t>
            </w:r>
            <w:r>
              <w:rPr>
                <w:rFonts w:hint="eastAsia" w:ascii="宋体" w:hAnsi="宋体" w:eastAsia="宋体" w:cs="宋体"/>
                <w:b w:val="0"/>
                <w:bCs w:val="0"/>
                <w:i w:val="0"/>
                <w:sz w:val="21"/>
                <w:szCs w:val="21"/>
                <w:u w:val="none"/>
                <w:lang w:eastAsia="zh-CN"/>
              </w:rPr>
              <w:br w:type="textWrapping"/>
            </w:r>
            <w:r>
              <w:rPr>
                <w:rFonts w:hint="eastAsia" w:ascii="宋体" w:hAnsi="宋体" w:eastAsia="宋体" w:cs="宋体"/>
                <w:b w:val="0"/>
                <w:bCs w:val="0"/>
                <w:i w:val="0"/>
                <w:sz w:val="21"/>
                <w:szCs w:val="21"/>
                <w:u w:val="none"/>
                <w:lang w:eastAsia="zh-CN"/>
              </w:rPr>
              <w:t xml:space="preserve">递延所得税负债＝200×25%＝50（万元） </w:t>
            </w:r>
            <w:r>
              <w:rPr>
                <w:rFonts w:hint="eastAsia" w:ascii="宋体" w:hAnsi="宋体" w:eastAsia="宋体" w:cs="宋体"/>
                <w:b w:val="0"/>
                <w:bCs w:val="0"/>
                <w:i w:val="0"/>
                <w:sz w:val="21"/>
                <w:szCs w:val="21"/>
                <w:u w:val="none"/>
                <w:lang w:eastAsia="zh-CN"/>
              </w:rPr>
              <w:br w:type="textWrapping"/>
            </w:r>
            <w:r>
              <w:rPr>
                <w:rFonts w:hint="eastAsia" w:ascii="宋体" w:hAnsi="宋体" w:eastAsia="宋体" w:cs="宋体"/>
                <w:b w:val="0"/>
                <w:bCs w:val="0"/>
                <w:i w:val="0"/>
                <w:sz w:val="21"/>
                <w:szCs w:val="21"/>
                <w:u w:val="none"/>
                <w:lang w:eastAsia="zh-CN"/>
              </w:rPr>
              <w:t xml:space="preserve">确认确认递延所得税负债，对应的会计科目是其他综合收益。 </w:t>
            </w:r>
          </w:p>
        </w:tc>
      </w:tr>
      <w:tr w14:paraId="60002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noWrap w:val="0"/>
            <w:vAlign w:val="top"/>
          </w:tcPr>
          <w:p w14:paraId="55EED7C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sz w:val="21"/>
                <w:szCs w:val="21"/>
                <w:u w:val="none"/>
                <w:lang w:eastAsia="zh-CN"/>
              </w:rPr>
            </w:pPr>
          </w:p>
          <w:p w14:paraId="72C2407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（4）</w:t>
            </w:r>
          </w:p>
          <w:p w14:paraId="0778EE8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投资</w:t>
            </w:r>
          </w:p>
          <w:p w14:paraId="5A7B233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性房</w:t>
            </w:r>
          </w:p>
          <w:p w14:paraId="1638B8A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地产</w:t>
            </w:r>
          </w:p>
        </w:tc>
        <w:tc>
          <w:tcPr>
            <w:tcW w:w="1454" w:type="pct"/>
            <w:noWrap w:val="0"/>
            <w:vAlign w:val="top"/>
          </w:tcPr>
          <w:p w14:paraId="66CDDB4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color w:val="FF0000"/>
                <w:sz w:val="21"/>
                <w:szCs w:val="21"/>
                <w:u w:val="none"/>
                <w:lang w:eastAsia="zh-CN"/>
              </w:rPr>
            </w:pPr>
          </w:p>
          <w:p w14:paraId="3F54818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r>
              <w:rPr>
                <w:rFonts w:hint="eastAsia" w:ascii="宋体" w:hAnsi="宋体" w:eastAsia="宋体" w:cs="宋体"/>
                <w:b w:val="0"/>
                <w:bCs w:val="0"/>
                <w:i w:val="0"/>
                <w:color w:val="FF0000"/>
                <w:sz w:val="21"/>
                <w:szCs w:val="21"/>
                <w:u w:val="none"/>
                <w:lang w:eastAsia="zh-CN"/>
              </w:rPr>
              <w:t>【例】</w:t>
            </w:r>
            <w:r>
              <w:rPr>
                <w:rFonts w:hint="eastAsia" w:ascii="宋体" w:hAnsi="宋体" w:eastAsia="宋体" w:cs="宋体"/>
                <w:b w:val="0"/>
                <w:bCs w:val="0"/>
                <w:i w:val="0"/>
                <w:sz w:val="21"/>
                <w:szCs w:val="21"/>
                <w:u w:val="none"/>
                <w:lang w:eastAsia="zh-CN"/>
              </w:rPr>
              <w:t>初始成本</w:t>
            </w:r>
          </w:p>
          <w:p w14:paraId="0BA91BF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 xml:space="preserve">1 000万元；年末公允价值1 200万元；按照税法计算折旧费用60万元。 </w:t>
            </w:r>
          </w:p>
        </w:tc>
        <w:tc>
          <w:tcPr>
            <w:tcW w:w="3109" w:type="pct"/>
            <w:noWrap w:val="0"/>
            <w:vAlign w:val="top"/>
          </w:tcPr>
          <w:p w14:paraId="59AFD72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 xml:space="preserve">账面价值＝1 200万元 </w:t>
            </w:r>
            <w:r>
              <w:rPr>
                <w:rFonts w:hint="eastAsia" w:ascii="宋体" w:hAnsi="宋体" w:eastAsia="宋体" w:cs="宋体"/>
                <w:b w:val="0"/>
                <w:bCs w:val="0"/>
                <w:i w:val="0"/>
                <w:sz w:val="21"/>
                <w:szCs w:val="21"/>
                <w:u w:val="none"/>
                <w:lang w:eastAsia="zh-CN"/>
              </w:rPr>
              <w:br w:type="textWrapping"/>
            </w:r>
            <w:r>
              <w:rPr>
                <w:rFonts w:hint="eastAsia" w:ascii="宋体" w:hAnsi="宋体" w:eastAsia="宋体" w:cs="宋体"/>
                <w:b w:val="0"/>
                <w:bCs w:val="0"/>
                <w:i w:val="0"/>
                <w:sz w:val="21"/>
                <w:szCs w:val="21"/>
                <w:u w:val="none"/>
                <w:lang w:eastAsia="zh-CN"/>
              </w:rPr>
              <w:t xml:space="preserve">计税基础＝1 000－60＝940（万元） </w:t>
            </w:r>
            <w:r>
              <w:rPr>
                <w:rFonts w:hint="eastAsia" w:ascii="宋体" w:hAnsi="宋体" w:eastAsia="宋体" w:cs="宋体"/>
                <w:b w:val="0"/>
                <w:bCs w:val="0"/>
                <w:i w:val="0"/>
                <w:sz w:val="21"/>
                <w:szCs w:val="21"/>
                <w:u w:val="none"/>
                <w:lang w:eastAsia="zh-CN"/>
              </w:rPr>
              <w:br w:type="textWrapping"/>
            </w:r>
            <w:r>
              <w:rPr>
                <w:rFonts w:hint="eastAsia" w:ascii="宋体" w:hAnsi="宋体" w:eastAsia="宋体" w:cs="宋体"/>
                <w:b w:val="0"/>
                <w:bCs w:val="0"/>
                <w:i w:val="0"/>
                <w:sz w:val="21"/>
                <w:szCs w:val="21"/>
                <w:u w:val="none"/>
                <w:lang w:eastAsia="zh-CN"/>
              </w:rPr>
              <w:t xml:space="preserve">应纳税暂时性差异＝1 200－940＝260（万元） </w:t>
            </w:r>
            <w:r>
              <w:rPr>
                <w:rFonts w:hint="eastAsia" w:ascii="宋体" w:hAnsi="宋体" w:eastAsia="宋体" w:cs="宋体"/>
                <w:b w:val="0"/>
                <w:bCs w:val="0"/>
                <w:i w:val="0"/>
                <w:sz w:val="21"/>
                <w:szCs w:val="21"/>
                <w:u w:val="none"/>
                <w:lang w:eastAsia="zh-CN"/>
              </w:rPr>
              <w:br w:type="textWrapping"/>
            </w:r>
            <w:r>
              <w:rPr>
                <w:rFonts w:hint="eastAsia" w:ascii="宋体" w:hAnsi="宋体" w:eastAsia="宋体" w:cs="宋体"/>
                <w:b w:val="0"/>
                <w:bCs w:val="0"/>
                <w:i w:val="0"/>
                <w:sz w:val="21"/>
                <w:szCs w:val="21"/>
                <w:u w:val="none"/>
                <w:lang w:eastAsia="zh-CN"/>
              </w:rPr>
              <w:t xml:space="preserve">递延所得税负债＝260×25%＝65（万元） </w:t>
            </w:r>
            <w:r>
              <w:rPr>
                <w:rFonts w:hint="eastAsia" w:ascii="宋体" w:hAnsi="宋体" w:eastAsia="宋体" w:cs="宋体"/>
                <w:b w:val="0"/>
                <w:bCs w:val="0"/>
                <w:i w:val="0"/>
                <w:sz w:val="21"/>
                <w:szCs w:val="21"/>
                <w:u w:val="none"/>
                <w:lang w:eastAsia="zh-CN"/>
              </w:rPr>
              <w:br w:type="textWrapping"/>
            </w:r>
            <w:r>
              <w:rPr>
                <w:rFonts w:hint="eastAsia" w:ascii="宋体" w:hAnsi="宋体" w:eastAsia="宋体" w:cs="宋体"/>
                <w:b w:val="0"/>
                <w:bCs w:val="0"/>
                <w:i w:val="0"/>
                <w:sz w:val="21"/>
                <w:szCs w:val="21"/>
                <w:u w:val="none"/>
                <w:lang w:eastAsia="zh-CN"/>
              </w:rPr>
              <w:t>纳税调整＝－公允价值变动收益200－60</w:t>
            </w:r>
            <w:r>
              <w:rPr>
                <w:rFonts w:hint="eastAsia" w:ascii="宋体" w:hAnsi="宋体" w:eastAsia="宋体" w:cs="宋体"/>
                <w:b w:val="0"/>
                <w:bCs w:val="0"/>
                <w:i w:val="0"/>
                <w:sz w:val="21"/>
                <w:szCs w:val="21"/>
                <w:u w:val="none"/>
                <w:lang w:eastAsia="zh-CN"/>
              </w:rPr>
              <w:br w:type="textWrapping"/>
            </w:r>
            <w:r>
              <w:rPr>
                <w:rFonts w:hint="eastAsia" w:ascii="宋体" w:hAnsi="宋体" w:eastAsia="宋体" w:cs="宋体"/>
                <w:b w:val="0"/>
                <w:bCs w:val="0"/>
                <w:i w:val="0"/>
                <w:sz w:val="21"/>
                <w:szCs w:val="21"/>
                <w:u w:val="none"/>
                <w:lang w:eastAsia="zh-CN"/>
              </w:rPr>
              <w:t xml:space="preserve">        ＝－260（万元） </w:t>
            </w:r>
          </w:p>
        </w:tc>
      </w:tr>
      <w:tr w14:paraId="31C41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noWrap w:val="0"/>
            <w:vAlign w:val="top"/>
          </w:tcPr>
          <w:p w14:paraId="72FBBB5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sz w:val="21"/>
                <w:szCs w:val="21"/>
                <w:u w:val="none"/>
                <w:lang w:eastAsia="zh-CN"/>
              </w:rPr>
            </w:pPr>
          </w:p>
          <w:p w14:paraId="667C30D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（5）</w:t>
            </w:r>
          </w:p>
          <w:p w14:paraId="7D9B9BF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计提了资产减值准备</w:t>
            </w:r>
          </w:p>
        </w:tc>
        <w:tc>
          <w:tcPr>
            <w:tcW w:w="1454" w:type="pct"/>
            <w:noWrap w:val="0"/>
            <w:vAlign w:val="top"/>
          </w:tcPr>
          <w:p w14:paraId="335E61B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i w:val="0"/>
                <w:sz w:val="21"/>
                <w:szCs w:val="21"/>
                <w:u w:val="none"/>
                <w:lang w:eastAsia="zh-CN"/>
              </w:rPr>
            </w:pPr>
            <w:r>
              <w:rPr>
                <w:rFonts w:hint="eastAsia" w:ascii="宋体" w:hAnsi="宋体" w:eastAsia="宋体" w:cs="宋体"/>
                <w:b w:val="0"/>
                <w:bCs w:val="0"/>
                <w:i w:val="0"/>
                <w:color w:val="FF0000"/>
                <w:sz w:val="21"/>
                <w:szCs w:val="21"/>
                <w:u w:val="none"/>
                <w:lang w:eastAsia="zh-CN"/>
              </w:rPr>
              <w:t>【例】</w:t>
            </w:r>
            <w:r>
              <w:rPr>
                <w:rFonts w:hint="eastAsia" w:ascii="宋体" w:hAnsi="宋体" w:eastAsia="宋体" w:cs="宋体"/>
                <w:b w:val="0"/>
                <w:bCs w:val="0"/>
                <w:i w:val="0"/>
                <w:sz w:val="21"/>
                <w:szCs w:val="21"/>
                <w:u w:val="none"/>
                <w:lang w:eastAsia="zh-CN"/>
              </w:rPr>
              <w:t xml:space="preserve">库存商品年末余额4 000万元。存货跌价准备年初余额2 000万元，本年转回400万元，计提100万元，年末余额1 700万元。 </w:t>
            </w:r>
          </w:p>
        </w:tc>
        <w:tc>
          <w:tcPr>
            <w:tcW w:w="3109" w:type="pct"/>
            <w:noWrap w:val="0"/>
            <w:vAlign w:val="top"/>
          </w:tcPr>
          <w:p w14:paraId="69A1537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 xml:space="preserve">账面价值＝4 000－1 700＝2 300（万元） </w:t>
            </w:r>
            <w:r>
              <w:rPr>
                <w:rFonts w:hint="eastAsia" w:ascii="宋体" w:hAnsi="宋体" w:eastAsia="宋体" w:cs="宋体"/>
                <w:b w:val="0"/>
                <w:bCs w:val="0"/>
                <w:i w:val="0"/>
                <w:sz w:val="21"/>
                <w:szCs w:val="21"/>
                <w:u w:val="none"/>
                <w:lang w:eastAsia="zh-CN"/>
              </w:rPr>
              <w:br w:type="textWrapping"/>
            </w:r>
            <w:r>
              <w:rPr>
                <w:rFonts w:hint="eastAsia" w:ascii="宋体" w:hAnsi="宋体" w:eastAsia="宋体" w:cs="宋体"/>
                <w:b w:val="0"/>
                <w:bCs w:val="0"/>
                <w:i w:val="0"/>
                <w:sz w:val="21"/>
                <w:szCs w:val="21"/>
                <w:u w:val="none"/>
                <w:lang w:eastAsia="zh-CN"/>
              </w:rPr>
              <w:t xml:space="preserve">计税基础＝4 000万元 </w:t>
            </w:r>
            <w:r>
              <w:rPr>
                <w:rFonts w:hint="eastAsia" w:ascii="宋体" w:hAnsi="宋体" w:eastAsia="宋体" w:cs="宋体"/>
                <w:b w:val="0"/>
                <w:bCs w:val="0"/>
                <w:i w:val="0"/>
                <w:sz w:val="21"/>
                <w:szCs w:val="21"/>
                <w:u w:val="none"/>
                <w:lang w:eastAsia="zh-CN"/>
              </w:rPr>
              <w:br w:type="textWrapping"/>
            </w:r>
            <w:r>
              <w:rPr>
                <w:rFonts w:hint="eastAsia" w:ascii="宋体" w:hAnsi="宋体" w:eastAsia="宋体" w:cs="宋体"/>
                <w:b w:val="0"/>
                <w:bCs w:val="0"/>
                <w:i w:val="0"/>
                <w:sz w:val="21"/>
                <w:szCs w:val="21"/>
                <w:u w:val="none"/>
                <w:lang w:eastAsia="zh-CN"/>
              </w:rPr>
              <w:t xml:space="preserve">累计可抵扣暂时性差异＝1 700（万元） </w:t>
            </w:r>
            <w:r>
              <w:rPr>
                <w:rFonts w:hint="eastAsia" w:ascii="宋体" w:hAnsi="宋体" w:eastAsia="宋体" w:cs="宋体"/>
                <w:b w:val="0"/>
                <w:bCs w:val="0"/>
                <w:i w:val="0"/>
                <w:sz w:val="21"/>
                <w:szCs w:val="21"/>
                <w:u w:val="none"/>
                <w:lang w:eastAsia="zh-CN"/>
              </w:rPr>
              <w:br w:type="textWrapping"/>
            </w:r>
            <w:r>
              <w:rPr>
                <w:rFonts w:hint="eastAsia" w:ascii="宋体" w:hAnsi="宋体" w:eastAsia="宋体" w:cs="宋体"/>
                <w:b w:val="0"/>
                <w:bCs w:val="0"/>
                <w:i w:val="0"/>
                <w:sz w:val="21"/>
                <w:szCs w:val="21"/>
                <w:u w:val="none"/>
                <w:lang w:eastAsia="zh-CN"/>
              </w:rPr>
              <w:t>递延所得税资产＝1 700×25%－</w:t>
            </w:r>
            <w:r>
              <w:rPr>
                <w:rFonts w:hint="eastAsia" w:ascii="宋体" w:hAnsi="宋体" w:eastAsia="宋体" w:cs="宋体"/>
                <w:b w:val="0"/>
                <w:bCs w:val="0"/>
                <w:i w:val="0"/>
                <w:sz w:val="21"/>
                <w:szCs w:val="21"/>
                <w:u w:val="none"/>
                <w:lang w:eastAsia="zh-CN"/>
              </w:rPr>
              <w:br w:type="textWrapping"/>
            </w:r>
            <w:r>
              <w:rPr>
                <w:rFonts w:hint="eastAsia" w:ascii="宋体" w:hAnsi="宋体" w:eastAsia="宋体" w:cs="宋体"/>
                <w:b w:val="0"/>
                <w:bCs w:val="0"/>
                <w:i w:val="0"/>
                <w:sz w:val="21"/>
                <w:szCs w:val="21"/>
                <w:u w:val="none"/>
                <w:lang w:eastAsia="zh-CN"/>
              </w:rPr>
              <w:t xml:space="preserve">2 000×25%＝－300×25%＝－75（万元） </w:t>
            </w:r>
            <w:r>
              <w:rPr>
                <w:rFonts w:hint="eastAsia" w:ascii="宋体" w:hAnsi="宋体" w:eastAsia="宋体" w:cs="宋体"/>
                <w:b w:val="0"/>
                <w:bCs w:val="0"/>
                <w:i w:val="0"/>
                <w:sz w:val="21"/>
                <w:szCs w:val="21"/>
                <w:u w:val="none"/>
                <w:lang w:eastAsia="zh-CN"/>
              </w:rPr>
              <w:br w:type="textWrapping"/>
            </w:r>
            <w:r>
              <w:rPr>
                <w:rFonts w:hint="eastAsia" w:ascii="宋体" w:hAnsi="宋体" w:eastAsia="宋体" w:cs="宋体"/>
                <w:b w:val="0"/>
                <w:bCs w:val="0"/>
                <w:i w:val="0"/>
                <w:sz w:val="21"/>
                <w:szCs w:val="21"/>
                <w:u w:val="none"/>
                <w:lang w:eastAsia="zh-CN"/>
              </w:rPr>
              <w:t xml:space="preserve">纳税调整＝－400＋100＝－300（万元） </w:t>
            </w:r>
          </w:p>
        </w:tc>
      </w:tr>
      <w:tr w14:paraId="75FA2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Merge w:val="restart"/>
            <w:noWrap w:val="0"/>
            <w:vAlign w:val="top"/>
          </w:tcPr>
          <w:p w14:paraId="731D37B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sz w:val="21"/>
                <w:szCs w:val="21"/>
                <w:u w:val="none"/>
                <w:lang w:eastAsia="zh-CN"/>
              </w:rPr>
            </w:pPr>
          </w:p>
          <w:p w14:paraId="673CE35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sz w:val="21"/>
                <w:szCs w:val="21"/>
                <w:u w:val="none"/>
                <w:lang w:eastAsia="zh-CN"/>
              </w:rPr>
            </w:pPr>
          </w:p>
          <w:p w14:paraId="3E79D9F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sz w:val="21"/>
                <w:szCs w:val="21"/>
                <w:u w:val="none"/>
                <w:lang w:eastAsia="zh-CN"/>
              </w:rPr>
            </w:pPr>
          </w:p>
          <w:p w14:paraId="74CADEF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（6）</w:t>
            </w:r>
          </w:p>
          <w:p w14:paraId="401369D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预计</w:t>
            </w:r>
          </w:p>
          <w:p w14:paraId="245EAF4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负债</w:t>
            </w:r>
          </w:p>
        </w:tc>
        <w:tc>
          <w:tcPr>
            <w:tcW w:w="1454" w:type="pct"/>
            <w:noWrap w:val="0"/>
            <w:vAlign w:val="top"/>
          </w:tcPr>
          <w:p w14:paraId="095B4B6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color w:val="FF0000"/>
                <w:sz w:val="21"/>
                <w:szCs w:val="21"/>
                <w:u w:val="none"/>
                <w:lang w:eastAsia="zh-CN"/>
              </w:rPr>
            </w:pPr>
          </w:p>
          <w:p w14:paraId="14FF1B2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i w:val="0"/>
                <w:sz w:val="21"/>
                <w:szCs w:val="21"/>
                <w:u w:val="none"/>
                <w:lang w:eastAsia="zh-CN"/>
              </w:rPr>
            </w:pPr>
            <w:r>
              <w:rPr>
                <w:rFonts w:hint="eastAsia" w:ascii="宋体" w:hAnsi="宋体" w:eastAsia="宋体" w:cs="宋体"/>
                <w:b w:val="0"/>
                <w:bCs w:val="0"/>
                <w:i w:val="0"/>
                <w:color w:val="FF0000"/>
                <w:sz w:val="21"/>
                <w:szCs w:val="21"/>
                <w:u w:val="none"/>
                <w:lang w:eastAsia="zh-CN"/>
              </w:rPr>
              <w:t>【例】</w:t>
            </w:r>
            <w:r>
              <w:rPr>
                <w:rFonts w:hint="eastAsia" w:ascii="宋体" w:hAnsi="宋体" w:eastAsia="宋体" w:cs="宋体"/>
                <w:b w:val="0"/>
                <w:bCs w:val="0"/>
                <w:i w:val="0"/>
                <w:sz w:val="21"/>
                <w:szCs w:val="21"/>
                <w:u w:val="none"/>
                <w:lang w:eastAsia="zh-CN"/>
              </w:rPr>
              <w:t>计提产品质量保证100万元；实际支付80万元。</w:t>
            </w:r>
          </w:p>
        </w:tc>
        <w:tc>
          <w:tcPr>
            <w:tcW w:w="3109" w:type="pct"/>
            <w:noWrap w:val="0"/>
            <w:vAlign w:val="top"/>
          </w:tcPr>
          <w:p w14:paraId="49E0432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 xml:space="preserve">负债账面价值＝20万元 </w:t>
            </w:r>
            <w:r>
              <w:rPr>
                <w:rFonts w:hint="eastAsia" w:ascii="宋体" w:hAnsi="宋体" w:eastAsia="宋体" w:cs="宋体"/>
                <w:b w:val="0"/>
                <w:bCs w:val="0"/>
                <w:i w:val="0"/>
                <w:sz w:val="21"/>
                <w:szCs w:val="21"/>
                <w:u w:val="none"/>
                <w:lang w:eastAsia="zh-CN"/>
              </w:rPr>
              <w:br w:type="textWrapping"/>
            </w:r>
            <w:r>
              <w:rPr>
                <w:rFonts w:hint="eastAsia" w:ascii="宋体" w:hAnsi="宋体" w:eastAsia="宋体" w:cs="宋体"/>
                <w:b w:val="0"/>
                <w:bCs w:val="0"/>
                <w:i w:val="0"/>
                <w:sz w:val="21"/>
                <w:szCs w:val="21"/>
                <w:u w:val="none"/>
                <w:lang w:eastAsia="zh-CN"/>
              </w:rPr>
              <w:t xml:space="preserve">计税基础＝20－20＝0 </w:t>
            </w:r>
            <w:r>
              <w:rPr>
                <w:rFonts w:hint="eastAsia" w:ascii="宋体" w:hAnsi="宋体" w:eastAsia="宋体" w:cs="宋体"/>
                <w:b w:val="0"/>
                <w:bCs w:val="0"/>
                <w:i w:val="0"/>
                <w:sz w:val="21"/>
                <w:szCs w:val="21"/>
                <w:u w:val="none"/>
                <w:lang w:eastAsia="zh-CN"/>
              </w:rPr>
              <w:br w:type="textWrapping"/>
            </w:r>
            <w:r>
              <w:rPr>
                <w:rFonts w:hint="eastAsia" w:ascii="宋体" w:hAnsi="宋体" w:eastAsia="宋体" w:cs="宋体"/>
                <w:b w:val="0"/>
                <w:bCs w:val="0"/>
                <w:i w:val="0"/>
                <w:sz w:val="21"/>
                <w:szCs w:val="21"/>
                <w:u w:val="none"/>
                <w:lang w:eastAsia="zh-CN"/>
              </w:rPr>
              <w:t xml:space="preserve">可抵扣暂时性差异＝20万元 </w:t>
            </w:r>
            <w:r>
              <w:rPr>
                <w:rFonts w:hint="eastAsia" w:ascii="宋体" w:hAnsi="宋体" w:eastAsia="宋体" w:cs="宋体"/>
                <w:b w:val="0"/>
                <w:bCs w:val="0"/>
                <w:i w:val="0"/>
                <w:sz w:val="21"/>
                <w:szCs w:val="21"/>
                <w:u w:val="none"/>
                <w:lang w:eastAsia="zh-CN"/>
              </w:rPr>
              <w:br w:type="textWrapping"/>
            </w:r>
            <w:r>
              <w:rPr>
                <w:rFonts w:hint="eastAsia" w:ascii="宋体" w:hAnsi="宋体" w:eastAsia="宋体" w:cs="宋体"/>
                <w:b w:val="0"/>
                <w:bCs w:val="0"/>
                <w:i w:val="0"/>
                <w:sz w:val="21"/>
                <w:szCs w:val="21"/>
                <w:u w:val="none"/>
                <w:lang w:eastAsia="zh-CN"/>
              </w:rPr>
              <w:t xml:space="preserve">递延所得税资产＝20×25%＝5（万元） </w:t>
            </w:r>
            <w:r>
              <w:rPr>
                <w:rFonts w:hint="eastAsia" w:ascii="宋体" w:hAnsi="宋体" w:eastAsia="宋体" w:cs="宋体"/>
                <w:b w:val="0"/>
                <w:bCs w:val="0"/>
                <w:i w:val="0"/>
                <w:sz w:val="21"/>
                <w:szCs w:val="21"/>
                <w:u w:val="none"/>
                <w:lang w:eastAsia="zh-CN"/>
              </w:rPr>
              <w:br w:type="textWrapping"/>
            </w:r>
            <w:r>
              <w:rPr>
                <w:rFonts w:hint="eastAsia" w:ascii="宋体" w:hAnsi="宋体" w:eastAsia="宋体" w:cs="宋体"/>
                <w:b w:val="0"/>
                <w:bCs w:val="0"/>
                <w:i w:val="0"/>
                <w:sz w:val="21"/>
                <w:szCs w:val="21"/>
                <w:u w:val="none"/>
                <w:lang w:eastAsia="zh-CN"/>
              </w:rPr>
              <w:t xml:space="preserve">纳税调整＝＋100－80＝＋20（万元） </w:t>
            </w:r>
          </w:p>
        </w:tc>
      </w:tr>
      <w:tr w14:paraId="056DA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Merge w:val="continue"/>
            <w:noWrap w:val="0"/>
            <w:vAlign w:val="top"/>
          </w:tcPr>
          <w:p w14:paraId="01B145B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i w:val="0"/>
                <w:sz w:val="21"/>
                <w:szCs w:val="21"/>
                <w:u w:val="none"/>
                <w:lang w:eastAsia="zh-CN"/>
              </w:rPr>
            </w:pPr>
          </w:p>
        </w:tc>
        <w:tc>
          <w:tcPr>
            <w:tcW w:w="1454" w:type="pct"/>
            <w:noWrap w:val="0"/>
            <w:vAlign w:val="top"/>
          </w:tcPr>
          <w:p w14:paraId="67B5F26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未决诉讼10万元：税法规定无论是否实际发生均不允许税前扣除。</w:t>
            </w:r>
          </w:p>
        </w:tc>
        <w:tc>
          <w:tcPr>
            <w:tcW w:w="3109" w:type="pct"/>
            <w:noWrap w:val="0"/>
            <w:vAlign w:val="top"/>
          </w:tcPr>
          <w:p w14:paraId="089ED6D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 xml:space="preserve">账面价值＝10万元 </w:t>
            </w:r>
            <w:r>
              <w:rPr>
                <w:rFonts w:hint="eastAsia" w:ascii="宋体" w:hAnsi="宋体" w:eastAsia="宋体" w:cs="宋体"/>
                <w:b w:val="0"/>
                <w:bCs w:val="0"/>
                <w:i w:val="0"/>
                <w:sz w:val="21"/>
                <w:szCs w:val="21"/>
                <w:u w:val="none"/>
                <w:lang w:eastAsia="zh-CN"/>
              </w:rPr>
              <w:br w:type="textWrapping"/>
            </w:r>
            <w:r>
              <w:rPr>
                <w:rFonts w:hint="eastAsia" w:ascii="宋体" w:hAnsi="宋体" w:eastAsia="宋体" w:cs="宋体"/>
                <w:b w:val="0"/>
                <w:bCs w:val="0"/>
                <w:i w:val="0"/>
                <w:sz w:val="21"/>
                <w:szCs w:val="21"/>
                <w:u w:val="none"/>
                <w:lang w:eastAsia="zh-CN"/>
              </w:rPr>
              <w:t xml:space="preserve">计税基础＝10－0＝10（万元） </w:t>
            </w:r>
            <w:r>
              <w:rPr>
                <w:rFonts w:hint="eastAsia" w:ascii="宋体" w:hAnsi="宋体" w:eastAsia="宋体" w:cs="宋体"/>
                <w:b w:val="0"/>
                <w:bCs w:val="0"/>
                <w:i w:val="0"/>
                <w:sz w:val="21"/>
                <w:szCs w:val="21"/>
                <w:u w:val="none"/>
                <w:lang w:eastAsia="zh-CN"/>
              </w:rPr>
              <w:br w:type="textWrapping"/>
            </w:r>
            <w:r>
              <w:rPr>
                <w:rFonts w:hint="eastAsia" w:ascii="宋体" w:hAnsi="宋体" w:eastAsia="宋体" w:cs="宋体"/>
                <w:b w:val="0"/>
                <w:bCs w:val="0"/>
                <w:i w:val="0"/>
                <w:sz w:val="21"/>
                <w:szCs w:val="21"/>
                <w:u w:val="none"/>
                <w:lang w:eastAsia="zh-CN"/>
              </w:rPr>
              <w:t>不确认递延所得税</w:t>
            </w:r>
            <w:r>
              <w:rPr>
                <w:rFonts w:hint="eastAsia" w:ascii="宋体" w:hAnsi="宋体" w:eastAsia="宋体" w:cs="宋体"/>
                <w:b w:val="0"/>
                <w:bCs w:val="0"/>
                <w:i w:val="0"/>
                <w:sz w:val="21"/>
                <w:szCs w:val="21"/>
                <w:u w:val="none"/>
                <w:lang w:eastAsia="zh-CN"/>
              </w:rPr>
              <w:br w:type="textWrapping"/>
            </w:r>
            <w:r>
              <w:rPr>
                <w:rFonts w:hint="eastAsia" w:ascii="宋体" w:hAnsi="宋体" w:eastAsia="宋体" w:cs="宋体"/>
                <w:b w:val="0"/>
                <w:bCs w:val="0"/>
                <w:i w:val="0"/>
                <w:sz w:val="21"/>
                <w:szCs w:val="21"/>
                <w:u w:val="none"/>
                <w:lang w:eastAsia="zh-CN"/>
              </w:rPr>
              <w:t>但需要纳税调整。</w:t>
            </w:r>
          </w:p>
        </w:tc>
      </w:tr>
      <w:tr w14:paraId="76217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Merge w:val="continue"/>
            <w:noWrap w:val="0"/>
            <w:vAlign w:val="top"/>
          </w:tcPr>
          <w:p w14:paraId="54F8E98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i w:val="0"/>
                <w:sz w:val="21"/>
                <w:szCs w:val="21"/>
                <w:u w:val="none"/>
                <w:lang w:eastAsia="zh-CN"/>
              </w:rPr>
            </w:pPr>
          </w:p>
        </w:tc>
        <w:tc>
          <w:tcPr>
            <w:tcW w:w="1454" w:type="pct"/>
            <w:noWrap w:val="0"/>
            <w:vAlign w:val="top"/>
          </w:tcPr>
          <w:p w14:paraId="231C5B5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未决诉讼10万元：税法规定实际发生时可以税前扣除。</w:t>
            </w:r>
          </w:p>
        </w:tc>
        <w:tc>
          <w:tcPr>
            <w:tcW w:w="3109" w:type="pct"/>
            <w:noWrap w:val="0"/>
            <w:vAlign w:val="top"/>
          </w:tcPr>
          <w:p w14:paraId="1730B6E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 xml:space="preserve">账面价值＝10万元 </w:t>
            </w:r>
            <w:r>
              <w:rPr>
                <w:rFonts w:hint="eastAsia" w:ascii="宋体" w:hAnsi="宋体" w:eastAsia="宋体" w:cs="宋体"/>
                <w:b w:val="0"/>
                <w:bCs w:val="0"/>
                <w:i w:val="0"/>
                <w:sz w:val="21"/>
                <w:szCs w:val="21"/>
                <w:u w:val="none"/>
                <w:lang w:eastAsia="zh-CN"/>
              </w:rPr>
              <w:br w:type="textWrapping"/>
            </w:r>
            <w:r>
              <w:rPr>
                <w:rFonts w:hint="eastAsia" w:ascii="宋体" w:hAnsi="宋体" w:eastAsia="宋体" w:cs="宋体"/>
                <w:b w:val="0"/>
                <w:bCs w:val="0"/>
                <w:i w:val="0"/>
                <w:sz w:val="21"/>
                <w:szCs w:val="21"/>
                <w:u w:val="none"/>
                <w:lang w:eastAsia="zh-CN"/>
              </w:rPr>
              <w:t xml:space="preserve">计税基础＝10－10＝0 </w:t>
            </w:r>
            <w:r>
              <w:rPr>
                <w:rFonts w:hint="eastAsia" w:ascii="宋体" w:hAnsi="宋体" w:eastAsia="宋体" w:cs="宋体"/>
                <w:b w:val="0"/>
                <w:bCs w:val="0"/>
                <w:i w:val="0"/>
                <w:sz w:val="21"/>
                <w:szCs w:val="21"/>
                <w:u w:val="none"/>
                <w:lang w:eastAsia="zh-CN"/>
              </w:rPr>
              <w:br w:type="textWrapping"/>
            </w:r>
            <w:r>
              <w:rPr>
                <w:rFonts w:hint="eastAsia" w:ascii="宋体" w:hAnsi="宋体" w:eastAsia="宋体" w:cs="宋体"/>
                <w:b w:val="0"/>
                <w:bCs w:val="0"/>
                <w:i w:val="0"/>
                <w:sz w:val="21"/>
                <w:szCs w:val="21"/>
                <w:u w:val="none"/>
                <w:lang w:eastAsia="zh-CN"/>
              </w:rPr>
              <w:t>确认递延所得税资产</w:t>
            </w:r>
            <w:r>
              <w:rPr>
                <w:rFonts w:hint="eastAsia" w:ascii="宋体" w:hAnsi="宋体" w:eastAsia="宋体" w:cs="宋体"/>
                <w:b w:val="0"/>
                <w:bCs w:val="0"/>
                <w:i w:val="0"/>
                <w:sz w:val="21"/>
                <w:szCs w:val="21"/>
                <w:u w:val="none"/>
                <w:lang w:eastAsia="zh-CN"/>
              </w:rPr>
              <w:br w:type="textWrapping"/>
            </w:r>
            <w:r>
              <w:rPr>
                <w:rFonts w:hint="eastAsia" w:ascii="宋体" w:hAnsi="宋体" w:eastAsia="宋体" w:cs="宋体"/>
                <w:b w:val="0"/>
                <w:bCs w:val="0"/>
                <w:i w:val="0"/>
                <w:sz w:val="21"/>
                <w:szCs w:val="21"/>
                <w:u w:val="none"/>
                <w:lang w:eastAsia="zh-CN"/>
              </w:rPr>
              <w:t>需要纳税调整增加。</w:t>
            </w:r>
          </w:p>
        </w:tc>
      </w:tr>
      <w:tr w14:paraId="02E4E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noWrap w:val="0"/>
            <w:vAlign w:val="top"/>
          </w:tcPr>
          <w:p w14:paraId="5602EDA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（7）</w:t>
            </w:r>
          </w:p>
          <w:p w14:paraId="5949765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应付</w:t>
            </w:r>
          </w:p>
          <w:p w14:paraId="2DCBA11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职工</w:t>
            </w:r>
          </w:p>
          <w:p w14:paraId="651418D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薪酬</w:t>
            </w:r>
          </w:p>
        </w:tc>
        <w:tc>
          <w:tcPr>
            <w:tcW w:w="1454" w:type="pct"/>
            <w:noWrap w:val="0"/>
            <w:vAlign w:val="top"/>
          </w:tcPr>
          <w:p w14:paraId="1A1BD18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color w:val="FF0000"/>
                <w:sz w:val="21"/>
                <w:szCs w:val="21"/>
                <w:u w:val="none"/>
                <w:lang w:eastAsia="zh-CN"/>
              </w:rPr>
            </w:pPr>
          </w:p>
          <w:p w14:paraId="1AE4C03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i w:val="0"/>
                <w:sz w:val="21"/>
                <w:szCs w:val="21"/>
                <w:u w:val="none"/>
                <w:lang w:eastAsia="zh-CN"/>
              </w:rPr>
            </w:pPr>
            <w:r>
              <w:rPr>
                <w:rFonts w:hint="eastAsia" w:ascii="宋体" w:hAnsi="宋体" w:eastAsia="宋体" w:cs="宋体"/>
                <w:b w:val="0"/>
                <w:bCs w:val="0"/>
                <w:i w:val="0"/>
                <w:color w:val="FF0000"/>
                <w:sz w:val="21"/>
                <w:szCs w:val="21"/>
                <w:u w:val="none"/>
                <w:lang w:eastAsia="zh-CN"/>
              </w:rPr>
              <w:t>【例】</w:t>
            </w:r>
            <w:r>
              <w:rPr>
                <w:rFonts w:hint="eastAsia" w:ascii="宋体" w:hAnsi="宋体" w:eastAsia="宋体" w:cs="宋体"/>
                <w:b w:val="0"/>
                <w:bCs w:val="0"/>
                <w:i w:val="0"/>
                <w:sz w:val="21"/>
                <w:szCs w:val="21"/>
                <w:u w:val="none"/>
                <w:lang w:eastAsia="zh-CN"/>
              </w:rPr>
              <w:t xml:space="preserve">职工薪酬100万元；允许今年税前扣除80万元。 </w:t>
            </w:r>
          </w:p>
        </w:tc>
        <w:tc>
          <w:tcPr>
            <w:tcW w:w="3109" w:type="pct"/>
            <w:noWrap w:val="0"/>
            <w:vAlign w:val="top"/>
          </w:tcPr>
          <w:p w14:paraId="70393CD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 xml:space="preserve">负债账面价值＝100万元 </w:t>
            </w:r>
            <w:r>
              <w:rPr>
                <w:rFonts w:hint="eastAsia" w:ascii="宋体" w:hAnsi="宋体" w:eastAsia="宋体" w:cs="宋体"/>
                <w:b w:val="0"/>
                <w:bCs w:val="0"/>
                <w:i w:val="0"/>
                <w:sz w:val="21"/>
                <w:szCs w:val="21"/>
                <w:u w:val="none"/>
                <w:lang w:eastAsia="zh-CN"/>
              </w:rPr>
              <w:br w:type="textWrapping"/>
            </w:r>
            <w:r>
              <w:rPr>
                <w:rFonts w:hint="eastAsia" w:ascii="宋体" w:hAnsi="宋体" w:eastAsia="宋体" w:cs="宋体"/>
                <w:b w:val="0"/>
                <w:bCs w:val="0"/>
                <w:i w:val="0"/>
                <w:sz w:val="21"/>
                <w:szCs w:val="21"/>
                <w:u w:val="none"/>
                <w:lang w:eastAsia="zh-CN"/>
              </w:rPr>
              <w:t>负债计税基础＝100－0＝100</w:t>
            </w:r>
          </w:p>
          <w:p w14:paraId="4007AE9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 xml:space="preserve">（万元） </w:t>
            </w:r>
          </w:p>
        </w:tc>
      </w:tr>
      <w:tr w14:paraId="67114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noWrap w:val="0"/>
            <w:vAlign w:val="top"/>
          </w:tcPr>
          <w:p w14:paraId="28FEDA0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（8）</w:t>
            </w:r>
          </w:p>
          <w:p w14:paraId="4F36318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其他</w:t>
            </w:r>
          </w:p>
          <w:p w14:paraId="1FFDF37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负债</w:t>
            </w:r>
          </w:p>
        </w:tc>
        <w:tc>
          <w:tcPr>
            <w:tcW w:w="1454" w:type="pct"/>
            <w:noWrap w:val="0"/>
            <w:vAlign w:val="top"/>
          </w:tcPr>
          <w:p w14:paraId="03D3F1A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i w:val="0"/>
                <w:sz w:val="21"/>
                <w:szCs w:val="21"/>
                <w:u w:val="none"/>
                <w:lang w:eastAsia="zh-CN"/>
              </w:rPr>
            </w:pPr>
            <w:r>
              <w:rPr>
                <w:rFonts w:hint="eastAsia" w:ascii="宋体" w:hAnsi="宋体" w:eastAsia="宋体" w:cs="宋体"/>
                <w:b w:val="0"/>
                <w:bCs w:val="0"/>
                <w:i w:val="0"/>
                <w:color w:val="FF0000"/>
                <w:sz w:val="21"/>
                <w:szCs w:val="21"/>
                <w:u w:val="none"/>
                <w:lang w:eastAsia="zh-CN"/>
              </w:rPr>
              <w:t>【例】</w:t>
            </w:r>
            <w:r>
              <w:rPr>
                <w:rFonts w:hint="eastAsia" w:ascii="宋体" w:hAnsi="宋体" w:eastAsia="宋体" w:cs="宋体"/>
                <w:b w:val="0"/>
                <w:bCs w:val="0"/>
                <w:i w:val="0"/>
                <w:sz w:val="21"/>
                <w:szCs w:val="21"/>
                <w:u w:val="none"/>
                <w:lang w:eastAsia="zh-CN"/>
              </w:rPr>
              <w:t xml:space="preserve">企业应交的罚款和滞纳金等10万元。 </w:t>
            </w:r>
          </w:p>
        </w:tc>
        <w:tc>
          <w:tcPr>
            <w:tcW w:w="3109" w:type="pct"/>
            <w:noWrap w:val="0"/>
            <w:vAlign w:val="top"/>
          </w:tcPr>
          <w:p w14:paraId="26D5A66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 xml:space="preserve">负债账面价值＝10万元 </w:t>
            </w:r>
            <w:r>
              <w:rPr>
                <w:rFonts w:hint="eastAsia" w:ascii="宋体" w:hAnsi="宋体" w:eastAsia="宋体" w:cs="宋体"/>
                <w:b w:val="0"/>
                <w:bCs w:val="0"/>
                <w:i w:val="0"/>
                <w:sz w:val="21"/>
                <w:szCs w:val="21"/>
                <w:u w:val="none"/>
                <w:lang w:eastAsia="zh-CN"/>
              </w:rPr>
              <w:br w:type="textWrapping"/>
            </w:r>
            <w:r>
              <w:rPr>
                <w:rFonts w:hint="eastAsia" w:ascii="宋体" w:hAnsi="宋体" w:eastAsia="宋体" w:cs="宋体"/>
                <w:b w:val="0"/>
                <w:bCs w:val="0"/>
                <w:i w:val="0"/>
                <w:sz w:val="21"/>
                <w:szCs w:val="21"/>
                <w:u w:val="none"/>
                <w:lang w:eastAsia="zh-CN"/>
              </w:rPr>
              <w:t xml:space="preserve">负债计税基础＝10－0＝10（万元） </w:t>
            </w:r>
          </w:p>
        </w:tc>
      </w:tr>
      <w:tr w14:paraId="607E4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noWrap w:val="0"/>
            <w:vAlign w:val="top"/>
          </w:tcPr>
          <w:p w14:paraId="457EEF1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sz w:val="21"/>
                <w:szCs w:val="21"/>
                <w:u w:val="none"/>
                <w:lang w:eastAsia="zh-CN"/>
              </w:rPr>
            </w:pPr>
          </w:p>
          <w:p w14:paraId="75E62F6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sz w:val="21"/>
                <w:szCs w:val="21"/>
                <w:u w:val="none"/>
                <w:lang w:eastAsia="zh-CN"/>
              </w:rPr>
            </w:pPr>
          </w:p>
          <w:p w14:paraId="09E7E42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sz w:val="21"/>
                <w:szCs w:val="21"/>
                <w:u w:val="none"/>
                <w:lang w:eastAsia="zh-CN"/>
              </w:rPr>
            </w:pPr>
          </w:p>
          <w:p w14:paraId="3CC615A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（9）</w:t>
            </w:r>
          </w:p>
          <w:p w14:paraId="0AD16CE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广告费</w:t>
            </w:r>
          </w:p>
        </w:tc>
        <w:tc>
          <w:tcPr>
            <w:tcW w:w="1454" w:type="pct"/>
            <w:noWrap w:val="0"/>
            <w:vAlign w:val="top"/>
          </w:tcPr>
          <w:p w14:paraId="51804E1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i w:val="0"/>
                <w:sz w:val="21"/>
                <w:szCs w:val="21"/>
                <w:u w:val="none"/>
                <w:lang w:eastAsia="zh-CN"/>
              </w:rPr>
            </w:pPr>
            <w:r>
              <w:rPr>
                <w:rFonts w:hint="eastAsia" w:ascii="宋体" w:hAnsi="宋体" w:eastAsia="宋体" w:cs="宋体"/>
                <w:b w:val="0"/>
                <w:bCs w:val="0"/>
                <w:i w:val="0"/>
                <w:color w:val="FF0000"/>
                <w:sz w:val="21"/>
                <w:szCs w:val="21"/>
                <w:u w:val="none"/>
                <w:lang w:eastAsia="zh-CN"/>
              </w:rPr>
              <w:t>【例】</w:t>
            </w:r>
            <w:r>
              <w:rPr>
                <w:rFonts w:hint="eastAsia" w:ascii="宋体" w:hAnsi="宋体" w:eastAsia="宋体" w:cs="宋体"/>
                <w:b w:val="0"/>
                <w:bCs w:val="0"/>
                <w:i w:val="0"/>
                <w:sz w:val="21"/>
                <w:szCs w:val="21"/>
                <w:u w:val="none"/>
                <w:lang w:eastAsia="zh-CN"/>
              </w:rPr>
              <w:t xml:space="preserve">发生170万元广告费支出，发生时已作为销售费用计入当期损益。税法规定，该类支出不超过当年销售收入15%的部分允许当期税前扣除，超过部分允许向以后年度结转税前扣除。 销售收入1 000万元。 </w:t>
            </w:r>
          </w:p>
        </w:tc>
        <w:tc>
          <w:tcPr>
            <w:tcW w:w="3109" w:type="pct"/>
            <w:noWrap w:val="0"/>
            <w:vAlign w:val="top"/>
          </w:tcPr>
          <w:p w14:paraId="75C346D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 xml:space="preserve">假定一：款项已经支付： </w:t>
            </w:r>
            <w:r>
              <w:rPr>
                <w:rFonts w:hint="eastAsia" w:ascii="宋体" w:hAnsi="宋体" w:eastAsia="宋体" w:cs="宋体"/>
                <w:b w:val="0"/>
                <w:bCs w:val="0"/>
                <w:i w:val="0"/>
                <w:sz w:val="21"/>
                <w:szCs w:val="21"/>
                <w:u w:val="none"/>
                <w:lang w:eastAsia="zh-CN"/>
              </w:rPr>
              <w:br w:type="textWrapping"/>
            </w:r>
            <w:r>
              <w:rPr>
                <w:rFonts w:hint="eastAsia" w:ascii="宋体" w:hAnsi="宋体" w:eastAsia="宋体" w:cs="宋体"/>
                <w:b w:val="0"/>
                <w:bCs w:val="0"/>
                <w:i w:val="0"/>
                <w:sz w:val="21"/>
                <w:szCs w:val="21"/>
                <w:u w:val="none"/>
                <w:lang w:eastAsia="zh-CN"/>
              </w:rPr>
              <w:t>资产账面价值=0</w:t>
            </w:r>
            <w:r>
              <w:rPr>
                <w:rFonts w:hint="eastAsia" w:ascii="宋体" w:hAnsi="宋体" w:eastAsia="宋体" w:cs="宋体"/>
                <w:b w:val="0"/>
                <w:bCs w:val="0"/>
                <w:i w:val="0"/>
                <w:sz w:val="21"/>
                <w:szCs w:val="21"/>
                <w:u w:val="none"/>
                <w:lang w:eastAsia="zh-CN"/>
              </w:rPr>
              <w:br w:type="textWrapping"/>
            </w:r>
            <w:r>
              <w:rPr>
                <w:rFonts w:hint="eastAsia" w:ascii="宋体" w:hAnsi="宋体" w:eastAsia="宋体" w:cs="宋体"/>
                <w:b w:val="0"/>
                <w:bCs w:val="0"/>
                <w:i w:val="0"/>
                <w:sz w:val="21"/>
                <w:szCs w:val="21"/>
                <w:u w:val="none"/>
                <w:lang w:eastAsia="zh-CN"/>
              </w:rPr>
              <w:t>资产计税基础=170-150=20</w:t>
            </w:r>
            <w:r>
              <w:rPr>
                <w:rFonts w:hint="eastAsia" w:ascii="宋体" w:hAnsi="宋体" w:eastAsia="宋体" w:cs="宋体"/>
                <w:b w:val="0"/>
                <w:bCs w:val="0"/>
                <w:i w:val="0"/>
                <w:sz w:val="21"/>
                <w:szCs w:val="21"/>
                <w:u w:val="none"/>
                <w:lang w:eastAsia="zh-CN"/>
              </w:rPr>
              <w:br w:type="textWrapping"/>
            </w:r>
            <w:r>
              <w:rPr>
                <w:rFonts w:hint="eastAsia" w:ascii="宋体" w:hAnsi="宋体" w:eastAsia="宋体" w:cs="宋体"/>
                <w:b w:val="0"/>
                <w:bCs w:val="0"/>
                <w:i w:val="0"/>
                <w:sz w:val="21"/>
                <w:szCs w:val="21"/>
                <w:u w:val="none"/>
                <w:lang w:eastAsia="zh-CN"/>
              </w:rPr>
              <w:t>可抵扣暂时性差异=20</w:t>
            </w:r>
            <w:r>
              <w:rPr>
                <w:rFonts w:hint="eastAsia" w:ascii="宋体" w:hAnsi="宋体" w:eastAsia="宋体" w:cs="宋体"/>
                <w:b w:val="0"/>
                <w:bCs w:val="0"/>
                <w:i w:val="0"/>
                <w:sz w:val="21"/>
                <w:szCs w:val="21"/>
                <w:u w:val="none"/>
                <w:lang w:eastAsia="zh-CN"/>
              </w:rPr>
              <w:br w:type="textWrapping"/>
            </w:r>
            <w:r>
              <w:rPr>
                <w:rFonts w:hint="eastAsia" w:ascii="宋体" w:hAnsi="宋体" w:eastAsia="宋体" w:cs="宋体"/>
                <w:b w:val="0"/>
                <w:bCs w:val="0"/>
                <w:i w:val="0"/>
                <w:sz w:val="21"/>
                <w:szCs w:val="21"/>
                <w:u w:val="none"/>
                <w:lang w:eastAsia="zh-CN"/>
              </w:rPr>
              <w:t xml:space="preserve">  </w:t>
            </w:r>
            <w:r>
              <w:rPr>
                <w:rFonts w:hint="eastAsia" w:ascii="宋体" w:hAnsi="宋体" w:eastAsia="宋体" w:cs="宋体"/>
                <w:b w:val="0"/>
                <w:bCs w:val="0"/>
                <w:i w:val="0"/>
                <w:sz w:val="21"/>
                <w:szCs w:val="21"/>
                <w:u w:val="none"/>
                <w:lang w:eastAsia="zh-CN"/>
              </w:rPr>
              <w:br w:type="textWrapping"/>
            </w:r>
            <w:r>
              <w:rPr>
                <w:rFonts w:hint="eastAsia" w:ascii="宋体" w:hAnsi="宋体" w:eastAsia="宋体" w:cs="宋体"/>
                <w:b w:val="0"/>
                <w:bCs w:val="0"/>
                <w:i w:val="0"/>
                <w:sz w:val="21"/>
                <w:szCs w:val="21"/>
                <w:u w:val="none"/>
                <w:lang w:eastAsia="zh-CN"/>
              </w:rPr>
              <w:t xml:space="preserve">假定二：款项未支付： </w:t>
            </w:r>
            <w:r>
              <w:rPr>
                <w:rFonts w:hint="eastAsia" w:ascii="宋体" w:hAnsi="宋体" w:eastAsia="宋体" w:cs="宋体"/>
                <w:b w:val="0"/>
                <w:bCs w:val="0"/>
                <w:i w:val="0"/>
                <w:sz w:val="21"/>
                <w:szCs w:val="21"/>
                <w:u w:val="none"/>
                <w:lang w:eastAsia="zh-CN"/>
              </w:rPr>
              <w:br w:type="textWrapping"/>
            </w:r>
            <w:r>
              <w:rPr>
                <w:rFonts w:hint="eastAsia" w:ascii="宋体" w:hAnsi="宋体" w:eastAsia="宋体" w:cs="宋体"/>
                <w:b w:val="0"/>
                <w:bCs w:val="0"/>
                <w:i w:val="0"/>
                <w:sz w:val="21"/>
                <w:szCs w:val="21"/>
                <w:u w:val="none"/>
                <w:lang w:eastAsia="zh-CN"/>
              </w:rPr>
              <w:t>负债账面价值=170</w:t>
            </w:r>
            <w:r>
              <w:rPr>
                <w:rFonts w:hint="eastAsia" w:ascii="宋体" w:hAnsi="宋体" w:eastAsia="宋体" w:cs="宋体"/>
                <w:b w:val="0"/>
                <w:bCs w:val="0"/>
                <w:i w:val="0"/>
                <w:sz w:val="21"/>
                <w:szCs w:val="21"/>
                <w:u w:val="none"/>
                <w:lang w:eastAsia="zh-CN"/>
              </w:rPr>
              <w:br w:type="textWrapping"/>
            </w:r>
            <w:r>
              <w:rPr>
                <w:rFonts w:hint="eastAsia" w:ascii="宋体" w:hAnsi="宋体" w:eastAsia="宋体" w:cs="宋体"/>
                <w:b w:val="0"/>
                <w:bCs w:val="0"/>
                <w:i w:val="0"/>
                <w:sz w:val="21"/>
                <w:szCs w:val="21"/>
                <w:u w:val="none"/>
                <w:lang w:eastAsia="zh-CN"/>
              </w:rPr>
              <w:t>负债计税基础=170-20=150</w:t>
            </w:r>
            <w:r>
              <w:rPr>
                <w:rFonts w:hint="eastAsia" w:ascii="宋体" w:hAnsi="宋体" w:eastAsia="宋体" w:cs="宋体"/>
                <w:b w:val="0"/>
                <w:bCs w:val="0"/>
                <w:i w:val="0"/>
                <w:sz w:val="21"/>
                <w:szCs w:val="21"/>
                <w:u w:val="none"/>
                <w:lang w:eastAsia="zh-CN"/>
              </w:rPr>
              <w:br w:type="textWrapping"/>
            </w:r>
            <w:r>
              <w:rPr>
                <w:rFonts w:hint="eastAsia" w:ascii="宋体" w:hAnsi="宋体" w:eastAsia="宋体" w:cs="宋体"/>
                <w:b w:val="0"/>
                <w:bCs w:val="0"/>
                <w:i w:val="0"/>
                <w:sz w:val="21"/>
                <w:szCs w:val="21"/>
                <w:u w:val="none"/>
                <w:lang w:eastAsia="zh-CN"/>
              </w:rPr>
              <w:t>可抵扣暂时性差异=20</w:t>
            </w:r>
          </w:p>
        </w:tc>
      </w:tr>
      <w:tr w14:paraId="4296D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noWrap w:val="0"/>
            <w:vAlign w:val="top"/>
          </w:tcPr>
          <w:p w14:paraId="5740F33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（10）</w:t>
            </w:r>
          </w:p>
          <w:p w14:paraId="402DA14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未弥补</w:t>
            </w:r>
          </w:p>
          <w:p w14:paraId="731B7AF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亏损</w:t>
            </w:r>
          </w:p>
        </w:tc>
        <w:tc>
          <w:tcPr>
            <w:tcW w:w="1454" w:type="pct"/>
            <w:noWrap w:val="0"/>
            <w:vAlign w:val="top"/>
          </w:tcPr>
          <w:p w14:paraId="69D1617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　</w:t>
            </w:r>
          </w:p>
        </w:tc>
        <w:tc>
          <w:tcPr>
            <w:tcW w:w="3109" w:type="pct"/>
            <w:noWrap w:val="0"/>
            <w:vAlign w:val="top"/>
          </w:tcPr>
          <w:p w14:paraId="57C8378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产生期间确认递延所得税资产，亏损得以弥补的期间转回递延所得税资产。</w:t>
            </w:r>
          </w:p>
        </w:tc>
      </w:tr>
    </w:tbl>
    <w:p w14:paraId="5F5E491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 xml:space="preserve">注意税率变动的处理： </w:t>
      </w:r>
    </w:p>
    <w:p w14:paraId="257017F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r>
        <w:rPr>
          <w:rFonts w:hint="eastAsia" w:ascii="宋体" w:hAnsi="宋体" w:eastAsia="宋体" w:cs="宋体"/>
          <w:b w:val="0"/>
          <w:bCs w:val="0"/>
          <w:i w:val="0"/>
          <w:color w:val="FF0000"/>
          <w:sz w:val="21"/>
          <w:szCs w:val="21"/>
          <w:u w:val="none"/>
          <w:lang w:eastAsia="zh-CN"/>
        </w:rPr>
        <w:t>【例】</w:t>
      </w:r>
      <w:r>
        <w:rPr>
          <w:rFonts w:hint="eastAsia" w:ascii="宋体" w:hAnsi="宋体" w:eastAsia="宋体" w:cs="宋体"/>
          <w:b w:val="0"/>
          <w:bCs w:val="0"/>
          <w:i w:val="0"/>
          <w:sz w:val="21"/>
          <w:szCs w:val="21"/>
          <w:u w:val="none"/>
          <w:lang w:eastAsia="zh-CN"/>
        </w:rPr>
        <w:t>2019年初：递延所得税资产科目余额25万元</w:t>
      </w:r>
      <w:r>
        <w:rPr>
          <w:rFonts w:hint="eastAsia" w:ascii="宋体" w:hAnsi="宋体" w:eastAsia="宋体" w:cs="宋体"/>
          <w:b w:val="0"/>
          <w:bCs w:val="0"/>
          <w:i w:val="0"/>
          <w:sz w:val="21"/>
          <w:szCs w:val="21"/>
          <w:u w:val="none"/>
          <w:lang w:eastAsia="zh-CN"/>
        </w:rPr>
        <w:br w:type="textWrapping"/>
      </w:r>
      <w:r>
        <w:rPr>
          <w:rFonts w:hint="eastAsia" w:ascii="宋体" w:hAnsi="宋体" w:eastAsia="宋体" w:cs="宋体"/>
          <w:b w:val="0"/>
          <w:bCs w:val="0"/>
          <w:i w:val="0"/>
          <w:sz w:val="21"/>
          <w:szCs w:val="21"/>
          <w:u w:val="none"/>
          <w:lang w:eastAsia="zh-CN"/>
        </w:rPr>
        <w:t xml:space="preserve">（为计提坏账准备产生的差异）； </w:t>
      </w:r>
    </w:p>
    <w:p w14:paraId="0D47401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 xml:space="preserve">2019年坏账准备未发生变动，2019年计提存货跌价准备200万元； </w:t>
      </w:r>
    </w:p>
    <w:p w14:paraId="270678A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r>
        <w:drawing>
          <wp:anchor distT="0" distB="0" distL="114300" distR="114300" simplePos="0" relativeHeight="251660288" behindDoc="1" locked="0" layoutInCell="1" allowOverlap="1">
            <wp:simplePos x="0" y="0"/>
            <wp:positionH relativeFrom="column">
              <wp:posOffset>332105</wp:posOffset>
            </wp:positionH>
            <wp:positionV relativeFrom="paragraph">
              <wp:posOffset>309245</wp:posOffset>
            </wp:positionV>
            <wp:extent cx="5455920" cy="1150620"/>
            <wp:effectExtent l="0" t="0" r="11430" b="11430"/>
            <wp:wrapTight wrapText="bothSides">
              <wp:wrapPolygon>
                <wp:start x="0" y="0"/>
                <wp:lineTo x="0" y="21099"/>
                <wp:lineTo x="21494" y="21099"/>
                <wp:lineTo x="21494" y="0"/>
                <wp:lineTo x="0" y="0"/>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a:stretch>
                      <a:fillRect/>
                    </a:stretch>
                  </pic:blipFill>
                  <pic:spPr>
                    <a:xfrm>
                      <a:off x="0" y="0"/>
                      <a:ext cx="5455920" cy="1150620"/>
                    </a:xfrm>
                    <a:prstGeom prst="rect">
                      <a:avLst/>
                    </a:prstGeom>
                    <a:noFill/>
                    <a:ln>
                      <a:noFill/>
                    </a:ln>
                  </pic:spPr>
                </pic:pic>
              </a:graphicData>
            </a:graphic>
          </wp:anchor>
        </w:drawing>
      </w:r>
      <w:r>
        <w:rPr>
          <w:rFonts w:hint="eastAsia" w:ascii="宋体" w:hAnsi="宋体" w:eastAsia="宋体" w:cs="宋体"/>
          <w:b w:val="0"/>
          <w:bCs w:val="0"/>
          <w:i w:val="0"/>
          <w:sz w:val="21"/>
          <w:szCs w:val="21"/>
          <w:u w:val="none"/>
          <w:lang w:eastAsia="zh-CN"/>
        </w:rPr>
        <w:t xml:space="preserve">2019年年末预计2020年开始所得税率由25%变更为15% </w:t>
      </w:r>
      <w:r>
        <w:rPr>
          <w:rFonts w:hint="eastAsia" w:ascii="宋体" w:hAnsi="宋体" w:eastAsia="宋体" w:cs="宋体"/>
          <w:b w:val="0"/>
          <w:bCs w:val="0"/>
          <w:i w:val="0"/>
          <w:sz w:val="21"/>
          <w:szCs w:val="21"/>
          <w:u w:val="none"/>
          <w:lang w:eastAsia="zh-CN"/>
        </w:rPr>
        <w:br w:type="textWrapping"/>
      </w:r>
    </w:p>
    <w:p w14:paraId="16A0D21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p>
    <w:p w14:paraId="6A871E2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p>
    <w:p w14:paraId="258A914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p>
    <w:p w14:paraId="105F9B6F">
      <w:pPr>
        <w:pStyle w:val="2"/>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firstLine="0"/>
        <w:textAlignment w:val="auto"/>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第十八章  外币折算</w:t>
      </w:r>
    </w:p>
    <w:p w14:paraId="2F03DCD3">
      <w:pPr>
        <w:pStyle w:val="3"/>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firstLine="0"/>
        <w:textAlignment w:val="auto"/>
        <w:rPr>
          <w:rFonts w:hint="eastAsia" w:ascii="宋体" w:hAnsi="宋体" w:eastAsia="宋体" w:cs="宋体"/>
          <w:b w:val="0"/>
          <w:bCs/>
          <w:color w:val="000000" w:themeColor="text1"/>
          <w:sz w:val="21"/>
          <w:szCs w:val="21"/>
          <w14:textFill>
            <w14:solidFill>
              <w14:schemeClr w14:val="tx1"/>
            </w14:solidFill>
          </w14:textFill>
        </w:rPr>
      </w:pPr>
    </w:p>
    <w:p w14:paraId="3AC693A1">
      <w:pPr>
        <w:pStyle w:val="3"/>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firstLine="0"/>
        <w:textAlignment w:val="auto"/>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一、外币交易日、资产负债表日及结算日的会计处理</w:t>
      </w:r>
      <w:r>
        <w:rPr>
          <w:rFonts w:hint="eastAsia" w:ascii="宋体" w:hAnsi="宋体" w:eastAsia="宋体" w:cs="宋体"/>
          <w:b w:val="0"/>
          <w:bCs/>
          <w:color w:val="000000" w:themeColor="text1"/>
          <w:sz w:val="21"/>
          <w:szCs w:val="21"/>
          <w:lang w:val="en-US" w:eastAsia="zh-CN"/>
          <w14:textFill>
            <w14:solidFill>
              <w14:schemeClr w14:val="tx1"/>
            </w14:solidFill>
          </w14:textFill>
        </w:rPr>
        <w:br w:type="textWrapping"/>
      </w:r>
      <w:r>
        <w:rPr>
          <w:rFonts w:hint="eastAsia" w:ascii="宋体" w:hAnsi="宋体" w:eastAsia="宋体" w:cs="宋体"/>
          <w:b w:val="0"/>
          <w:bCs/>
          <w:color w:val="000000" w:themeColor="text1"/>
          <w:sz w:val="21"/>
          <w:szCs w:val="21"/>
          <w14:textFill>
            <w14:solidFill>
              <w14:schemeClr w14:val="tx1"/>
            </w14:solidFill>
          </w14:textFill>
        </w:rPr>
        <w:t>（★★★）</w:t>
      </w:r>
    </w:p>
    <w:p w14:paraId="3AF7FD63">
      <w:pPr>
        <w:pStyle w:val="3"/>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firstLine="0"/>
        <w:textAlignment w:val="auto"/>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1</w:t>
      </w:r>
      <w:r>
        <w:rPr>
          <w:rFonts w:hint="eastAsia" w:ascii="宋体" w:hAnsi="宋体" w:eastAsia="宋体" w:cs="宋体"/>
          <w:b w:val="0"/>
          <w:bCs/>
          <w:color w:val="000000" w:themeColor="text1"/>
          <w:sz w:val="21"/>
          <w:szCs w:val="21"/>
          <w14:textFill>
            <w14:solidFill>
              <w14:schemeClr w14:val="tx1"/>
            </w14:solidFill>
          </w14:textFill>
        </w:rPr>
        <w:t>、对于发生的外币交易，应当将外币金额折算为记账本位币金额。</w:t>
      </w:r>
    </w:p>
    <w:p w14:paraId="3490B20B">
      <w:pPr>
        <w:pStyle w:val="2"/>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firstLine="0"/>
        <w:textAlignment w:val="auto"/>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2</w:t>
      </w:r>
      <w:r>
        <w:rPr>
          <w:rFonts w:hint="eastAsia" w:ascii="宋体" w:hAnsi="宋体" w:eastAsia="宋体" w:cs="宋体"/>
          <w:b w:val="0"/>
          <w:bCs/>
          <w:color w:val="000000" w:themeColor="text1"/>
          <w:sz w:val="21"/>
          <w:szCs w:val="21"/>
          <w14:textFill>
            <w14:solidFill>
              <w14:schemeClr w14:val="tx1"/>
            </w14:solidFill>
          </w14:textFill>
        </w:rPr>
        <w:t xml:space="preserve">、外币交易应当在初始确认时，采用交易发生日的即期汇率将外币金额折算为记账本位币金额；也可以采用近似的汇率折算。 </w:t>
      </w:r>
    </w:p>
    <w:p w14:paraId="57856F85">
      <w:pPr>
        <w:pStyle w:val="2"/>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firstLine="0"/>
        <w:textAlignment w:val="auto"/>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kern w:val="24"/>
          <w:sz w:val="21"/>
          <w:szCs w:val="21"/>
          <w:lang w:val="en-US" w:eastAsia="zh-CN"/>
          <w14:textFill>
            <w14:solidFill>
              <w14:schemeClr w14:val="tx1"/>
            </w14:solidFill>
          </w14:textFill>
        </w:rPr>
        <w:t>3</w:t>
      </w:r>
      <w:r>
        <w:rPr>
          <w:rFonts w:hint="eastAsia" w:ascii="宋体" w:hAnsi="宋体" w:eastAsia="宋体" w:cs="宋体"/>
          <w:b w:val="0"/>
          <w:bCs/>
          <w:color w:val="000000" w:themeColor="text1"/>
          <w:kern w:val="24"/>
          <w:sz w:val="21"/>
          <w:szCs w:val="21"/>
          <w14:textFill>
            <w14:solidFill>
              <w14:schemeClr w14:val="tx1"/>
            </w14:solidFill>
          </w14:textFill>
        </w:rPr>
        <w:t xml:space="preserve">、企业收到投资者以外币投入的资本，无论是否有合同约定汇率，均不得采用合同约定汇率和即期汇率的近似汇率折算，而是采用交易日即期汇率折算。这样，外币投入资本与相应的货币性项目的记账本位币金额相等，不产生外币资本折算差额。 </w:t>
      </w:r>
    </w:p>
    <w:p w14:paraId="197F9AE7">
      <w:pPr>
        <w:pStyle w:val="3"/>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firstLine="0"/>
        <w:textAlignment w:val="auto"/>
        <w:rPr>
          <w:rFonts w:hint="eastAsia" w:ascii="宋体" w:hAnsi="宋体" w:eastAsia="宋体" w:cs="宋体"/>
          <w:b w:val="0"/>
          <w:bCs/>
          <w:color w:val="000000" w:themeColor="text1"/>
          <w:kern w:val="24"/>
          <w:sz w:val="21"/>
          <w:szCs w:val="21"/>
          <w:lang w:val="en-US" w:eastAsia="zh-CN"/>
          <w14:textFill>
            <w14:solidFill>
              <w14:schemeClr w14:val="tx1"/>
            </w14:solidFill>
          </w14:textFill>
        </w:rPr>
      </w:pPr>
      <w:r>
        <w:rPr>
          <w:rFonts w:hint="eastAsia" w:ascii="宋体" w:hAnsi="宋体" w:eastAsia="宋体" w:cs="宋体"/>
          <w:b w:val="0"/>
          <w:bCs/>
          <w:color w:val="000000" w:themeColor="text1"/>
          <w:kern w:val="24"/>
          <w:sz w:val="21"/>
          <w:szCs w:val="21"/>
          <w:lang w:val="en-US" w:eastAsia="zh-CN"/>
          <w14:textFill>
            <w14:solidFill>
              <w14:schemeClr w14:val="tx1"/>
            </w14:solidFill>
          </w14:textFill>
        </w:rPr>
        <w:t>4</w:t>
      </w:r>
      <w:r>
        <w:rPr>
          <w:rFonts w:hint="eastAsia" w:ascii="宋体" w:hAnsi="宋体" w:eastAsia="宋体" w:cs="宋体"/>
          <w:b w:val="0"/>
          <w:bCs/>
          <w:color w:val="000000" w:themeColor="text1"/>
          <w:kern w:val="24"/>
          <w:sz w:val="21"/>
          <w:szCs w:val="21"/>
          <w14:textFill>
            <w14:solidFill>
              <w14:schemeClr w14:val="tx1"/>
            </w14:solidFill>
          </w14:textFill>
        </w:rPr>
        <w:t>、资产负债表日及结算日</w:t>
      </w:r>
    </w:p>
    <w:p w14:paraId="3AAAB89A">
      <w:pPr>
        <w:pStyle w:val="3"/>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firstLine="0"/>
        <w:textAlignment w:val="auto"/>
        <w:rPr>
          <w:rFonts w:hint="eastAsia" w:ascii="宋体" w:hAnsi="宋体" w:eastAsia="宋体" w:cs="宋体"/>
          <w:b w:val="0"/>
          <w:bCs/>
          <w:color w:val="000000" w:themeColor="text1"/>
          <w:kern w:val="24"/>
          <w:sz w:val="21"/>
          <w:szCs w:val="21"/>
          <w:lang w:val="en-US" w:eastAsia="zh-CN"/>
          <w14:textFill>
            <w14:solidFill>
              <w14:schemeClr w14:val="tx1"/>
            </w14:solidFill>
          </w14:textFill>
        </w:rPr>
      </w:pPr>
      <w:r>
        <w:rPr>
          <w:rFonts w:hint="eastAsia" w:ascii="宋体" w:hAnsi="宋体" w:eastAsia="宋体" w:cs="宋体"/>
          <w:b w:val="0"/>
          <w:bCs/>
          <w:color w:val="000000" w:themeColor="text1"/>
          <w:kern w:val="24"/>
          <w:sz w:val="21"/>
          <w:szCs w:val="21"/>
          <w14:textFill>
            <w14:solidFill>
              <w14:schemeClr w14:val="tx1"/>
            </w14:solidFill>
          </w14:textFill>
        </w:rPr>
        <w:t>汇兑差额＝（外币期初余额＋本期外币增加额－本期外币减少额）</w:t>
      </w:r>
      <w:r>
        <w:rPr>
          <w:rFonts w:hint="eastAsia" w:ascii="宋体" w:hAnsi="宋体" w:eastAsia="宋体" w:cs="宋体"/>
          <w:b w:val="0"/>
          <w:bCs/>
          <w:color w:val="000000" w:themeColor="text1"/>
          <w:kern w:val="24"/>
          <w:sz w:val="21"/>
          <w:szCs w:val="21"/>
          <w:lang w:val="en-US" w:eastAsia="zh-CN"/>
          <w14:textFill>
            <w14:solidFill>
              <w14:schemeClr w14:val="tx1"/>
            </w14:solidFill>
          </w14:textFill>
        </w:rPr>
        <w:t>×</w:t>
      </w:r>
      <w:r>
        <w:rPr>
          <w:rFonts w:hint="eastAsia" w:ascii="宋体" w:hAnsi="宋体" w:eastAsia="宋体" w:cs="宋体"/>
          <w:b w:val="0"/>
          <w:bCs/>
          <w:color w:val="000000" w:themeColor="text1"/>
          <w:kern w:val="24"/>
          <w:sz w:val="21"/>
          <w:szCs w:val="21"/>
          <w14:textFill>
            <w14:solidFill>
              <w14:schemeClr w14:val="tx1"/>
            </w14:solidFill>
          </w14:textFill>
        </w:rPr>
        <w:t>期末汇率－（人民币期初余额＋本期人民币增加额－本期人民币减少额）</w:t>
      </w:r>
    </w:p>
    <w:p w14:paraId="13336826">
      <w:pPr>
        <w:pStyle w:val="3"/>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firstLine="0"/>
        <w:textAlignment w:val="auto"/>
        <w:rPr>
          <w:rFonts w:hint="eastAsia" w:ascii="宋体" w:hAnsi="宋体" w:eastAsia="宋体" w:cs="宋体"/>
          <w:b w:val="0"/>
          <w:bCs/>
          <w:color w:val="000000" w:themeColor="text1"/>
          <w:kern w:val="24"/>
          <w:sz w:val="21"/>
          <w:szCs w:val="21"/>
          <w:lang w:val="en-US" w:eastAsia="zh-CN"/>
          <w14:textFill>
            <w14:solidFill>
              <w14:schemeClr w14:val="tx1"/>
            </w14:solidFill>
          </w14:textFill>
        </w:rPr>
      </w:pPr>
      <w:r>
        <w:rPr>
          <w:rFonts w:hint="eastAsia" w:ascii="宋体" w:hAnsi="宋体" w:eastAsia="宋体" w:cs="宋体"/>
          <w:b w:val="0"/>
          <w:bCs/>
          <w:color w:val="000000" w:themeColor="text1"/>
          <w:kern w:val="24"/>
          <w:sz w:val="21"/>
          <w:szCs w:val="21"/>
          <w:lang w:val="en-US" w:eastAsia="zh-CN"/>
          <w14:textFill>
            <w14:solidFill>
              <w14:schemeClr w14:val="tx1"/>
            </w14:solidFill>
          </w14:textFill>
        </w:rPr>
        <w:t>【</w:t>
      </w:r>
      <w:r>
        <w:rPr>
          <w:rFonts w:hint="eastAsia" w:ascii="宋体" w:hAnsi="宋体" w:eastAsia="宋体" w:cs="宋体"/>
          <w:b w:val="0"/>
          <w:bCs/>
          <w:color w:val="000000" w:themeColor="text1"/>
          <w:kern w:val="24"/>
          <w:sz w:val="21"/>
          <w:szCs w:val="21"/>
          <w14:textFill>
            <w14:solidFill>
              <w14:schemeClr w14:val="tx1"/>
            </w14:solidFill>
          </w14:textFill>
        </w:rPr>
        <w:t>资产为＋，即汇兑收益；资产为－，即汇兑损失</w:t>
      </w:r>
      <w:r>
        <w:rPr>
          <w:rFonts w:hint="eastAsia" w:ascii="宋体" w:hAnsi="宋体" w:eastAsia="宋体" w:cs="宋体"/>
          <w:b w:val="0"/>
          <w:bCs/>
          <w:color w:val="000000" w:themeColor="text1"/>
          <w:kern w:val="24"/>
          <w:sz w:val="21"/>
          <w:szCs w:val="21"/>
          <w:lang w:val="en-US" w:eastAsia="zh-CN"/>
          <w14:textFill>
            <w14:solidFill>
              <w14:schemeClr w14:val="tx1"/>
            </w14:solidFill>
          </w14:textFill>
        </w:rPr>
        <w:t>】</w:t>
      </w:r>
    </w:p>
    <w:p w14:paraId="2AFB4463">
      <w:pPr>
        <w:pStyle w:val="2"/>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firstLine="0"/>
        <w:textAlignment w:val="auto"/>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kern w:val="24"/>
          <w:sz w:val="21"/>
          <w:szCs w:val="21"/>
          <w:lang w:val="en-US" w:eastAsia="zh-CN"/>
          <w14:textFill>
            <w14:solidFill>
              <w14:schemeClr w14:val="tx1"/>
            </w14:solidFill>
          </w14:textFill>
        </w:rPr>
        <w:t>5</w:t>
      </w:r>
      <w:r>
        <w:rPr>
          <w:rFonts w:hint="eastAsia" w:ascii="宋体" w:hAnsi="宋体" w:eastAsia="宋体" w:cs="宋体"/>
          <w:b w:val="0"/>
          <w:bCs/>
          <w:color w:val="000000" w:themeColor="text1"/>
          <w:kern w:val="24"/>
          <w:sz w:val="21"/>
          <w:szCs w:val="21"/>
          <w14:textFill>
            <w14:solidFill>
              <w14:schemeClr w14:val="tx1"/>
            </w14:solidFill>
          </w14:textFill>
        </w:rPr>
        <w:t xml:space="preserve">、应收账款汇兑损益的计算 </w:t>
      </w:r>
    </w:p>
    <w:p w14:paraId="571DA6E5">
      <w:pPr>
        <w:pStyle w:val="3"/>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firstLine="0"/>
        <w:textAlignment w:val="auto"/>
        <w:rPr>
          <w:rFonts w:hint="eastAsia" w:ascii="宋体" w:hAnsi="宋体" w:eastAsia="宋体" w:cs="宋体"/>
          <w:b w:val="0"/>
          <w:bCs/>
          <w:color w:val="000000" w:themeColor="text1"/>
          <w:kern w:val="24"/>
          <w:sz w:val="21"/>
          <w:szCs w:val="21"/>
          <w:lang w:val="en-US" w:eastAsia="zh-CN"/>
          <w14:textFill>
            <w14:solidFill>
              <w14:schemeClr w14:val="tx1"/>
            </w14:solidFill>
          </w14:textFill>
        </w:rPr>
      </w:pPr>
      <w:r>
        <w:rPr>
          <w:rFonts w:hint="eastAsia" w:ascii="宋体" w:hAnsi="宋体" w:eastAsia="宋体" w:cs="宋体"/>
          <w:b w:val="0"/>
          <w:bCs/>
          <w:color w:val="000000" w:themeColor="text1"/>
          <w:kern w:val="24"/>
          <w:sz w:val="21"/>
          <w:szCs w:val="21"/>
          <w:lang w:val="en-US" w:eastAsia="zh-CN"/>
          <w14:textFill>
            <w14:solidFill>
              <w14:schemeClr w14:val="tx1"/>
            </w14:solidFill>
          </w14:textFill>
        </w:rPr>
        <w:t>【</w:t>
      </w:r>
      <w:r>
        <w:rPr>
          <w:rFonts w:hint="eastAsia" w:ascii="宋体" w:hAnsi="宋体" w:eastAsia="宋体" w:cs="宋体"/>
          <w:b w:val="0"/>
          <w:bCs/>
          <w:color w:val="000000" w:themeColor="text1"/>
          <w:kern w:val="24"/>
          <w:sz w:val="21"/>
          <w:szCs w:val="21"/>
          <w14:textFill>
            <w14:solidFill>
              <w14:schemeClr w14:val="tx1"/>
            </w14:solidFill>
          </w14:textFill>
        </w:rPr>
        <w:t>总结归纳</w:t>
      </w:r>
      <w:r>
        <w:rPr>
          <w:rFonts w:hint="eastAsia" w:ascii="宋体" w:hAnsi="宋体" w:eastAsia="宋体" w:cs="宋体"/>
          <w:b w:val="0"/>
          <w:bCs/>
          <w:color w:val="000000" w:themeColor="text1"/>
          <w:kern w:val="24"/>
          <w:sz w:val="21"/>
          <w:szCs w:val="21"/>
          <w:lang w:val="en-US" w:eastAsia="zh-CN"/>
          <w14:textFill>
            <w14:solidFill>
              <w14:schemeClr w14:val="tx1"/>
            </w14:solidFill>
          </w14:textFill>
        </w:rPr>
        <w:t>】</w:t>
      </w:r>
      <w:r>
        <w:rPr>
          <w:rFonts w:hint="eastAsia" w:ascii="宋体" w:hAnsi="宋体" w:eastAsia="宋体" w:cs="宋体"/>
          <w:b w:val="0"/>
          <w:bCs/>
          <w:color w:val="000000" w:themeColor="text1"/>
          <w:kern w:val="24"/>
          <w:sz w:val="21"/>
          <w:szCs w:val="21"/>
          <w14:textFill>
            <w14:solidFill>
              <w14:schemeClr w14:val="tx1"/>
            </w14:solidFill>
          </w14:textFill>
        </w:rPr>
        <w:t>外币业务因汇率变动计入的会计科目</w:t>
      </w:r>
    </w:p>
    <w:p w14:paraId="56853197">
      <w:pPr>
        <w:pStyle w:val="3"/>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firstLine="0"/>
        <w:textAlignment w:val="auto"/>
        <w:rPr>
          <w:rFonts w:hint="eastAsia" w:ascii="宋体" w:hAnsi="宋体" w:eastAsia="宋体" w:cs="宋体"/>
          <w:b w:val="0"/>
          <w:bCs/>
          <w:color w:val="000000" w:themeColor="text1"/>
          <w:kern w:val="24"/>
          <w:sz w:val="21"/>
          <w:szCs w:val="21"/>
          <w:lang w:val="en-US" w:eastAsia="zh-CN"/>
          <w14:textFill>
            <w14:solidFill>
              <w14:schemeClr w14:val="tx1"/>
            </w14:solidFill>
          </w14:textFill>
        </w:rPr>
      </w:pPr>
      <w:r>
        <w:rPr>
          <w:rFonts w:hint="eastAsia" w:ascii="宋体" w:hAnsi="宋体" w:eastAsia="宋体" w:cs="宋体"/>
          <w:b w:val="0"/>
          <w:bCs/>
          <w:color w:val="000000" w:themeColor="text1"/>
          <w:kern w:val="24"/>
          <w:sz w:val="21"/>
          <w:szCs w:val="21"/>
          <w14:textFill>
            <w14:solidFill>
              <w14:schemeClr w14:val="tx1"/>
            </w14:solidFill>
          </w14:textFill>
        </w:rPr>
        <w:t>（</w:t>
      </w:r>
      <w:r>
        <w:rPr>
          <w:rFonts w:hint="eastAsia" w:ascii="宋体" w:hAnsi="宋体" w:eastAsia="宋体" w:cs="宋体"/>
          <w:b w:val="0"/>
          <w:bCs/>
          <w:color w:val="000000" w:themeColor="text1"/>
          <w:kern w:val="24"/>
          <w:sz w:val="21"/>
          <w:szCs w:val="21"/>
          <w:lang w:val="en-US" w:eastAsia="zh-CN"/>
          <w14:textFill>
            <w14:solidFill>
              <w14:schemeClr w14:val="tx1"/>
            </w14:solidFill>
          </w14:textFill>
        </w:rPr>
        <w:t>1</w:t>
      </w:r>
      <w:r>
        <w:rPr>
          <w:rFonts w:hint="eastAsia" w:ascii="宋体" w:hAnsi="宋体" w:eastAsia="宋体" w:cs="宋体"/>
          <w:b w:val="0"/>
          <w:bCs/>
          <w:color w:val="000000" w:themeColor="text1"/>
          <w:kern w:val="24"/>
          <w:sz w:val="21"/>
          <w:szCs w:val="21"/>
          <w14:textFill>
            <w14:solidFill>
              <w14:schemeClr w14:val="tx1"/>
            </w14:solidFill>
          </w14:textFill>
        </w:rPr>
        <w:t>）外币货币性项目：汇率变动计入财务费用或在建工程；</w:t>
      </w:r>
    </w:p>
    <w:p w14:paraId="768DFC0B">
      <w:pPr>
        <w:pStyle w:val="3"/>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firstLine="0"/>
        <w:textAlignment w:val="auto"/>
        <w:rPr>
          <w:rFonts w:hint="eastAsia" w:ascii="宋体" w:hAnsi="宋体" w:eastAsia="宋体" w:cs="宋体"/>
          <w:b w:val="0"/>
          <w:bCs/>
          <w:color w:val="000000" w:themeColor="text1"/>
          <w:kern w:val="24"/>
          <w:sz w:val="21"/>
          <w:szCs w:val="21"/>
          <w:lang w:val="en-US" w:eastAsia="zh-CN"/>
          <w14:textFill>
            <w14:solidFill>
              <w14:schemeClr w14:val="tx1"/>
            </w14:solidFill>
          </w14:textFill>
        </w:rPr>
      </w:pPr>
      <w:r>
        <w:rPr>
          <w:rFonts w:hint="eastAsia" w:ascii="宋体" w:hAnsi="宋体" w:eastAsia="宋体" w:cs="宋体"/>
          <w:b w:val="0"/>
          <w:bCs/>
          <w:color w:val="000000" w:themeColor="text1"/>
          <w:kern w:val="24"/>
          <w:sz w:val="21"/>
          <w:szCs w:val="21"/>
          <w14:textFill>
            <w14:solidFill>
              <w14:schemeClr w14:val="tx1"/>
            </w14:solidFill>
          </w14:textFill>
        </w:rPr>
        <w:t>（</w:t>
      </w:r>
      <w:r>
        <w:rPr>
          <w:rFonts w:hint="eastAsia" w:ascii="宋体" w:hAnsi="宋体" w:eastAsia="宋体" w:cs="宋体"/>
          <w:b w:val="0"/>
          <w:bCs/>
          <w:color w:val="000000" w:themeColor="text1"/>
          <w:kern w:val="24"/>
          <w:sz w:val="21"/>
          <w:szCs w:val="21"/>
          <w:lang w:val="en-US" w:eastAsia="zh-CN"/>
          <w14:textFill>
            <w14:solidFill>
              <w14:schemeClr w14:val="tx1"/>
            </w14:solidFill>
          </w14:textFill>
        </w:rPr>
        <w:t>2</w:t>
      </w:r>
      <w:r>
        <w:rPr>
          <w:rFonts w:hint="eastAsia" w:ascii="宋体" w:hAnsi="宋体" w:eastAsia="宋体" w:cs="宋体"/>
          <w:b w:val="0"/>
          <w:bCs/>
          <w:color w:val="000000" w:themeColor="text1"/>
          <w:kern w:val="24"/>
          <w:sz w:val="21"/>
          <w:szCs w:val="21"/>
          <w14:textFill>
            <w14:solidFill>
              <w14:schemeClr w14:val="tx1"/>
            </w14:solidFill>
          </w14:textFill>
        </w:rPr>
        <w:t>）存货：汇率变动计入资产减值损失（包括汇率变动，也包括存货减值损失，不区分）；</w:t>
      </w:r>
    </w:p>
    <w:p w14:paraId="4F0A0F1D">
      <w:pPr>
        <w:pStyle w:val="2"/>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firstLine="0"/>
        <w:textAlignment w:val="auto"/>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kern w:val="24"/>
          <w:sz w:val="21"/>
          <w:szCs w:val="21"/>
          <w14:textFill>
            <w14:solidFill>
              <w14:schemeClr w14:val="tx1"/>
            </w14:solidFill>
          </w14:textFill>
        </w:rPr>
        <w:t>（</w:t>
      </w:r>
      <w:r>
        <w:rPr>
          <w:rFonts w:hint="eastAsia" w:ascii="宋体" w:hAnsi="宋体" w:eastAsia="宋体" w:cs="宋体"/>
          <w:b w:val="0"/>
          <w:bCs/>
          <w:color w:val="000000" w:themeColor="text1"/>
          <w:kern w:val="24"/>
          <w:sz w:val="21"/>
          <w:szCs w:val="21"/>
          <w:lang w:val="en-US" w:eastAsia="zh-CN"/>
          <w14:textFill>
            <w14:solidFill>
              <w14:schemeClr w14:val="tx1"/>
            </w14:solidFill>
          </w14:textFill>
        </w:rPr>
        <w:t>3</w:t>
      </w:r>
      <w:r>
        <w:rPr>
          <w:rFonts w:hint="eastAsia" w:ascii="宋体" w:hAnsi="宋体" w:eastAsia="宋体" w:cs="宋体"/>
          <w:b w:val="0"/>
          <w:bCs/>
          <w:color w:val="000000" w:themeColor="text1"/>
          <w:kern w:val="24"/>
          <w:sz w:val="21"/>
          <w:szCs w:val="21"/>
          <w14:textFill>
            <w14:solidFill>
              <w14:schemeClr w14:val="tx1"/>
            </w14:solidFill>
          </w14:textFill>
        </w:rPr>
        <w:t>）交易性金融资产（权益工具）：汇率变动计入公允价值变动损益（包括汇率变动，也包括公允价值的变动，不区分）；</w:t>
      </w:r>
    </w:p>
    <w:p w14:paraId="447FCFD1">
      <w:pPr>
        <w:pStyle w:val="3"/>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firstLine="0"/>
        <w:textAlignment w:val="auto"/>
        <w:rPr>
          <w:rFonts w:hint="eastAsia" w:ascii="宋体" w:hAnsi="宋体" w:eastAsia="宋体" w:cs="宋体"/>
          <w:b w:val="0"/>
          <w:bCs/>
          <w:color w:val="000000" w:themeColor="text1"/>
          <w:kern w:val="24"/>
          <w:sz w:val="21"/>
          <w:szCs w:val="21"/>
          <w:lang w:val="en-US" w:eastAsia="zh-CN"/>
          <w14:textFill>
            <w14:solidFill>
              <w14:schemeClr w14:val="tx1"/>
            </w14:solidFill>
          </w14:textFill>
        </w:rPr>
      </w:pPr>
      <w:r>
        <w:rPr>
          <w:rFonts w:hint="eastAsia" w:ascii="宋体" w:hAnsi="宋体" w:eastAsia="宋体" w:cs="宋体"/>
          <w:b w:val="0"/>
          <w:bCs/>
          <w:color w:val="000000" w:themeColor="text1"/>
          <w:kern w:val="24"/>
          <w:sz w:val="21"/>
          <w:szCs w:val="21"/>
          <w14:textFill>
            <w14:solidFill>
              <w14:schemeClr w14:val="tx1"/>
            </w14:solidFill>
          </w14:textFill>
        </w:rPr>
        <w:t>（</w:t>
      </w:r>
      <w:r>
        <w:rPr>
          <w:rFonts w:hint="eastAsia" w:ascii="宋体" w:hAnsi="宋体" w:eastAsia="宋体" w:cs="宋体"/>
          <w:b w:val="0"/>
          <w:bCs/>
          <w:color w:val="000000" w:themeColor="text1"/>
          <w:kern w:val="24"/>
          <w:sz w:val="21"/>
          <w:szCs w:val="21"/>
          <w:lang w:val="en-US" w:eastAsia="zh-CN"/>
          <w14:textFill>
            <w14:solidFill>
              <w14:schemeClr w14:val="tx1"/>
            </w14:solidFill>
          </w14:textFill>
        </w:rPr>
        <w:t>4</w:t>
      </w:r>
      <w:r>
        <w:rPr>
          <w:rFonts w:hint="eastAsia" w:ascii="宋体" w:hAnsi="宋体" w:eastAsia="宋体" w:cs="宋体"/>
          <w:b w:val="0"/>
          <w:bCs/>
          <w:color w:val="000000" w:themeColor="text1"/>
          <w:kern w:val="24"/>
          <w:sz w:val="21"/>
          <w:szCs w:val="21"/>
          <w14:textFill>
            <w14:solidFill>
              <w14:schemeClr w14:val="tx1"/>
            </w14:solidFill>
          </w14:textFill>
        </w:rPr>
        <w:t>）其他权益工具投资：汇率变动计入其他综合收益（包括汇率变动，也包括公允价值的变动，不区分）；</w:t>
      </w:r>
    </w:p>
    <w:p w14:paraId="1CAFB617">
      <w:pPr>
        <w:pStyle w:val="3"/>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firstLine="0"/>
        <w:textAlignment w:val="auto"/>
        <w:rPr>
          <w:rFonts w:hint="eastAsia" w:ascii="宋体" w:hAnsi="宋体" w:eastAsia="宋体" w:cs="宋体"/>
          <w:b w:val="0"/>
          <w:bCs/>
          <w:color w:val="000000" w:themeColor="text1"/>
          <w:kern w:val="24"/>
          <w:sz w:val="21"/>
          <w:szCs w:val="21"/>
          <w:lang w:val="en-US" w:eastAsia="zh-CN"/>
          <w14:textFill>
            <w14:solidFill>
              <w14:schemeClr w14:val="tx1"/>
            </w14:solidFill>
          </w14:textFill>
        </w:rPr>
      </w:pPr>
      <w:r>
        <w:rPr>
          <w:rFonts w:hint="eastAsia" w:ascii="宋体" w:hAnsi="宋体" w:eastAsia="宋体" w:cs="宋体"/>
          <w:b w:val="0"/>
          <w:bCs/>
          <w:color w:val="000000" w:themeColor="text1"/>
          <w:kern w:val="24"/>
          <w:sz w:val="21"/>
          <w:szCs w:val="21"/>
          <w14:textFill>
            <w14:solidFill>
              <w14:schemeClr w14:val="tx1"/>
            </w14:solidFill>
          </w14:textFill>
        </w:rPr>
        <w:t>（</w:t>
      </w:r>
      <w:r>
        <w:rPr>
          <w:rFonts w:hint="eastAsia" w:ascii="宋体" w:hAnsi="宋体" w:eastAsia="宋体" w:cs="宋体"/>
          <w:b w:val="0"/>
          <w:bCs/>
          <w:color w:val="000000" w:themeColor="text1"/>
          <w:kern w:val="24"/>
          <w:sz w:val="21"/>
          <w:szCs w:val="21"/>
          <w:lang w:val="en-US" w:eastAsia="zh-CN"/>
          <w14:textFill>
            <w14:solidFill>
              <w14:schemeClr w14:val="tx1"/>
            </w14:solidFill>
          </w14:textFill>
        </w:rPr>
        <w:t>5</w:t>
      </w:r>
      <w:r>
        <w:rPr>
          <w:rFonts w:hint="eastAsia" w:ascii="宋体" w:hAnsi="宋体" w:eastAsia="宋体" w:cs="宋体"/>
          <w:b w:val="0"/>
          <w:bCs/>
          <w:color w:val="000000" w:themeColor="text1"/>
          <w:kern w:val="24"/>
          <w:sz w:val="21"/>
          <w:szCs w:val="21"/>
          <w14:textFill>
            <w14:solidFill>
              <w14:schemeClr w14:val="tx1"/>
            </w14:solidFill>
          </w14:textFill>
        </w:rPr>
        <w:t>）其他债权投资：汇率变动计入财务费用，公允价值变动计入其他综合收益；</w:t>
      </w:r>
    </w:p>
    <w:p w14:paraId="67DCAD96">
      <w:pPr>
        <w:pStyle w:val="3"/>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firstLine="0"/>
        <w:textAlignment w:val="auto"/>
        <w:rPr>
          <w:rFonts w:hint="eastAsia" w:ascii="宋体" w:hAnsi="宋体" w:eastAsia="宋体" w:cs="宋体"/>
          <w:b w:val="0"/>
          <w:bCs/>
          <w:color w:val="FFC000"/>
          <w:kern w:val="24"/>
          <w:sz w:val="21"/>
          <w:szCs w:val="21"/>
        </w:rPr>
      </w:pPr>
      <w:r>
        <w:rPr>
          <w:rFonts w:hint="eastAsia" w:ascii="宋体" w:hAnsi="宋体" w:eastAsia="宋体" w:cs="宋体"/>
          <w:b w:val="0"/>
          <w:bCs/>
          <w:color w:val="000000" w:themeColor="text1"/>
          <w:kern w:val="24"/>
          <w:sz w:val="21"/>
          <w:szCs w:val="21"/>
          <w14:textFill>
            <w14:solidFill>
              <w14:schemeClr w14:val="tx1"/>
            </w14:solidFill>
          </w14:textFill>
        </w:rPr>
        <w:t>（</w:t>
      </w:r>
      <w:r>
        <w:rPr>
          <w:rFonts w:hint="eastAsia" w:ascii="宋体" w:hAnsi="宋体" w:eastAsia="宋体" w:cs="宋体"/>
          <w:b w:val="0"/>
          <w:bCs/>
          <w:color w:val="000000" w:themeColor="text1"/>
          <w:kern w:val="24"/>
          <w:sz w:val="21"/>
          <w:szCs w:val="21"/>
          <w:lang w:val="en-US" w:eastAsia="zh-CN"/>
          <w14:textFill>
            <w14:solidFill>
              <w14:schemeClr w14:val="tx1"/>
            </w14:solidFill>
          </w14:textFill>
        </w:rPr>
        <w:t>6</w:t>
      </w:r>
      <w:r>
        <w:rPr>
          <w:rFonts w:hint="eastAsia" w:ascii="宋体" w:hAnsi="宋体" w:eastAsia="宋体" w:cs="宋体"/>
          <w:b w:val="0"/>
          <w:bCs/>
          <w:color w:val="000000" w:themeColor="text1"/>
          <w:kern w:val="24"/>
          <w:sz w:val="21"/>
          <w:szCs w:val="21"/>
          <w14:textFill>
            <w14:solidFill>
              <w14:schemeClr w14:val="tx1"/>
            </w14:solidFill>
          </w14:textFill>
        </w:rPr>
        <w:t xml:space="preserve">）债权投资：汇率变动计入财务费用。 </w:t>
      </w:r>
    </w:p>
    <w:p w14:paraId="58C653E7">
      <w:pPr>
        <w:pStyle w:val="3"/>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firstLine="0"/>
        <w:textAlignment w:val="auto"/>
        <w:rPr>
          <w:rFonts w:hint="eastAsia" w:ascii="宋体" w:hAnsi="宋体" w:eastAsia="宋体" w:cs="宋体"/>
          <w:b w:val="0"/>
          <w:bCs/>
          <w:color w:val="000000" w:themeColor="text1"/>
          <w:kern w:val="24"/>
          <w:sz w:val="21"/>
          <w:szCs w:val="21"/>
          <w:lang w:val="en-US" w:eastAsia="zh-CN"/>
          <w14:textFill>
            <w14:solidFill>
              <w14:schemeClr w14:val="tx1"/>
            </w14:solidFill>
          </w14:textFill>
        </w:rPr>
      </w:pPr>
      <w:r>
        <w:rPr>
          <w:rFonts w:hint="eastAsia" w:ascii="宋体" w:hAnsi="宋体" w:eastAsia="宋体" w:cs="宋体"/>
          <w:b w:val="0"/>
          <w:bCs/>
          <w:color w:val="000000" w:themeColor="text1"/>
          <w:kern w:val="24"/>
          <w:sz w:val="21"/>
          <w:szCs w:val="21"/>
          <w14:textFill>
            <w14:solidFill>
              <w14:schemeClr w14:val="tx1"/>
            </w14:solidFill>
          </w14:textFill>
        </w:rPr>
        <w:t>二、外币财务报表的折算（★）</w:t>
      </w:r>
    </w:p>
    <w:p w14:paraId="1AB4E326">
      <w:pPr>
        <w:pStyle w:val="3"/>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firstLine="0"/>
        <w:textAlignment w:val="auto"/>
        <w:rPr>
          <w:rFonts w:hint="eastAsia" w:ascii="宋体" w:hAnsi="宋体" w:eastAsia="宋体" w:cs="宋体"/>
          <w:b w:val="0"/>
          <w:bCs/>
          <w:color w:val="000000" w:themeColor="text1"/>
          <w:kern w:val="24"/>
          <w:sz w:val="21"/>
          <w:szCs w:val="21"/>
          <w:lang w:val="en-US" w:eastAsia="zh-CN"/>
          <w14:textFill>
            <w14:solidFill>
              <w14:schemeClr w14:val="tx1"/>
            </w14:solidFill>
          </w14:textFill>
        </w:rPr>
      </w:pPr>
      <w:r>
        <w:rPr>
          <w:rFonts w:hint="eastAsia" w:ascii="宋体" w:hAnsi="宋体" w:eastAsia="宋体" w:cs="宋体"/>
          <w:b w:val="0"/>
          <w:bCs/>
          <w:color w:val="000000" w:themeColor="text1"/>
          <w:kern w:val="24"/>
          <w:sz w:val="21"/>
          <w:szCs w:val="21"/>
          <w:lang w:val="en-US" w:eastAsia="zh-CN"/>
          <w14:textFill>
            <w14:solidFill>
              <w14:schemeClr w14:val="tx1"/>
            </w14:solidFill>
          </w14:textFill>
        </w:rPr>
        <w:t>1</w:t>
      </w:r>
      <w:r>
        <w:rPr>
          <w:rFonts w:hint="eastAsia" w:ascii="宋体" w:hAnsi="宋体" w:eastAsia="宋体" w:cs="宋体"/>
          <w:b w:val="0"/>
          <w:bCs/>
          <w:color w:val="000000" w:themeColor="text1"/>
          <w:kern w:val="24"/>
          <w:sz w:val="21"/>
          <w:szCs w:val="21"/>
          <w14:textFill>
            <w14:solidFill>
              <w14:schemeClr w14:val="tx1"/>
            </w14:solidFill>
          </w14:textFill>
        </w:rPr>
        <w:t>、资产负债表中的资产和负债项目，采用资产负债表日的即期汇率折算，所有者权益项目除“未分配利润”项目外，其他项目采用发生时的即期汇率折算。</w:t>
      </w:r>
    </w:p>
    <w:p w14:paraId="6EC1C815">
      <w:pPr>
        <w:pStyle w:val="3"/>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firstLine="0"/>
        <w:textAlignment w:val="auto"/>
        <w:rPr>
          <w:rFonts w:hint="eastAsia" w:ascii="宋体" w:hAnsi="宋体" w:eastAsia="宋体" w:cs="宋体"/>
          <w:b w:val="0"/>
          <w:bCs/>
          <w:color w:val="000000" w:themeColor="text1"/>
          <w:kern w:val="24"/>
          <w:sz w:val="21"/>
          <w:szCs w:val="21"/>
          <w:lang w:val="en-US" w:eastAsia="zh-CN"/>
          <w14:textFill>
            <w14:solidFill>
              <w14:schemeClr w14:val="tx1"/>
            </w14:solidFill>
          </w14:textFill>
        </w:rPr>
      </w:pPr>
      <w:r>
        <w:rPr>
          <w:rFonts w:hint="eastAsia" w:ascii="宋体" w:hAnsi="宋体" w:eastAsia="宋体" w:cs="宋体"/>
          <w:b w:val="0"/>
          <w:bCs/>
          <w:color w:val="000000" w:themeColor="text1"/>
          <w:kern w:val="24"/>
          <w:sz w:val="21"/>
          <w:szCs w:val="21"/>
          <w:lang w:val="en-US" w:eastAsia="zh-CN"/>
          <w14:textFill>
            <w14:solidFill>
              <w14:schemeClr w14:val="tx1"/>
            </w14:solidFill>
          </w14:textFill>
        </w:rPr>
        <w:t>2</w:t>
      </w:r>
      <w:r>
        <w:rPr>
          <w:rFonts w:hint="eastAsia" w:ascii="宋体" w:hAnsi="宋体" w:eastAsia="宋体" w:cs="宋体"/>
          <w:b w:val="0"/>
          <w:bCs/>
          <w:color w:val="000000" w:themeColor="text1"/>
          <w:kern w:val="24"/>
          <w:sz w:val="21"/>
          <w:szCs w:val="21"/>
          <w14:textFill>
            <w14:solidFill>
              <w14:schemeClr w14:val="tx1"/>
            </w14:solidFill>
          </w14:textFill>
        </w:rPr>
        <w:t>、利润表中的收入和费用项目，采用交易发生日的即期汇率或即期汇率的近似汇率折算。</w:t>
      </w:r>
    </w:p>
    <w:p w14:paraId="34C24FEF">
      <w:pPr>
        <w:pStyle w:val="3"/>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firstLine="0"/>
        <w:textAlignment w:val="auto"/>
        <w:rPr>
          <w:rFonts w:hint="eastAsia" w:ascii="宋体" w:hAnsi="宋体" w:eastAsia="宋体" w:cs="宋体"/>
          <w:b w:val="0"/>
          <w:bCs/>
          <w:color w:val="000000" w:themeColor="text1"/>
          <w:kern w:val="24"/>
          <w:sz w:val="21"/>
          <w:szCs w:val="21"/>
          <w14:textFill>
            <w14:solidFill>
              <w14:schemeClr w14:val="tx1"/>
            </w14:solidFill>
          </w14:textFill>
        </w:rPr>
      </w:pPr>
      <w:r>
        <w:rPr>
          <w:rFonts w:hint="eastAsia" w:ascii="宋体" w:hAnsi="宋体" w:eastAsia="宋体" w:cs="宋体"/>
          <w:b w:val="0"/>
          <w:bCs/>
          <w:color w:val="000000" w:themeColor="text1"/>
          <w:kern w:val="24"/>
          <w:sz w:val="21"/>
          <w:szCs w:val="21"/>
          <w:lang w:val="en-US" w:eastAsia="zh-CN"/>
          <w14:textFill>
            <w14:solidFill>
              <w14:schemeClr w14:val="tx1"/>
            </w14:solidFill>
          </w14:textFill>
        </w:rPr>
        <w:t>3</w:t>
      </w:r>
      <w:r>
        <w:rPr>
          <w:rFonts w:hint="eastAsia" w:ascii="宋体" w:hAnsi="宋体" w:eastAsia="宋体" w:cs="宋体"/>
          <w:b w:val="0"/>
          <w:bCs/>
          <w:color w:val="000000" w:themeColor="text1"/>
          <w:kern w:val="24"/>
          <w:sz w:val="21"/>
          <w:szCs w:val="21"/>
          <w14:textFill>
            <w14:solidFill>
              <w14:schemeClr w14:val="tx1"/>
            </w14:solidFill>
          </w14:textFill>
        </w:rPr>
        <w:t>、产生的外币财务报表折算差额，在编制合并财务报表时，作为“其他综合收益”项目列示。</w:t>
      </w:r>
    </w:p>
    <w:p w14:paraId="05BA17A1">
      <w:pPr>
        <w:pStyle w:val="3"/>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firstLine="0"/>
        <w:textAlignment w:val="auto"/>
        <w:rPr>
          <w:rFonts w:hint="eastAsia" w:ascii="宋体" w:hAnsi="宋体" w:eastAsia="宋体" w:cs="宋体"/>
          <w:b w:val="0"/>
          <w:bCs/>
          <w:color w:val="000000" w:themeColor="text1"/>
          <w:kern w:val="24"/>
          <w:sz w:val="21"/>
          <w:szCs w:val="21"/>
          <w14:textFill>
            <w14:solidFill>
              <w14:schemeClr w14:val="tx1"/>
            </w14:solidFill>
          </w14:textFill>
        </w:rPr>
      </w:pPr>
    </w:p>
    <w:p w14:paraId="32BE5A66">
      <w:pPr>
        <w:pStyle w:val="3"/>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firstLine="0"/>
        <w:textAlignment w:val="auto"/>
        <w:rPr>
          <w:rFonts w:hint="eastAsia" w:ascii="宋体" w:hAnsi="宋体" w:eastAsia="宋体" w:cs="宋体"/>
          <w:b w:val="0"/>
          <w:bCs/>
          <w:color w:val="000000" w:themeColor="text1"/>
          <w:kern w:val="24"/>
          <w:sz w:val="21"/>
          <w:szCs w:val="21"/>
          <w14:textFill>
            <w14:solidFill>
              <w14:schemeClr w14:val="tx1"/>
            </w14:solidFill>
          </w14:textFill>
        </w:rPr>
      </w:pPr>
    </w:p>
    <w:p w14:paraId="05CFA3EA">
      <w:pPr>
        <w:pStyle w:val="3"/>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firstLine="0"/>
        <w:textAlignment w:val="auto"/>
        <w:rPr>
          <w:rFonts w:hint="eastAsia" w:ascii="宋体" w:hAnsi="宋体" w:eastAsia="宋体" w:cs="宋体"/>
          <w:b w:val="0"/>
          <w:bCs/>
          <w:color w:val="000000" w:themeColor="text1"/>
          <w:kern w:val="24"/>
          <w:sz w:val="21"/>
          <w:szCs w:val="21"/>
          <w14:textFill>
            <w14:solidFill>
              <w14:schemeClr w14:val="tx1"/>
            </w14:solidFill>
          </w14:textFill>
        </w:rPr>
      </w:pPr>
    </w:p>
    <w:p w14:paraId="0B9ED89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第十九章  租赁</w:t>
      </w:r>
    </w:p>
    <w:p w14:paraId="1A94D16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i w:val="0"/>
          <w:sz w:val="21"/>
          <w:szCs w:val="21"/>
          <w:u w:val="none"/>
          <w:lang w:eastAsia="zh-CN"/>
        </w:rPr>
      </w:pPr>
    </w:p>
    <w:p w14:paraId="445089D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color w:val="FF0000"/>
          <w:sz w:val="21"/>
          <w:szCs w:val="21"/>
          <w:u w:val="none"/>
          <w:lang w:eastAsia="zh-CN"/>
        </w:rPr>
      </w:pPr>
      <w:r>
        <w:rPr>
          <w:rFonts w:hint="eastAsia" w:ascii="宋体" w:hAnsi="宋体" w:eastAsia="宋体" w:cs="宋体"/>
          <w:b w:val="0"/>
          <w:bCs w:val="0"/>
          <w:i w:val="0"/>
          <w:color w:val="FF0000"/>
          <w:sz w:val="21"/>
          <w:szCs w:val="21"/>
          <w:u w:val="none"/>
          <w:lang w:eastAsia="zh-CN"/>
        </w:rPr>
        <w:t>一、租赁的识别</w:t>
      </w:r>
    </w:p>
    <w:p w14:paraId="6BA2601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租赁，是指在一定期间内，出租人将资产的使用权让与承租人以获取对价的合同。一项合同要被分类为租赁，必须要满足以下三要素。</w:t>
      </w:r>
      <w:r>
        <w:rPr>
          <w:rFonts w:hint="eastAsia" w:ascii="宋体" w:hAnsi="宋体" w:eastAsia="宋体" w:cs="宋体"/>
          <w:b w:val="0"/>
          <w:bCs w:val="0"/>
          <w:i w:val="0"/>
          <w:sz w:val="21"/>
          <w:szCs w:val="21"/>
          <w:u w:val="none"/>
          <w:lang w:eastAsia="zh-CN"/>
        </w:rPr>
        <w:br w:type="textWrapping"/>
      </w:r>
      <w:r>
        <w:drawing>
          <wp:anchor distT="0" distB="0" distL="114300" distR="114300" simplePos="0" relativeHeight="251661312" behindDoc="1" locked="0" layoutInCell="1" allowOverlap="1">
            <wp:simplePos x="0" y="0"/>
            <wp:positionH relativeFrom="column">
              <wp:posOffset>1094740</wp:posOffset>
            </wp:positionH>
            <wp:positionV relativeFrom="paragraph">
              <wp:posOffset>600075</wp:posOffset>
            </wp:positionV>
            <wp:extent cx="3930650" cy="1771650"/>
            <wp:effectExtent l="0" t="0" r="12700" b="0"/>
            <wp:wrapTight wrapText="bothSides">
              <wp:wrapPolygon>
                <wp:start x="0" y="0"/>
                <wp:lineTo x="0" y="21368"/>
                <wp:lineTo x="21460" y="21368"/>
                <wp:lineTo x="21460" y="0"/>
                <wp:lineTo x="0" y="0"/>
              </wp:wrapPolygon>
            </wp:wrapTigh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1"/>
                    <a:stretch>
                      <a:fillRect/>
                    </a:stretch>
                  </pic:blipFill>
                  <pic:spPr>
                    <a:xfrm>
                      <a:off x="0" y="0"/>
                      <a:ext cx="3930650" cy="1771650"/>
                    </a:xfrm>
                    <a:prstGeom prst="rect">
                      <a:avLst/>
                    </a:prstGeom>
                    <a:noFill/>
                    <a:ln>
                      <a:noFill/>
                    </a:ln>
                  </pic:spPr>
                </pic:pic>
              </a:graphicData>
            </a:graphic>
          </wp:anchor>
        </w:drawing>
      </w:r>
    </w:p>
    <w:p w14:paraId="3AD3DAD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p>
    <w:p w14:paraId="426BC38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p>
    <w:p w14:paraId="572BAA5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p>
    <w:p w14:paraId="29FB03E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p>
    <w:p w14:paraId="47BCDFC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i w:val="0"/>
          <w:sz w:val="21"/>
          <w:szCs w:val="21"/>
          <w:u w:val="none"/>
          <w:lang w:eastAsia="zh-CN"/>
        </w:rPr>
      </w:pPr>
    </w:p>
    <w:p w14:paraId="0E4F642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color w:val="FF0000"/>
          <w:sz w:val="21"/>
          <w:szCs w:val="21"/>
          <w:u w:val="none"/>
          <w:lang w:eastAsia="zh-CN"/>
        </w:rPr>
      </w:pPr>
      <w:r>
        <w:rPr>
          <w:rFonts w:hint="eastAsia" w:ascii="宋体" w:hAnsi="宋体" w:eastAsia="宋体" w:cs="宋体"/>
          <w:b w:val="0"/>
          <w:bCs w:val="0"/>
          <w:i w:val="0"/>
          <w:color w:val="FF0000"/>
          <w:sz w:val="21"/>
          <w:szCs w:val="21"/>
          <w:u w:val="none"/>
          <w:lang w:eastAsia="zh-CN"/>
        </w:rPr>
        <w:t>二、使用权资产的初始计量</w:t>
      </w:r>
    </w:p>
    <w:p w14:paraId="2E3706C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使用权资产，是指承租人可在租赁期内使用租赁资产的权利。使用权资产应当</w:t>
      </w:r>
      <w:r>
        <w:rPr>
          <w:rFonts w:hint="eastAsia" w:ascii="宋体" w:hAnsi="宋体" w:eastAsia="宋体" w:cs="宋体"/>
          <w:b w:val="0"/>
          <w:bCs w:val="0"/>
          <w:i w:val="0"/>
          <w:color w:val="FF0000"/>
          <w:sz w:val="21"/>
          <w:szCs w:val="21"/>
          <w:u w:val="none"/>
          <w:lang w:eastAsia="zh-CN"/>
        </w:rPr>
        <w:t>按照成本</w:t>
      </w:r>
      <w:r>
        <w:rPr>
          <w:rFonts w:hint="eastAsia" w:ascii="宋体" w:hAnsi="宋体" w:eastAsia="宋体" w:cs="宋体"/>
          <w:b w:val="0"/>
          <w:bCs w:val="0"/>
          <w:i w:val="0"/>
          <w:sz w:val="21"/>
          <w:szCs w:val="21"/>
          <w:u w:val="none"/>
          <w:lang w:eastAsia="zh-CN"/>
        </w:rPr>
        <w:t>进行初始计量。该成本包括：</w:t>
      </w:r>
    </w:p>
    <w:p w14:paraId="65C3059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（1）租赁负债的初始计量金额；</w:t>
      </w:r>
    </w:p>
    <w:p w14:paraId="4D05FC6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（2）在</w:t>
      </w:r>
      <w:r>
        <w:rPr>
          <w:rFonts w:hint="eastAsia" w:ascii="宋体" w:hAnsi="宋体" w:eastAsia="宋体" w:cs="宋体"/>
          <w:b w:val="0"/>
          <w:bCs w:val="0"/>
          <w:i w:val="0"/>
          <w:color w:val="FF0000"/>
          <w:sz w:val="21"/>
          <w:szCs w:val="21"/>
          <w:u w:val="none"/>
          <w:lang w:eastAsia="zh-CN"/>
        </w:rPr>
        <w:t>租赁期开始日或之前</w:t>
      </w:r>
      <w:r>
        <w:rPr>
          <w:rFonts w:hint="eastAsia" w:ascii="宋体" w:hAnsi="宋体" w:eastAsia="宋体" w:cs="宋体"/>
          <w:b w:val="0"/>
          <w:bCs w:val="0"/>
          <w:i w:val="0"/>
          <w:sz w:val="21"/>
          <w:szCs w:val="21"/>
          <w:u w:val="none"/>
          <w:lang w:eastAsia="zh-CN"/>
        </w:rPr>
        <w:t>支付的租赁付款额，存在租赁激励的，扣除已享受的租赁激励相关金额；</w:t>
      </w:r>
    </w:p>
    <w:p w14:paraId="550590D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（3）承租人发生的</w:t>
      </w:r>
      <w:r>
        <w:rPr>
          <w:rFonts w:hint="eastAsia" w:ascii="宋体" w:hAnsi="宋体" w:eastAsia="宋体" w:cs="宋体"/>
          <w:b w:val="0"/>
          <w:bCs w:val="0"/>
          <w:i w:val="0"/>
          <w:color w:val="FF0000"/>
          <w:sz w:val="21"/>
          <w:szCs w:val="21"/>
          <w:u w:val="none"/>
          <w:lang w:eastAsia="zh-CN"/>
        </w:rPr>
        <w:t>初始直接费用</w:t>
      </w:r>
      <w:r>
        <w:rPr>
          <w:rFonts w:hint="eastAsia" w:ascii="宋体" w:hAnsi="宋体" w:eastAsia="宋体" w:cs="宋体"/>
          <w:b w:val="0"/>
          <w:bCs w:val="0"/>
          <w:i w:val="0"/>
          <w:sz w:val="21"/>
          <w:szCs w:val="21"/>
          <w:u w:val="none"/>
          <w:lang w:eastAsia="zh-CN"/>
        </w:rPr>
        <w:t>；</w:t>
      </w:r>
    </w:p>
    <w:p w14:paraId="63E50A6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（4）承租人为拆卸及移除租赁资产、复原租赁资产所在场地或将租赁资产恢复至租赁条款约定状态</w:t>
      </w:r>
      <w:r>
        <w:rPr>
          <w:rFonts w:hint="eastAsia" w:ascii="宋体" w:hAnsi="宋体" w:eastAsia="宋体" w:cs="宋体"/>
          <w:b w:val="0"/>
          <w:bCs w:val="0"/>
          <w:i w:val="0"/>
          <w:color w:val="FF0000"/>
          <w:sz w:val="21"/>
          <w:szCs w:val="21"/>
          <w:u w:val="none"/>
          <w:lang w:eastAsia="zh-CN"/>
        </w:rPr>
        <w:t>预计将发生的成本。</w:t>
      </w:r>
      <w:r>
        <w:rPr>
          <w:rFonts w:hint="eastAsia" w:ascii="宋体" w:hAnsi="宋体" w:eastAsia="宋体" w:cs="宋体"/>
          <w:b w:val="0"/>
          <w:bCs w:val="0"/>
          <w:i w:val="0"/>
          <w:color w:val="FF0000"/>
          <w:sz w:val="21"/>
          <w:szCs w:val="21"/>
          <w:u w:val="none"/>
          <w:lang w:eastAsia="zh-CN"/>
        </w:rPr>
        <w:br w:type="textWrapping"/>
      </w:r>
      <w:r>
        <w:rPr>
          <w:rFonts w:hint="eastAsia" w:ascii="宋体" w:hAnsi="宋体" w:eastAsia="宋体" w:cs="宋体"/>
          <w:b w:val="0"/>
          <w:bCs w:val="0"/>
          <w:i w:val="0"/>
          <w:sz w:val="21"/>
          <w:szCs w:val="21"/>
          <w:u w:val="none"/>
          <w:lang w:eastAsia="zh-CN"/>
        </w:rPr>
        <w:t xml:space="preserve">借：使用权资产（倒挤） </w:t>
      </w:r>
    </w:p>
    <w:p w14:paraId="11855F3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 xml:space="preserve">       租赁负债——未确认融资费用</w:t>
      </w:r>
    </w:p>
    <w:p w14:paraId="7954EA1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 xml:space="preserve">       银行存款（租赁激励） </w:t>
      </w:r>
    </w:p>
    <w:p w14:paraId="62DD756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 xml:space="preserve">       贷：租赁负债——租赁付款额</w:t>
      </w:r>
    </w:p>
    <w:p w14:paraId="3D3A270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 xml:space="preserve">               银行存款（初始直接费用） </w:t>
      </w:r>
    </w:p>
    <w:p w14:paraId="272EE08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 xml:space="preserve">               预计负债（期满拆除费用的现值） </w:t>
      </w:r>
    </w:p>
    <w:p w14:paraId="59BA296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color w:val="FF0000"/>
          <w:sz w:val="21"/>
          <w:szCs w:val="21"/>
          <w:u w:val="none"/>
          <w:lang w:eastAsia="zh-CN"/>
        </w:rPr>
      </w:pPr>
      <w:r>
        <w:rPr>
          <w:rFonts w:hint="eastAsia" w:ascii="宋体" w:hAnsi="宋体" w:eastAsia="宋体" w:cs="宋体"/>
          <w:b w:val="0"/>
          <w:bCs w:val="0"/>
          <w:i w:val="0"/>
          <w:color w:val="FF0000"/>
          <w:sz w:val="21"/>
          <w:szCs w:val="21"/>
          <w:u w:val="none"/>
          <w:lang w:eastAsia="zh-CN"/>
        </w:rPr>
        <w:t>三、使用权资产的后续计量</w:t>
      </w:r>
    </w:p>
    <w:p w14:paraId="1976FF8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使用权资产的后续计量基础：在租赁期开始日后，承租人应当采用成本模式，以成本减累计折旧及累计减值损失计量使用权资产。</w:t>
      </w:r>
    </w:p>
    <w:p w14:paraId="1BC8F3D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（1）使用权资产的折旧：自租赁期开始日起按月计提使用权资产累计折旧</w:t>
      </w:r>
    </w:p>
    <w:p w14:paraId="4DD42DB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借：制造费用/管理费用等</w:t>
      </w:r>
    </w:p>
    <w:p w14:paraId="024A3DE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 xml:space="preserve">       贷：使用权资产累计折旧</w:t>
      </w:r>
    </w:p>
    <w:p w14:paraId="5A603A5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（2）计提使用权资产减值准备（不得转回）：</w:t>
      </w:r>
    </w:p>
    <w:p w14:paraId="34A0943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借：资产减值损失</w:t>
      </w:r>
    </w:p>
    <w:p w14:paraId="2BE8948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 xml:space="preserve">       贷：使用权资产减值准备</w:t>
      </w:r>
    </w:p>
    <w:p w14:paraId="7BC3864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（3）租赁期满返还租赁资产时：</w:t>
      </w:r>
    </w:p>
    <w:p w14:paraId="5D686CD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借：使用权资产累计折旧</w:t>
      </w:r>
    </w:p>
    <w:p w14:paraId="2206DFB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 xml:space="preserve">       贷：使用权资产</w:t>
      </w:r>
    </w:p>
    <w:p w14:paraId="0460DDB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p>
    <w:p w14:paraId="69005A6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第二十章  持有待售的非流动资产、处置组和终止经营</w:t>
      </w:r>
    </w:p>
    <w:p w14:paraId="4009F96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i w:val="0"/>
          <w:sz w:val="21"/>
          <w:szCs w:val="21"/>
          <w:u w:val="none"/>
          <w:lang w:eastAsia="zh-CN"/>
        </w:rPr>
      </w:pPr>
    </w:p>
    <w:p w14:paraId="25DA936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一、持有待售的条件</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6"/>
        <w:gridCol w:w="7372"/>
      </w:tblGrid>
      <w:tr w14:paraId="27847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4" w:type="pct"/>
            <w:noWrap w:val="0"/>
            <w:vAlign w:val="top"/>
          </w:tcPr>
          <w:p w14:paraId="497B86B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1、可立即销售</w:t>
            </w:r>
          </w:p>
        </w:tc>
        <w:tc>
          <w:tcPr>
            <w:tcW w:w="3635" w:type="pct"/>
            <w:noWrap w:val="0"/>
            <w:vAlign w:val="top"/>
          </w:tcPr>
          <w:p w14:paraId="0B91D01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当前状况下即可立即出售</w:t>
            </w:r>
          </w:p>
        </w:tc>
      </w:tr>
      <w:tr w14:paraId="4C143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4" w:type="pct"/>
            <w:noWrap w:val="0"/>
            <w:vAlign w:val="top"/>
          </w:tcPr>
          <w:p w14:paraId="0A23344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p>
          <w:p w14:paraId="6B1EDCC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2、出售极可能发生</w:t>
            </w:r>
          </w:p>
        </w:tc>
        <w:tc>
          <w:tcPr>
            <w:tcW w:w="3635" w:type="pct"/>
            <w:noWrap w:val="0"/>
            <w:vAlign w:val="top"/>
          </w:tcPr>
          <w:p w14:paraId="655B0FE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（1）作出决议</w:t>
            </w:r>
          </w:p>
          <w:p w14:paraId="351E83B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（2）获得确定的购买承诺</w:t>
            </w:r>
          </w:p>
          <w:p w14:paraId="405702B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（3）预计出售将在一年内完成</w:t>
            </w:r>
          </w:p>
        </w:tc>
      </w:tr>
    </w:tbl>
    <w:p w14:paraId="290E4C5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二、划分为持有待售时的计量</w:t>
      </w:r>
    </w:p>
    <w:tbl>
      <w:tblPr>
        <w:tblStyle w:val="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2"/>
        <w:gridCol w:w="1900"/>
        <w:gridCol w:w="3433"/>
        <w:gridCol w:w="3471"/>
      </w:tblGrid>
      <w:tr w14:paraId="22D4F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pct"/>
            <w:vMerge w:val="restart"/>
            <w:noWrap w:val="0"/>
            <w:vAlign w:val="top"/>
          </w:tcPr>
          <w:p w14:paraId="6BD9955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p>
          <w:p w14:paraId="75B7F0C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p>
          <w:p w14:paraId="6949D29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p>
          <w:p w14:paraId="5B0E985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持有待售</w:t>
            </w:r>
          </w:p>
          <w:p w14:paraId="23AC7D5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非流动资产</w:t>
            </w:r>
          </w:p>
          <w:p w14:paraId="7D291F5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或处置组</w:t>
            </w:r>
          </w:p>
        </w:tc>
        <w:tc>
          <w:tcPr>
            <w:tcW w:w="937" w:type="pct"/>
            <w:noWrap w:val="0"/>
            <w:vAlign w:val="top"/>
          </w:tcPr>
          <w:p w14:paraId="7C9DC1A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整体账面低于其公允价值-处置费用的净额</w:t>
            </w:r>
          </w:p>
        </w:tc>
        <w:tc>
          <w:tcPr>
            <w:tcW w:w="1693" w:type="pct"/>
            <w:noWrap w:val="0"/>
            <w:vAlign w:val="top"/>
          </w:tcPr>
          <w:p w14:paraId="1E9E6A0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p>
          <w:p w14:paraId="75E40C0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不需要对账面价值进行调整</w:t>
            </w:r>
          </w:p>
        </w:tc>
        <w:tc>
          <w:tcPr>
            <w:tcW w:w="1711" w:type="pct"/>
            <w:noWrap w:val="0"/>
            <w:vAlign w:val="top"/>
          </w:tcPr>
          <w:p w14:paraId="74C2DEA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借：持有待售资产</w:t>
            </w:r>
          </w:p>
          <w:p w14:paraId="24CE4C7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 xml:space="preserve">  累计折旧</w:t>
            </w:r>
          </w:p>
          <w:p w14:paraId="3B76A93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 xml:space="preserve">  固定资产减值准备</w:t>
            </w:r>
          </w:p>
          <w:p w14:paraId="6A27878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 xml:space="preserve">  贷：固定资产</w:t>
            </w:r>
          </w:p>
        </w:tc>
      </w:tr>
      <w:tr w14:paraId="5DCDC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pct"/>
            <w:vMerge w:val="continue"/>
            <w:noWrap w:val="0"/>
            <w:vAlign w:val="top"/>
          </w:tcPr>
          <w:p w14:paraId="42AA149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i w:val="0"/>
                <w:sz w:val="21"/>
                <w:szCs w:val="21"/>
                <w:u w:val="none"/>
                <w:lang w:eastAsia="zh-CN"/>
              </w:rPr>
            </w:pPr>
          </w:p>
        </w:tc>
        <w:tc>
          <w:tcPr>
            <w:tcW w:w="937" w:type="pct"/>
            <w:noWrap w:val="0"/>
            <w:vAlign w:val="top"/>
          </w:tcPr>
          <w:p w14:paraId="42A850F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p>
          <w:p w14:paraId="648A277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整体账面高于其公允价值-处置费用的净额</w:t>
            </w:r>
          </w:p>
        </w:tc>
        <w:tc>
          <w:tcPr>
            <w:tcW w:w="1693" w:type="pct"/>
            <w:noWrap w:val="0"/>
            <w:vAlign w:val="top"/>
          </w:tcPr>
          <w:p w14:paraId="4BBC3CB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p>
          <w:p w14:paraId="3D65A5C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应当将账面价值减至公允价值-处置费用后的净额，减计的金额确认为资产减值损失。</w:t>
            </w:r>
          </w:p>
        </w:tc>
        <w:tc>
          <w:tcPr>
            <w:tcW w:w="1711" w:type="pct"/>
            <w:noWrap w:val="0"/>
            <w:vAlign w:val="top"/>
          </w:tcPr>
          <w:p w14:paraId="7FB5E2F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借：持有待售资产</w:t>
            </w:r>
          </w:p>
          <w:p w14:paraId="0DB3A61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 xml:space="preserve">   累计折旧</w:t>
            </w:r>
          </w:p>
          <w:p w14:paraId="4CFF129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 xml:space="preserve">   固定资产减值准备</w:t>
            </w:r>
          </w:p>
          <w:p w14:paraId="1C04A0D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 xml:space="preserve">       贷：固定资产</w:t>
            </w:r>
          </w:p>
          <w:p w14:paraId="216EE1B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借：资产减值损失</w:t>
            </w:r>
          </w:p>
          <w:p w14:paraId="6CB98D6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 xml:space="preserve">        贷：持有待售资产减值准备</w:t>
            </w:r>
          </w:p>
        </w:tc>
      </w:tr>
    </w:tbl>
    <w:p w14:paraId="4837EEA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【提示】出售费用包括出售发生的特定法律服务等中介费用，也包括消费税、城建税、土地增值税、印花税等，但不包括财务费用和所得税费用。</w:t>
      </w:r>
    </w:p>
    <w:p w14:paraId="0861BE2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三、持有待售非流动资产的后续计量</w:t>
      </w:r>
    </w:p>
    <w:p w14:paraId="08A8F40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1、持有待售非流动资产不应计提折旧或摊销（负债的利息和其他费用继续确认）。</w:t>
      </w:r>
    </w:p>
    <w:p w14:paraId="7CB1E48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2、企业在后续资产负债表日重新计量时，其账面价值高于公允价值-处置费用后的净额的，差额计提减值准备。</w:t>
      </w:r>
    </w:p>
    <w:p w14:paraId="2C48297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3、后续资产负债表日，持有待售的非流动资产公允价值减去出售费用后的净额增加的，以前减记的金额应当予以恢复，在划分为持有待售类别后确认的资产减值损失金额内转回。</w:t>
      </w:r>
    </w:p>
    <w:p w14:paraId="21B3F97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【提示】划分为持有待售类别前确认的资产减值损失不得转回。</w:t>
      </w:r>
    </w:p>
    <w:p w14:paraId="19B415B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四、不再继续划分为持有待售类别的计量</w:t>
      </w:r>
    </w:p>
    <w:p w14:paraId="64AF82C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从持有待售的处置组中移除时，应当按照以下两者孰低计量：</w:t>
      </w:r>
    </w:p>
    <w:p w14:paraId="6E4F6C1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（1）划分为持有待售类别前的账面价值，按照假定不划分为持有待售类别情况下本应确认的折旧、摊销或减值等进行调整后的金额；</w:t>
      </w:r>
    </w:p>
    <w:p w14:paraId="1097C11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（2）可收回金额。</w:t>
      </w:r>
    </w:p>
    <w:p w14:paraId="137533A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r>
        <w:rPr>
          <w:rFonts w:hint="eastAsia" w:ascii="宋体" w:hAnsi="宋体" w:eastAsia="宋体" w:cs="宋体"/>
          <w:b w:val="0"/>
          <w:bCs w:val="0"/>
          <w:i w:val="0"/>
          <w:sz w:val="21"/>
          <w:szCs w:val="21"/>
          <w:u w:val="none"/>
          <w:lang w:eastAsia="zh-CN"/>
        </w:rPr>
        <w:t>这样处理的结果是，原来划分为持有待售的非流动资产或处置组在重新分类后的账面价值，与其从未划分为持有待售类别情况下的账面价值相一致。由此产生的差额计入当期损益，可以 通过“资产减值损失”科目进行会计处理。</w:t>
      </w:r>
    </w:p>
    <w:p w14:paraId="4C5AACC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i w:val="0"/>
          <w:sz w:val="21"/>
          <w:szCs w:val="21"/>
          <w:u w:val="none"/>
          <w:lang w:eastAsia="zh-CN"/>
        </w:rPr>
      </w:pPr>
    </w:p>
    <w:p w14:paraId="563811E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i w:val="0"/>
          <w:sz w:val="21"/>
          <w:szCs w:val="21"/>
          <w:u w:val="none"/>
          <w:lang w:eastAsia="zh-CN"/>
        </w:rPr>
      </w:pPr>
    </w:p>
    <w:p w14:paraId="1E0A3AC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u w:val="none"/>
          <w:lang w:val="en-US" w:eastAsia="zh-CN"/>
        </w:rPr>
      </w:pPr>
      <w:r>
        <w:rPr>
          <w:rFonts w:hint="eastAsia" w:ascii="宋体" w:hAnsi="宋体" w:eastAsia="宋体" w:cs="宋体"/>
          <w:b w:val="0"/>
          <w:bCs w:val="0"/>
          <w:i w:val="0"/>
          <w:sz w:val="21"/>
          <w:u w:val="none"/>
          <w:lang w:val="en-US" w:eastAsia="zh-CN"/>
        </w:rPr>
        <w:t>第二十一章  企业合并与合并财务报表</w:t>
      </w:r>
    </w:p>
    <w:p w14:paraId="15817B6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u w:val="none"/>
          <w:lang w:val="en-US" w:eastAsia="zh-CN"/>
        </w:rPr>
      </w:pPr>
    </w:p>
    <w:p w14:paraId="476E8F4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u w:val="none"/>
          <w:lang w:val="en-US" w:eastAsia="zh-CN"/>
        </w:rPr>
      </w:pPr>
      <w:r>
        <w:rPr>
          <w:rFonts w:hint="eastAsia" w:ascii="宋体" w:hAnsi="宋体" w:eastAsia="宋体" w:cs="宋体"/>
          <w:b w:val="0"/>
          <w:bCs w:val="0"/>
          <w:i w:val="0"/>
          <w:sz w:val="21"/>
          <w:u w:val="none"/>
          <w:lang w:val="en-US" w:eastAsia="zh-CN"/>
        </w:rPr>
        <w:t>合并财务报表（掌握非同一控制下企业合并）</w:t>
      </w:r>
      <w:r>
        <w:rPr>
          <w:rFonts w:hint="eastAsia" w:ascii="宋体" w:hAnsi="宋体" w:eastAsia="宋体" w:cs="宋体"/>
          <w:b w:val="0"/>
          <w:bCs w:val="0"/>
          <w:i w:val="0"/>
          <w:sz w:val="21"/>
          <w:u w:val="none"/>
          <w:lang w:val="en-US" w:eastAsia="zh-CN"/>
        </w:rPr>
        <w:br w:type="textWrapping"/>
      </w:r>
      <w:r>
        <w:rPr>
          <w:rFonts w:hint="eastAsia" w:ascii="宋体" w:hAnsi="宋体" w:eastAsia="宋体" w:cs="宋体"/>
          <w:b w:val="0"/>
          <w:bCs w:val="0"/>
          <w:i w:val="0"/>
          <w:sz w:val="21"/>
          <w:u w:val="none"/>
          <w:lang w:val="en-US" w:eastAsia="zh-CN"/>
        </w:rPr>
        <w:t>（★★★）</w:t>
      </w:r>
    </w:p>
    <w:p w14:paraId="57646CD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u w:val="none"/>
          <w:lang w:val="en-US" w:eastAsia="zh-CN"/>
        </w:rPr>
      </w:pPr>
      <w:r>
        <w:rPr>
          <w:rFonts w:hint="eastAsia" w:ascii="宋体" w:hAnsi="宋体" w:eastAsia="宋体" w:cs="宋体"/>
          <w:b w:val="0"/>
          <w:bCs w:val="0"/>
          <w:i w:val="0"/>
          <w:sz w:val="21"/>
          <w:u w:val="none"/>
          <w:lang w:val="en-US" w:eastAsia="zh-CN"/>
        </w:rPr>
        <w:t>购买日合并商誉＝企业合并成本－被购买方可辨认净资产公允价值×母公司持股比例</w:t>
      </w:r>
    </w:p>
    <w:p w14:paraId="53FE362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u w:val="none"/>
          <w:lang w:val="en-US" w:eastAsia="zh-CN"/>
        </w:rPr>
      </w:pPr>
      <w:r>
        <w:rPr>
          <w:rFonts w:hint="eastAsia" w:ascii="宋体" w:hAnsi="宋体" w:eastAsia="宋体" w:cs="宋体"/>
          <w:b w:val="0"/>
          <w:bCs w:val="0"/>
          <w:i w:val="0"/>
          <w:sz w:val="21"/>
          <w:u w:val="none"/>
          <w:lang w:val="en-US" w:eastAsia="zh-CN"/>
        </w:rPr>
        <w:t>1、将购买日子公司的账面价值调整为公允价值；</w:t>
      </w:r>
    </w:p>
    <w:p w14:paraId="0C97735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u w:val="none"/>
          <w:lang w:val="en-US" w:eastAsia="zh-CN"/>
        </w:rPr>
      </w:pPr>
      <w:r>
        <w:rPr>
          <w:rFonts w:hint="eastAsia" w:ascii="宋体" w:hAnsi="宋体" w:eastAsia="宋体" w:cs="宋体"/>
          <w:b w:val="0"/>
          <w:bCs w:val="0"/>
          <w:i w:val="0"/>
          <w:sz w:val="21"/>
          <w:u w:val="none"/>
          <w:lang w:val="en-US" w:eastAsia="zh-CN"/>
        </w:rPr>
        <w:t xml:space="preserve">2、长期股权投资项目与子公司所有者权益项目的抵销。 </w:t>
      </w:r>
    </w:p>
    <w:p w14:paraId="3776F39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u w:val="none"/>
          <w:lang w:val="en-US" w:eastAsia="zh-CN"/>
        </w:rPr>
      </w:pPr>
    </w:p>
    <w:p w14:paraId="555B5DC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u w:val="none"/>
          <w:lang w:val="en-US" w:eastAsia="zh-CN"/>
        </w:rPr>
      </w:pPr>
      <w:r>
        <w:rPr>
          <w:rFonts w:hint="eastAsia" w:ascii="宋体" w:hAnsi="宋体" w:eastAsia="宋体" w:cs="宋体"/>
          <w:b w:val="0"/>
          <w:bCs w:val="0"/>
          <w:i w:val="0"/>
          <w:sz w:val="21"/>
          <w:u w:val="none"/>
          <w:lang w:val="en-US" w:eastAsia="zh-CN"/>
        </w:rPr>
        <w:t>第二十二章  会计政策、会计估计变更和差错更正</w:t>
      </w:r>
      <w:r>
        <w:rPr>
          <w:rFonts w:hint="eastAsia" w:ascii="宋体" w:hAnsi="宋体" w:eastAsia="宋体" w:cs="宋体"/>
          <w:b w:val="0"/>
          <w:bCs w:val="0"/>
          <w:i w:val="0"/>
          <w:sz w:val="21"/>
          <w:u w:val="none"/>
          <w:lang w:val="en-US" w:eastAsia="zh-CN"/>
        </w:rPr>
        <w:br w:type="textWrapping"/>
      </w:r>
      <w:r>
        <w:rPr>
          <w:rFonts w:hint="eastAsia" w:ascii="宋体" w:hAnsi="宋体" w:eastAsia="宋体" w:cs="宋体"/>
          <w:b w:val="0"/>
          <w:bCs w:val="0"/>
          <w:i w:val="0"/>
          <w:sz w:val="21"/>
          <w:u w:val="none"/>
          <w:lang w:val="en-US" w:eastAsia="zh-CN"/>
        </w:rPr>
        <w:t>第二十三章</w:t>
      </w:r>
      <w:r>
        <w:rPr>
          <w:rFonts w:hint="eastAsia" w:ascii="宋体" w:hAnsi="宋体" w:cs="宋体"/>
          <w:b w:val="0"/>
          <w:bCs w:val="0"/>
          <w:i w:val="0"/>
          <w:sz w:val="21"/>
          <w:u w:val="none"/>
          <w:lang w:val="en-US" w:eastAsia="zh-CN"/>
        </w:rPr>
        <w:t xml:space="preserve">  </w:t>
      </w:r>
      <w:r>
        <w:rPr>
          <w:rFonts w:hint="eastAsia" w:ascii="宋体" w:hAnsi="宋体" w:eastAsia="宋体" w:cs="宋体"/>
          <w:b w:val="0"/>
          <w:bCs w:val="0"/>
          <w:i w:val="0"/>
          <w:sz w:val="21"/>
          <w:u w:val="none"/>
          <w:lang w:val="en-US" w:eastAsia="zh-CN"/>
        </w:rPr>
        <w:t>资产负债表日后事项</w:t>
      </w:r>
      <w:r>
        <w:rPr>
          <w:rFonts w:hint="eastAsia" w:ascii="宋体" w:hAnsi="宋体" w:eastAsia="宋体" w:cs="宋体"/>
          <w:b w:val="0"/>
          <w:bCs w:val="0"/>
          <w:i w:val="0"/>
          <w:sz w:val="21"/>
          <w:u w:val="none"/>
          <w:lang w:val="en-US" w:eastAsia="zh-CN"/>
        </w:rPr>
        <w:br w:type="textWrapping"/>
      </w:r>
    </w:p>
    <w:p w14:paraId="5024EA9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u w:val="none"/>
          <w:lang w:val="en-US" w:eastAsia="zh-CN"/>
        </w:rPr>
      </w:pPr>
      <w:r>
        <w:rPr>
          <w:rFonts w:hint="eastAsia" w:ascii="宋体" w:hAnsi="宋体" w:eastAsia="宋体" w:cs="宋体"/>
          <w:b w:val="0"/>
          <w:bCs w:val="0"/>
          <w:i w:val="0"/>
          <w:sz w:val="21"/>
          <w:u w:val="none"/>
          <w:lang w:val="en-US" w:eastAsia="zh-CN"/>
        </w:rPr>
        <w:t>第二十二章、第二十三章</w:t>
      </w:r>
    </w:p>
    <w:p w14:paraId="050BED7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i w:val="0"/>
          <w:sz w:val="21"/>
          <w:u w:val="none"/>
          <w:lang w:val="en-US" w:eastAsia="zh-CN"/>
        </w:rPr>
      </w:pPr>
    </w:p>
    <w:p w14:paraId="28F7174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u w:val="none"/>
          <w:lang w:val="en-US" w:eastAsia="zh-CN"/>
        </w:rPr>
      </w:pPr>
      <w:r>
        <w:rPr>
          <w:rFonts w:hint="eastAsia" w:ascii="宋体" w:hAnsi="宋体" w:eastAsia="宋体" w:cs="宋体"/>
          <w:b w:val="0"/>
          <w:bCs w:val="0"/>
          <w:i w:val="0"/>
          <w:sz w:val="21"/>
          <w:u w:val="none"/>
          <w:lang w:val="en-US" w:eastAsia="zh-CN"/>
        </w:rPr>
        <w:t>一、会计政策、会计估计变更的判断：（★）</w:t>
      </w:r>
    </w:p>
    <w:tbl>
      <w:tblPr>
        <w:tblStyle w:val="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6318"/>
        <w:gridCol w:w="1628"/>
        <w:gridCol w:w="1515"/>
      </w:tblGrid>
      <w:tr w14:paraId="1CF44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9" w:type="pct"/>
            <w:gridSpan w:val="2"/>
            <w:noWrap w:val="0"/>
            <w:vAlign w:val="top"/>
          </w:tcPr>
          <w:p w14:paraId="12AB746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i w:val="0"/>
                <w:sz w:val="21"/>
                <w:u w:val="none"/>
                <w:lang w:val="en-US" w:eastAsia="zh-CN"/>
              </w:rPr>
            </w:pPr>
            <w:r>
              <w:rPr>
                <w:rFonts w:hint="eastAsia" w:ascii="宋体" w:hAnsi="宋体" w:eastAsia="宋体" w:cs="宋体"/>
                <w:b w:val="0"/>
                <w:bCs w:val="0"/>
                <w:i w:val="0"/>
                <w:sz w:val="21"/>
                <w:u w:val="none"/>
                <w:lang w:val="en-US" w:eastAsia="zh-CN"/>
              </w:rPr>
              <w:t>业务</w:t>
            </w:r>
          </w:p>
        </w:tc>
        <w:tc>
          <w:tcPr>
            <w:tcW w:w="803" w:type="pct"/>
            <w:noWrap w:val="0"/>
            <w:vAlign w:val="top"/>
          </w:tcPr>
          <w:p w14:paraId="2A23954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i w:val="0"/>
                <w:sz w:val="21"/>
                <w:u w:val="none"/>
                <w:lang w:val="en-US" w:eastAsia="zh-CN"/>
              </w:rPr>
            </w:pPr>
            <w:r>
              <w:rPr>
                <w:rFonts w:hint="eastAsia" w:ascii="宋体" w:hAnsi="宋体" w:eastAsia="宋体" w:cs="宋体"/>
                <w:b w:val="0"/>
                <w:bCs w:val="0"/>
                <w:i w:val="0"/>
                <w:sz w:val="21"/>
                <w:u w:val="none"/>
                <w:lang w:val="en-US" w:eastAsia="zh-CN"/>
              </w:rPr>
              <w:t>会计政策变更</w:t>
            </w:r>
          </w:p>
        </w:tc>
        <w:tc>
          <w:tcPr>
            <w:tcW w:w="747" w:type="pct"/>
            <w:noWrap w:val="0"/>
            <w:vAlign w:val="top"/>
          </w:tcPr>
          <w:p w14:paraId="076C17E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i w:val="0"/>
                <w:sz w:val="21"/>
                <w:u w:val="none"/>
                <w:lang w:val="en-US" w:eastAsia="zh-CN"/>
              </w:rPr>
            </w:pPr>
            <w:r>
              <w:rPr>
                <w:rFonts w:hint="eastAsia" w:ascii="宋体" w:hAnsi="宋体" w:eastAsia="宋体" w:cs="宋体"/>
                <w:b w:val="0"/>
                <w:bCs w:val="0"/>
                <w:i w:val="0"/>
                <w:sz w:val="21"/>
                <w:u w:val="none"/>
                <w:lang w:val="en-US" w:eastAsia="zh-CN"/>
              </w:rPr>
              <w:t>会计估计变更</w:t>
            </w:r>
          </w:p>
        </w:tc>
      </w:tr>
      <w:tr w14:paraId="337D4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noWrap w:val="0"/>
            <w:vAlign w:val="top"/>
          </w:tcPr>
          <w:p w14:paraId="7CA97C0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i w:val="0"/>
                <w:sz w:val="21"/>
                <w:u w:val="none"/>
                <w:lang w:val="en-US" w:eastAsia="zh-CN"/>
              </w:rPr>
            </w:pPr>
            <w:r>
              <w:rPr>
                <w:rFonts w:hint="eastAsia" w:ascii="宋体" w:hAnsi="宋体" w:eastAsia="宋体" w:cs="宋体"/>
                <w:b w:val="0"/>
                <w:bCs w:val="0"/>
                <w:i w:val="0"/>
                <w:sz w:val="21"/>
                <w:u w:val="none"/>
                <w:lang w:val="en-US" w:eastAsia="zh-CN"/>
              </w:rPr>
              <w:t>1</w:t>
            </w:r>
          </w:p>
        </w:tc>
        <w:tc>
          <w:tcPr>
            <w:tcW w:w="3115" w:type="pct"/>
            <w:noWrap w:val="0"/>
            <w:vAlign w:val="top"/>
          </w:tcPr>
          <w:p w14:paraId="355541F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i w:val="0"/>
                <w:sz w:val="21"/>
                <w:u w:val="none"/>
                <w:lang w:val="en-US" w:eastAsia="zh-CN"/>
              </w:rPr>
            </w:pPr>
            <w:r>
              <w:rPr>
                <w:rFonts w:hint="eastAsia" w:ascii="宋体" w:hAnsi="宋体" w:eastAsia="宋体" w:cs="宋体"/>
                <w:b w:val="0"/>
                <w:bCs w:val="0"/>
                <w:i w:val="0"/>
                <w:sz w:val="21"/>
                <w:u w:val="none"/>
                <w:lang w:val="en-US" w:eastAsia="zh-CN"/>
              </w:rPr>
              <w:t>投资性房地产的后续计量由成本模式改为公允价值模式。</w:t>
            </w:r>
          </w:p>
        </w:tc>
        <w:tc>
          <w:tcPr>
            <w:tcW w:w="803" w:type="pct"/>
            <w:noWrap w:val="0"/>
            <w:vAlign w:val="top"/>
          </w:tcPr>
          <w:p w14:paraId="2358405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i w:val="0"/>
                <w:sz w:val="21"/>
                <w:u w:val="none"/>
                <w:lang w:val="en-US" w:eastAsia="zh-CN"/>
              </w:rPr>
            </w:pPr>
            <w:r>
              <w:rPr>
                <w:rFonts w:hint="eastAsia" w:ascii="宋体" w:hAnsi="宋体" w:eastAsia="宋体" w:cs="宋体"/>
                <w:b w:val="0"/>
                <w:bCs w:val="0"/>
                <w:i w:val="0"/>
                <w:sz w:val="21"/>
                <w:u w:val="none"/>
                <w:lang w:val="en-US" w:eastAsia="zh-CN"/>
              </w:rPr>
              <w:t>√</w:t>
            </w:r>
          </w:p>
        </w:tc>
        <w:tc>
          <w:tcPr>
            <w:tcW w:w="747" w:type="pct"/>
            <w:noWrap w:val="0"/>
            <w:vAlign w:val="top"/>
          </w:tcPr>
          <w:p w14:paraId="28D5FE0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i w:val="0"/>
                <w:sz w:val="21"/>
                <w:u w:val="none"/>
                <w:lang w:val="en-US" w:eastAsia="zh-CN"/>
              </w:rPr>
            </w:pPr>
          </w:p>
        </w:tc>
      </w:tr>
      <w:tr w14:paraId="049DB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noWrap w:val="0"/>
            <w:vAlign w:val="top"/>
          </w:tcPr>
          <w:p w14:paraId="4CC0C74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i w:val="0"/>
                <w:sz w:val="21"/>
                <w:u w:val="none"/>
                <w:lang w:val="en-US" w:eastAsia="zh-CN"/>
              </w:rPr>
            </w:pPr>
            <w:r>
              <w:rPr>
                <w:rFonts w:hint="eastAsia" w:ascii="宋体" w:hAnsi="宋体" w:eastAsia="宋体" w:cs="宋体"/>
                <w:b w:val="0"/>
                <w:bCs w:val="0"/>
                <w:i w:val="0"/>
                <w:sz w:val="21"/>
                <w:u w:val="none"/>
                <w:lang w:val="en-US" w:eastAsia="zh-CN"/>
              </w:rPr>
              <w:t>2</w:t>
            </w:r>
          </w:p>
        </w:tc>
        <w:tc>
          <w:tcPr>
            <w:tcW w:w="3115" w:type="pct"/>
            <w:noWrap w:val="0"/>
            <w:vAlign w:val="top"/>
          </w:tcPr>
          <w:p w14:paraId="7D8DFFF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i w:val="0"/>
                <w:sz w:val="21"/>
                <w:u w:val="none"/>
                <w:lang w:val="en-US" w:eastAsia="zh-CN"/>
              </w:rPr>
            </w:pPr>
            <w:r>
              <w:rPr>
                <w:rFonts w:hint="eastAsia" w:ascii="宋体" w:hAnsi="宋体" w:eastAsia="宋体" w:cs="宋体"/>
                <w:b w:val="0"/>
                <w:bCs w:val="0"/>
                <w:i w:val="0"/>
                <w:sz w:val="21"/>
                <w:u w:val="none"/>
                <w:lang w:val="en-US" w:eastAsia="zh-CN"/>
              </w:rPr>
              <w:t>存货发出计价方法的变更。</w:t>
            </w:r>
          </w:p>
        </w:tc>
        <w:tc>
          <w:tcPr>
            <w:tcW w:w="803" w:type="pct"/>
            <w:noWrap w:val="0"/>
            <w:vAlign w:val="top"/>
          </w:tcPr>
          <w:p w14:paraId="2EA0416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i w:val="0"/>
                <w:sz w:val="21"/>
                <w:u w:val="none"/>
                <w:lang w:val="en-US" w:eastAsia="zh-CN"/>
              </w:rPr>
            </w:pPr>
            <w:r>
              <w:rPr>
                <w:rFonts w:hint="eastAsia" w:ascii="宋体" w:hAnsi="宋体" w:eastAsia="宋体" w:cs="宋体"/>
                <w:b w:val="0"/>
                <w:bCs w:val="0"/>
                <w:i w:val="0"/>
                <w:sz w:val="21"/>
                <w:u w:val="none"/>
                <w:lang w:val="en-US" w:eastAsia="zh-CN"/>
              </w:rPr>
              <w:t>√</w:t>
            </w:r>
          </w:p>
        </w:tc>
        <w:tc>
          <w:tcPr>
            <w:tcW w:w="747" w:type="pct"/>
            <w:noWrap w:val="0"/>
            <w:vAlign w:val="top"/>
          </w:tcPr>
          <w:p w14:paraId="5C617A5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i w:val="0"/>
                <w:sz w:val="21"/>
                <w:u w:val="none"/>
                <w:lang w:val="en-US" w:eastAsia="zh-CN"/>
              </w:rPr>
            </w:pPr>
          </w:p>
        </w:tc>
      </w:tr>
      <w:tr w14:paraId="688C0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noWrap w:val="0"/>
            <w:vAlign w:val="top"/>
          </w:tcPr>
          <w:p w14:paraId="1A2C89F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i w:val="0"/>
                <w:sz w:val="21"/>
                <w:u w:val="none"/>
                <w:lang w:val="en-US" w:eastAsia="zh-CN"/>
              </w:rPr>
            </w:pPr>
            <w:r>
              <w:rPr>
                <w:rFonts w:hint="eastAsia" w:ascii="宋体" w:hAnsi="宋体" w:eastAsia="宋体" w:cs="宋体"/>
                <w:b w:val="0"/>
                <w:bCs w:val="0"/>
                <w:i w:val="0"/>
                <w:sz w:val="21"/>
                <w:u w:val="none"/>
                <w:lang w:val="en-US" w:eastAsia="zh-CN"/>
              </w:rPr>
              <w:t>3</w:t>
            </w:r>
          </w:p>
        </w:tc>
        <w:tc>
          <w:tcPr>
            <w:tcW w:w="3115" w:type="pct"/>
            <w:noWrap w:val="0"/>
            <w:vAlign w:val="top"/>
          </w:tcPr>
          <w:p w14:paraId="4CB692F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i w:val="0"/>
                <w:sz w:val="21"/>
                <w:u w:val="none"/>
                <w:lang w:val="en-US" w:eastAsia="zh-CN"/>
              </w:rPr>
            </w:pPr>
            <w:r>
              <w:rPr>
                <w:rFonts w:hint="eastAsia" w:ascii="宋体" w:hAnsi="宋体" w:eastAsia="宋体" w:cs="宋体"/>
                <w:b w:val="0"/>
                <w:bCs w:val="0"/>
                <w:i w:val="0"/>
                <w:sz w:val="21"/>
                <w:u w:val="none"/>
                <w:lang w:val="en-US" w:eastAsia="zh-CN"/>
              </w:rPr>
              <w:t>固定资产、无形资产的折旧年限、净残值率、摊销年限的变更等。</w:t>
            </w:r>
          </w:p>
        </w:tc>
        <w:tc>
          <w:tcPr>
            <w:tcW w:w="803" w:type="pct"/>
            <w:noWrap w:val="0"/>
            <w:vAlign w:val="top"/>
          </w:tcPr>
          <w:p w14:paraId="47B4D48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i w:val="0"/>
                <w:sz w:val="21"/>
                <w:u w:val="none"/>
                <w:lang w:val="en-US" w:eastAsia="zh-CN"/>
              </w:rPr>
            </w:pPr>
          </w:p>
        </w:tc>
        <w:tc>
          <w:tcPr>
            <w:tcW w:w="747" w:type="pct"/>
            <w:noWrap w:val="0"/>
            <w:vAlign w:val="top"/>
          </w:tcPr>
          <w:p w14:paraId="749B14A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i w:val="0"/>
                <w:sz w:val="21"/>
                <w:u w:val="none"/>
                <w:lang w:val="en-US" w:eastAsia="zh-CN"/>
              </w:rPr>
            </w:pPr>
            <w:r>
              <w:rPr>
                <w:rFonts w:hint="eastAsia" w:ascii="宋体" w:hAnsi="宋体" w:eastAsia="宋体" w:cs="宋体"/>
                <w:b w:val="0"/>
                <w:bCs w:val="0"/>
                <w:i w:val="0"/>
                <w:sz w:val="21"/>
                <w:u w:val="none"/>
                <w:lang w:val="en-US" w:eastAsia="zh-CN"/>
              </w:rPr>
              <w:t>√</w:t>
            </w:r>
          </w:p>
        </w:tc>
      </w:tr>
      <w:tr w14:paraId="6C11D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noWrap w:val="0"/>
            <w:vAlign w:val="top"/>
          </w:tcPr>
          <w:p w14:paraId="50A6AEE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i w:val="0"/>
                <w:sz w:val="21"/>
                <w:u w:val="none"/>
                <w:lang w:val="en-US" w:eastAsia="zh-CN"/>
              </w:rPr>
            </w:pPr>
            <w:r>
              <w:rPr>
                <w:rFonts w:hint="eastAsia" w:ascii="宋体" w:hAnsi="宋体" w:eastAsia="宋体" w:cs="宋体"/>
                <w:b w:val="0"/>
                <w:bCs w:val="0"/>
                <w:i w:val="0"/>
                <w:sz w:val="21"/>
                <w:u w:val="none"/>
                <w:lang w:val="en-US" w:eastAsia="zh-CN"/>
              </w:rPr>
              <w:t>4</w:t>
            </w:r>
          </w:p>
        </w:tc>
        <w:tc>
          <w:tcPr>
            <w:tcW w:w="3115" w:type="pct"/>
            <w:noWrap w:val="0"/>
            <w:vAlign w:val="top"/>
          </w:tcPr>
          <w:p w14:paraId="57085ED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i w:val="0"/>
                <w:sz w:val="21"/>
                <w:u w:val="none"/>
                <w:lang w:val="en-US" w:eastAsia="zh-CN"/>
              </w:rPr>
            </w:pPr>
            <w:r>
              <w:rPr>
                <w:rFonts w:hint="eastAsia" w:ascii="宋体" w:hAnsi="宋体" w:eastAsia="宋体" w:cs="宋体"/>
                <w:b w:val="0"/>
                <w:bCs w:val="0"/>
                <w:i w:val="0"/>
                <w:sz w:val="21"/>
                <w:u w:val="none"/>
                <w:lang w:val="en-US" w:eastAsia="zh-CN"/>
              </w:rPr>
              <w:t>资产减值准备原来按照分类来计提，现改为按照单项计提。</w:t>
            </w:r>
          </w:p>
        </w:tc>
        <w:tc>
          <w:tcPr>
            <w:tcW w:w="803" w:type="pct"/>
            <w:noWrap w:val="0"/>
            <w:vAlign w:val="top"/>
          </w:tcPr>
          <w:p w14:paraId="4045F64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i w:val="0"/>
                <w:sz w:val="21"/>
                <w:u w:val="none"/>
                <w:lang w:val="en-US" w:eastAsia="zh-CN"/>
              </w:rPr>
            </w:pPr>
          </w:p>
        </w:tc>
        <w:tc>
          <w:tcPr>
            <w:tcW w:w="747" w:type="pct"/>
            <w:noWrap w:val="0"/>
            <w:vAlign w:val="top"/>
          </w:tcPr>
          <w:p w14:paraId="039C2BE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i w:val="0"/>
                <w:sz w:val="21"/>
                <w:u w:val="none"/>
                <w:lang w:val="en-US" w:eastAsia="zh-CN"/>
              </w:rPr>
            </w:pPr>
            <w:r>
              <w:rPr>
                <w:rFonts w:hint="eastAsia" w:ascii="宋体" w:hAnsi="宋体" w:eastAsia="宋体" w:cs="宋体"/>
                <w:b w:val="0"/>
                <w:bCs w:val="0"/>
                <w:i w:val="0"/>
                <w:sz w:val="21"/>
                <w:u w:val="none"/>
                <w:lang w:val="en-US" w:eastAsia="zh-CN"/>
              </w:rPr>
              <w:t>√</w:t>
            </w:r>
          </w:p>
        </w:tc>
      </w:tr>
      <w:tr w14:paraId="159DF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noWrap w:val="0"/>
            <w:vAlign w:val="top"/>
          </w:tcPr>
          <w:p w14:paraId="3E8B2DA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i w:val="0"/>
                <w:sz w:val="21"/>
                <w:u w:val="none"/>
                <w:lang w:val="en-US" w:eastAsia="zh-CN"/>
              </w:rPr>
            </w:pPr>
            <w:r>
              <w:rPr>
                <w:rFonts w:hint="eastAsia" w:ascii="宋体" w:hAnsi="宋体" w:eastAsia="宋体" w:cs="宋体"/>
                <w:b w:val="0"/>
                <w:bCs w:val="0"/>
                <w:i w:val="0"/>
                <w:sz w:val="21"/>
                <w:u w:val="none"/>
                <w:lang w:val="en-US" w:eastAsia="zh-CN"/>
              </w:rPr>
              <w:t>5</w:t>
            </w:r>
          </w:p>
        </w:tc>
        <w:tc>
          <w:tcPr>
            <w:tcW w:w="3115" w:type="pct"/>
            <w:noWrap w:val="0"/>
            <w:vAlign w:val="top"/>
          </w:tcPr>
          <w:p w14:paraId="4320D56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i w:val="0"/>
                <w:sz w:val="21"/>
                <w:u w:val="none"/>
                <w:lang w:val="en-US" w:eastAsia="zh-CN"/>
              </w:rPr>
            </w:pPr>
            <w:r>
              <w:rPr>
                <w:rFonts w:hint="eastAsia" w:ascii="宋体" w:hAnsi="宋体" w:eastAsia="宋体" w:cs="宋体"/>
                <w:b w:val="0"/>
                <w:bCs w:val="0"/>
                <w:i w:val="0"/>
                <w:sz w:val="21"/>
                <w:u w:val="none"/>
                <w:lang w:val="en-US" w:eastAsia="zh-CN"/>
              </w:rPr>
              <w:t>坏账准备由原余额百分比法改为账龄分析法、或10%→20%。</w:t>
            </w:r>
          </w:p>
        </w:tc>
        <w:tc>
          <w:tcPr>
            <w:tcW w:w="803" w:type="pct"/>
            <w:noWrap w:val="0"/>
            <w:vAlign w:val="top"/>
          </w:tcPr>
          <w:p w14:paraId="183743D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i w:val="0"/>
                <w:sz w:val="21"/>
                <w:u w:val="none"/>
                <w:lang w:val="en-US" w:eastAsia="zh-CN"/>
              </w:rPr>
            </w:pPr>
          </w:p>
        </w:tc>
        <w:tc>
          <w:tcPr>
            <w:tcW w:w="747" w:type="pct"/>
            <w:noWrap w:val="0"/>
            <w:vAlign w:val="top"/>
          </w:tcPr>
          <w:p w14:paraId="7FC390B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i w:val="0"/>
                <w:sz w:val="21"/>
                <w:u w:val="none"/>
                <w:lang w:val="en-US" w:eastAsia="zh-CN"/>
              </w:rPr>
            </w:pPr>
            <w:r>
              <w:rPr>
                <w:rFonts w:hint="eastAsia" w:ascii="宋体" w:hAnsi="宋体" w:eastAsia="宋体" w:cs="宋体"/>
                <w:b w:val="0"/>
                <w:bCs w:val="0"/>
                <w:i w:val="0"/>
                <w:sz w:val="21"/>
                <w:u w:val="none"/>
                <w:lang w:val="en-US" w:eastAsia="zh-CN"/>
              </w:rPr>
              <w:t>√</w:t>
            </w:r>
          </w:p>
        </w:tc>
      </w:tr>
      <w:tr w14:paraId="6AE4C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noWrap w:val="0"/>
            <w:vAlign w:val="top"/>
          </w:tcPr>
          <w:p w14:paraId="7A864B5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i w:val="0"/>
                <w:sz w:val="21"/>
                <w:u w:val="none"/>
                <w:lang w:val="en-US" w:eastAsia="zh-CN"/>
              </w:rPr>
            </w:pPr>
            <w:r>
              <w:rPr>
                <w:rFonts w:hint="eastAsia" w:ascii="宋体" w:hAnsi="宋体" w:eastAsia="宋体" w:cs="宋体"/>
                <w:b w:val="0"/>
                <w:bCs w:val="0"/>
                <w:i w:val="0"/>
                <w:sz w:val="21"/>
                <w:u w:val="none"/>
                <w:lang w:val="en-US" w:eastAsia="zh-CN"/>
              </w:rPr>
              <w:t>6</w:t>
            </w:r>
          </w:p>
        </w:tc>
        <w:tc>
          <w:tcPr>
            <w:tcW w:w="3115" w:type="pct"/>
            <w:noWrap w:val="0"/>
            <w:vAlign w:val="top"/>
          </w:tcPr>
          <w:p w14:paraId="5120FD7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i w:val="0"/>
                <w:sz w:val="21"/>
                <w:u w:val="none"/>
                <w:lang w:val="en-US" w:eastAsia="zh-CN"/>
              </w:rPr>
            </w:pPr>
            <w:r>
              <w:rPr>
                <w:rFonts w:hint="eastAsia" w:ascii="宋体" w:hAnsi="宋体" w:eastAsia="宋体" w:cs="宋体"/>
                <w:b w:val="0"/>
                <w:bCs w:val="0"/>
                <w:i w:val="0"/>
                <w:sz w:val="21"/>
                <w:u w:val="none"/>
                <w:lang w:val="en-US" w:eastAsia="zh-CN"/>
              </w:rPr>
              <w:t>因或有事项确认的预计负债根据最新证据进行调整。</w:t>
            </w:r>
          </w:p>
        </w:tc>
        <w:tc>
          <w:tcPr>
            <w:tcW w:w="803" w:type="pct"/>
            <w:noWrap w:val="0"/>
            <w:vAlign w:val="top"/>
          </w:tcPr>
          <w:p w14:paraId="3621E37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i w:val="0"/>
                <w:sz w:val="21"/>
                <w:u w:val="none"/>
                <w:lang w:val="en-US" w:eastAsia="zh-CN"/>
              </w:rPr>
            </w:pPr>
          </w:p>
        </w:tc>
        <w:tc>
          <w:tcPr>
            <w:tcW w:w="747" w:type="pct"/>
            <w:noWrap w:val="0"/>
            <w:vAlign w:val="top"/>
          </w:tcPr>
          <w:p w14:paraId="6D4F4BA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i w:val="0"/>
                <w:sz w:val="21"/>
                <w:u w:val="none"/>
                <w:lang w:val="en-US" w:eastAsia="zh-CN"/>
              </w:rPr>
            </w:pPr>
            <w:r>
              <w:rPr>
                <w:rFonts w:hint="eastAsia" w:ascii="宋体" w:hAnsi="宋体" w:eastAsia="宋体" w:cs="宋体"/>
                <w:b w:val="0"/>
                <w:bCs w:val="0"/>
                <w:i w:val="0"/>
                <w:sz w:val="21"/>
                <w:u w:val="none"/>
                <w:lang w:val="en-US" w:eastAsia="zh-CN"/>
              </w:rPr>
              <w:t>√</w:t>
            </w:r>
          </w:p>
        </w:tc>
      </w:tr>
      <w:tr w14:paraId="7E373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noWrap w:val="0"/>
            <w:vAlign w:val="top"/>
          </w:tcPr>
          <w:p w14:paraId="2C1383E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i w:val="0"/>
                <w:sz w:val="21"/>
                <w:u w:val="none"/>
                <w:lang w:val="en-US" w:eastAsia="zh-CN"/>
              </w:rPr>
            </w:pPr>
            <w:r>
              <w:rPr>
                <w:rFonts w:hint="eastAsia" w:ascii="宋体" w:hAnsi="宋体" w:eastAsia="宋体" w:cs="宋体"/>
                <w:b w:val="0"/>
                <w:bCs w:val="0"/>
                <w:i w:val="0"/>
                <w:sz w:val="21"/>
                <w:u w:val="none"/>
                <w:lang w:val="en-US" w:eastAsia="zh-CN"/>
              </w:rPr>
              <w:t>7</w:t>
            </w:r>
          </w:p>
        </w:tc>
        <w:tc>
          <w:tcPr>
            <w:tcW w:w="3115" w:type="pct"/>
            <w:noWrap w:val="0"/>
            <w:vAlign w:val="top"/>
          </w:tcPr>
          <w:p w14:paraId="2662751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i w:val="0"/>
                <w:sz w:val="21"/>
                <w:u w:val="none"/>
                <w:lang w:val="en-US" w:eastAsia="zh-CN"/>
              </w:rPr>
            </w:pPr>
            <w:r>
              <w:rPr>
                <w:rFonts w:hint="eastAsia" w:ascii="宋体" w:hAnsi="宋体" w:eastAsia="宋体" w:cs="宋体"/>
                <w:b w:val="0"/>
                <w:bCs w:val="0"/>
                <w:i w:val="0"/>
                <w:sz w:val="21"/>
                <w:u w:val="none"/>
                <w:lang w:val="en-US" w:eastAsia="zh-CN"/>
              </w:rPr>
              <w:t>债权投资因意图和能力的原因，重新分类为其他债权投资。</w:t>
            </w:r>
          </w:p>
        </w:tc>
        <w:tc>
          <w:tcPr>
            <w:tcW w:w="803" w:type="pct"/>
            <w:noWrap w:val="0"/>
            <w:vAlign w:val="top"/>
          </w:tcPr>
          <w:p w14:paraId="4950B5B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i w:val="0"/>
                <w:sz w:val="21"/>
                <w:u w:val="none"/>
                <w:lang w:val="en-US" w:eastAsia="zh-CN"/>
              </w:rPr>
            </w:pPr>
            <w:r>
              <w:rPr>
                <w:rFonts w:hint="eastAsia" w:ascii="宋体" w:hAnsi="宋体" w:eastAsia="宋体" w:cs="宋体"/>
                <w:b w:val="0"/>
                <w:bCs w:val="0"/>
                <w:i w:val="0"/>
                <w:sz w:val="21"/>
                <w:u w:val="none"/>
                <w:lang w:val="en-US" w:eastAsia="zh-CN"/>
              </w:rPr>
              <w:t>×</w:t>
            </w:r>
          </w:p>
        </w:tc>
        <w:tc>
          <w:tcPr>
            <w:tcW w:w="747" w:type="pct"/>
            <w:noWrap w:val="0"/>
            <w:vAlign w:val="top"/>
          </w:tcPr>
          <w:p w14:paraId="56D5943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i w:val="0"/>
                <w:sz w:val="21"/>
                <w:u w:val="none"/>
                <w:lang w:val="en-US" w:eastAsia="zh-CN"/>
              </w:rPr>
            </w:pPr>
            <w:r>
              <w:rPr>
                <w:rFonts w:hint="eastAsia" w:ascii="宋体" w:hAnsi="宋体" w:eastAsia="宋体" w:cs="宋体"/>
                <w:b w:val="0"/>
                <w:bCs w:val="0"/>
                <w:i w:val="0"/>
                <w:sz w:val="21"/>
                <w:u w:val="none"/>
                <w:lang w:val="en-US" w:eastAsia="zh-CN"/>
              </w:rPr>
              <w:t>×</w:t>
            </w:r>
          </w:p>
        </w:tc>
      </w:tr>
      <w:tr w14:paraId="3AD17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noWrap w:val="0"/>
            <w:vAlign w:val="top"/>
          </w:tcPr>
          <w:p w14:paraId="5B7ABAC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i w:val="0"/>
                <w:sz w:val="21"/>
                <w:u w:val="none"/>
                <w:lang w:val="en-US" w:eastAsia="zh-CN"/>
              </w:rPr>
            </w:pPr>
            <w:r>
              <w:rPr>
                <w:rFonts w:hint="eastAsia" w:ascii="宋体" w:hAnsi="宋体" w:eastAsia="宋体" w:cs="宋体"/>
                <w:b w:val="0"/>
                <w:bCs w:val="0"/>
                <w:i w:val="0"/>
                <w:sz w:val="21"/>
                <w:u w:val="none"/>
                <w:lang w:val="en-US" w:eastAsia="zh-CN"/>
              </w:rPr>
              <w:t>8</w:t>
            </w:r>
          </w:p>
        </w:tc>
        <w:tc>
          <w:tcPr>
            <w:tcW w:w="3115" w:type="pct"/>
            <w:noWrap w:val="0"/>
            <w:vAlign w:val="top"/>
          </w:tcPr>
          <w:p w14:paraId="229237F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i w:val="0"/>
                <w:sz w:val="21"/>
                <w:u w:val="none"/>
                <w:lang w:val="en-US" w:eastAsia="zh-CN"/>
              </w:rPr>
            </w:pPr>
            <w:r>
              <w:rPr>
                <w:rFonts w:hint="eastAsia" w:ascii="宋体" w:hAnsi="宋体" w:eastAsia="宋体" w:cs="宋体"/>
                <w:b w:val="0"/>
                <w:bCs w:val="0"/>
                <w:i w:val="0"/>
                <w:sz w:val="21"/>
                <w:u w:val="none"/>
                <w:lang w:val="en-US" w:eastAsia="zh-CN"/>
              </w:rPr>
              <w:t>自用固定资产因出租转变为投资性房地产，投资性房地产转变为自用固定资产。</w:t>
            </w:r>
          </w:p>
        </w:tc>
        <w:tc>
          <w:tcPr>
            <w:tcW w:w="803" w:type="pct"/>
            <w:noWrap w:val="0"/>
            <w:vAlign w:val="top"/>
          </w:tcPr>
          <w:p w14:paraId="540B861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i w:val="0"/>
                <w:sz w:val="21"/>
                <w:u w:val="none"/>
                <w:lang w:val="en-US" w:eastAsia="zh-CN"/>
              </w:rPr>
            </w:pPr>
            <w:r>
              <w:rPr>
                <w:rFonts w:hint="eastAsia" w:ascii="宋体" w:hAnsi="宋体" w:eastAsia="宋体" w:cs="宋体"/>
                <w:b w:val="0"/>
                <w:bCs w:val="0"/>
                <w:i w:val="0"/>
                <w:sz w:val="21"/>
                <w:u w:val="none"/>
                <w:lang w:val="en-US" w:eastAsia="zh-CN"/>
              </w:rPr>
              <w:t>×</w:t>
            </w:r>
          </w:p>
        </w:tc>
        <w:tc>
          <w:tcPr>
            <w:tcW w:w="747" w:type="pct"/>
            <w:noWrap w:val="0"/>
            <w:vAlign w:val="top"/>
          </w:tcPr>
          <w:p w14:paraId="786FCB7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i w:val="0"/>
                <w:sz w:val="21"/>
                <w:u w:val="none"/>
                <w:lang w:val="en-US" w:eastAsia="zh-CN"/>
              </w:rPr>
            </w:pPr>
            <w:r>
              <w:rPr>
                <w:rFonts w:hint="eastAsia" w:ascii="宋体" w:hAnsi="宋体" w:eastAsia="宋体" w:cs="宋体"/>
                <w:b w:val="0"/>
                <w:bCs w:val="0"/>
                <w:i w:val="0"/>
                <w:sz w:val="21"/>
                <w:u w:val="none"/>
                <w:lang w:val="en-US" w:eastAsia="zh-CN"/>
              </w:rPr>
              <w:t>×</w:t>
            </w:r>
          </w:p>
        </w:tc>
      </w:tr>
      <w:tr w14:paraId="3E2D6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noWrap w:val="0"/>
            <w:vAlign w:val="top"/>
          </w:tcPr>
          <w:p w14:paraId="7EFF904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i w:val="0"/>
                <w:sz w:val="21"/>
                <w:u w:val="none"/>
                <w:lang w:val="en-US" w:eastAsia="zh-CN"/>
              </w:rPr>
            </w:pPr>
            <w:r>
              <w:rPr>
                <w:rFonts w:hint="eastAsia" w:ascii="宋体" w:hAnsi="宋体" w:eastAsia="宋体" w:cs="宋体"/>
                <w:b w:val="0"/>
                <w:bCs w:val="0"/>
                <w:i w:val="0"/>
                <w:sz w:val="21"/>
                <w:u w:val="none"/>
                <w:lang w:val="en-US" w:eastAsia="zh-CN"/>
              </w:rPr>
              <w:t>9</w:t>
            </w:r>
          </w:p>
        </w:tc>
        <w:tc>
          <w:tcPr>
            <w:tcW w:w="3115" w:type="pct"/>
            <w:noWrap w:val="0"/>
            <w:vAlign w:val="top"/>
          </w:tcPr>
          <w:p w14:paraId="7B5E5E8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i w:val="0"/>
                <w:sz w:val="21"/>
                <w:u w:val="none"/>
                <w:lang w:val="en-US" w:eastAsia="zh-CN"/>
              </w:rPr>
            </w:pPr>
            <w:r>
              <w:rPr>
                <w:rFonts w:hint="eastAsia" w:ascii="宋体" w:hAnsi="宋体" w:eastAsia="宋体" w:cs="宋体"/>
                <w:b w:val="0"/>
                <w:bCs w:val="0"/>
                <w:i w:val="0"/>
                <w:sz w:val="21"/>
                <w:u w:val="none"/>
                <w:lang w:val="en-US" w:eastAsia="zh-CN"/>
              </w:rPr>
              <w:t>低值易耗品摊销由一次摊销变更分次摊销。</w:t>
            </w:r>
          </w:p>
        </w:tc>
        <w:tc>
          <w:tcPr>
            <w:tcW w:w="803" w:type="pct"/>
            <w:noWrap w:val="0"/>
            <w:vAlign w:val="top"/>
          </w:tcPr>
          <w:p w14:paraId="106BCF4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i w:val="0"/>
                <w:sz w:val="21"/>
                <w:u w:val="none"/>
                <w:lang w:val="en-US" w:eastAsia="zh-CN"/>
              </w:rPr>
            </w:pPr>
            <w:r>
              <w:rPr>
                <w:rFonts w:hint="eastAsia" w:ascii="宋体" w:hAnsi="宋体" w:eastAsia="宋体" w:cs="宋体"/>
                <w:b w:val="0"/>
                <w:bCs w:val="0"/>
                <w:i w:val="0"/>
                <w:sz w:val="21"/>
                <w:u w:val="none"/>
                <w:lang w:val="en-US" w:eastAsia="zh-CN"/>
              </w:rPr>
              <w:t>×</w:t>
            </w:r>
          </w:p>
        </w:tc>
        <w:tc>
          <w:tcPr>
            <w:tcW w:w="747" w:type="pct"/>
            <w:noWrap w:val="0"/>
            <w:vAlign w:val="top"/>
          </w:tcPr>
          <w:p w14:paraId="46049EA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i w:val="0"/>
                <w:sz w:val="21"/>
                <w:u w:val="none"/>
                <w:lang w:val="en-US" w:eastAsia="zh-CN"/>
              </w:rPr>
            </w:pPr>
            <w:r>
              <w:rPr>
                <w:rFonts w:hint="eastAsia" w:ascii="宋体" w:hAnsi="宋体" w:eastAsia="宋体" w:cs="宋体"/>
                <w:b w:val="0"/>
                <w:bCs w:val="0"/>
                <w:i w:val="0"/>
                <w:sz w:val="21"/>
                <w:u w:val="none"/>
                <w:lang w:val="en-US" w:eastAsia="zh-CN"/>
              </w:rPr>
              <w:t>×</w:t>
            </w:r>
          </w:p>
        </w:tc>
      </w:tr>
    </w:tbl>
    <w:p w14:paraId="650662E0">
      <w:pPr>
        <w:keepNext w:val="0"/>
        <w:keepLines w:val="0"/>
        <w:pageBreakBefore w:val="0"/>
        <w:widowControl w:val="0"/>
        <w:kinsoku/>
        <w:wordWrap/>
        <w:overflowPunct/>
        <w:topLinePunct w:val="0"/>
        <w:autoSpaceDE/>
        <w:autoSpaceDN/>
        <w:bidi w:val="0"/>
        <w:adjustRightInd/>
        <w:snapToGrid/>
        <w:spacing w:before="157" w:beforeLines="50" w:line="360" w:lineRule="auto"/>
        <w:jc w:val="left"/>
        <w:textAlignment w:val="auto"/>
        <w:rPr>
          <w:rFonts w:hint="eastAsia" w:ascii="宋体" w:hAnsi="宋体" w:eastAsia="宋体" w:cs="宋体"/>
          <w:b w:val="0"/>
          <w:bCs w:val="0"/>
          <w:i w:val="0"/>
          <w:sz w:val="21"/>
          <w:u w:val="none"/>
          <w:lang w:val="en-US" w:eastAsia="zh-CN"/>
        </w:rPr>
      </w:pPr>
      <w:r>
        <w:rPr>
          <w:rFonts w:hint="eastAsia" w:ascii="宋体" w:hAnsi="宋体" w:eastAsia="宋体" w:cs="宋体"/>
          <w:b w:val="0"/>
          <w:bCs w:val="0"/>
          <w:i w:val="0"/>
          <w:sz w:val="21"/>
          <w:u w:val="none"/>
          <w:lang w:val="en-US" w:eastAsia="zh-CN"/>
        </w:rPr>
        <w:t>二、资产负债表日后调整事项（★★★）</w:t>
      </w:r>
    </w:p>
    <w:p w14:paraId="04743DB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u w:val="none"/>
          <w:lang w:val="en-US" w:eastAsia="zh-CN"/>
        </w:rPr>
      </w:pPr>
      <w:r>
        <w:rPr>
          <w:rFonts w:hint="eastAsia" w:ascii="宋体" w:hAnsi="宋体" w:eastAsia="宋体" w:cs="宋体"/>
          <w:b w:val="0"/>
          <w:bCs w:val="0"/>
          <w:i w:val="0"/>
          <w:sz w:val="21"/>
          <w:u w:val="none"/>
          <w:lang w:val="en-US" w:eastAsia="zh-CN"/>
        </w:rPr>
        <w:t>1、涉及调整未决诉讼；</w:t>
      </w:r>
    </w:p>
    <w:p w14:paraId="05EFDE2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u w:val="none"/>
          <w:lang w:val="en-US" w:eastAsia="zh-CN"/>
        </w:rPr>
      </w:pPr>
      <w:r>
        <w:rPr>
          <w:rFonts w:hint="eastAsia" w:ascii="宋体" w:hAnsi="宋体" w:eastAsia="宋体" w:cs="宋体"/>
          <w:b w:val="0"/>
          <w:bCs w:val="0"/>
          <w:i w:val="0"/>
          <w:sz w:val="21"/>
          <w:u w:val="none"/>
          <w:lang w:val="en-US" w:eastAsia="zh-CN"/>
        </w:rPr>
        <w:t>2、涉及调整减值准备；</w:t>
      </w:r>
    </w:p>
    <w:p w14:paraId="6E761D1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u w:val="none"/>
          <w:lang w:val="en-US" w:eastAsia="zh-CN"/>
        </w:rPr>
      </w:pPr>
      <w:r>
        <w:rPr>
          <w:rFonts w:hint="eastAsia" w:ascii="宋体" w:hAnsi="宋体" w:eastAsia="宋体" w:cs="宋体"/>
          <w:b w:val="0"/>
          <w:bCs w:val="0"/>
          <w:i w:val="0"/>
          <w:sz w:val="21"/>
          <w:u w:val="none"/>
          <w:lang w:val="en-US" w:eastAsia="zh-CN"/>
        </w:rPr>
        <w:t xml:space="preserve">3、涉及销售退回和折让。    </w:t>
      </w:r>
    </w:p>
    <w:p w14:paraId="27F77B9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u w:val="none"/>
          <w:lang w:val="en-US" w:eastAsia="zh-CN"/>
        </w:rPr>
      </w:pPr>
      <w:r>
        <w:rPr>
          <w:rFonts w:hint="eastAsia" w:ascii="宋体" w:hAnsi="宋体" w:eastAsia="宋体" w:cs="宋体"/>
          <w:b w:val="0"/>
          <w:bCs w:val="0"/>
          <w:i w:val="0"/>
          <w:sz w:val="21"/>
          <w:u w:val="none"/>
          <w:lang w:val="en-US" w:eastAsia="zh-CN"/>
        </w:rPr>
        <w:t xml:space="preserve">三、差错更正（★★★） </w:t>
      </w:r>
    </w:p>
    <w:p w14:paraId="3EAEAB4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u w:val="none"/>
          <w:lang w:val="en-US" w:eastAsia="zh-CN"/>
        </w:rPr>
      </w:pPr>
      <w:r>
        <w:rPr>
          <w:rFonts w:hint="eastAsia" w:ascii="宋体" w:hAnsi="宋体" w:eastAsia="宋体" w:cs="宋体"/>
          <w:b w:val="0"/>
          <w:bCs w:val="0"/>
          <w:i w:val="0"/>
          <w:sz w:val="21"/>
          <w:u w:val="none"/>
          <w:lang w:val="en-US" w:eastAsia="zh-CN"/>
        </w:rPr>
        <w:t>1、本年发现本年差错</w:t>
      </w:r>
    </w:p>
    <w:p w14:paraId="3012C3F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u w:val="none"/>
          <w:lang w:val="en-US" w:eastAsia="zh-CN"/>
        </w:rPr>
      </w:pPr>
      <w:r>
        <w:rPr>
          <w:rFonts w:hint="eastAsia" w:ascii="宋体" w:hAnsi="宋体" w:eastAsia="宋体" w:cs="宋体"/>
          <w:b w:val="0"/>
          <w:bCs w:val="0"/>
          <w:i w:val="0"/>
          <w:sz w:val="21"/>
          <w:u w:val="none"/>
          <w:lang w:val="en-US" w:eastAsia="zh-CN"/>
        </w:rPr>
        <w:t>注意：</w:t>
      </w:r>
    </w:p>
    <w:p w14:paraId="55443F2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u w:val="none"/>
          <w:lang w:val="en-US" w:eastAsia="zh-CN"/>
        </w:rPr>
      </w:pPr>
      <w:r>
        <w:rPr>
          <w:rFonts w:hint="eastAsia" w:ascii="宋体" w:hAnsi="宋体" w:eastAsia="宋体" w:cs="宋体"/>
          <w:b w:val="0"/>
          <w:bCs w:val="0"/>
          <w:i w:val="0"/>
          <w:sz w:val="21"/>
          <w:u w:val="none"/>
          <w:lang w:val="en-US" w:eastAsia="zh-CN"/>
        </w:rPr>
        <w:t>（1）无论涉及损益类科目还是非损益类科目，均直接调整相关科目；</w:t>
      </w:r>
    </w:p>
    <w:p w14:paraId="6BC801C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u w:val="none"/>
          <w:lang w:val="en-US" w:eastAsia="zh-CN"/>
        </w:rPr>
      </w:pPr>
      <w:r>
        <w:rPr>
          <w:rFonts w:hint="eastAsia" w:ascii="宋体" w:hAnsi="宋体" w:eastAsia="宋体" w:cs="宋体"/>
          <w:b w:val="0"/>
          <w:bCs w:val="0"/>
          <w:i w:val="0"/>
          <w:sz w:val="21"/>
          <w:u w:val="none"/>
          <w:lang w:val="en-US" w:eastAsia="zh-CN"/>
        </w:rPr>
        <w:t>（2）通常不调整应交所得税。</w:t>
      </w:r>
    </w:p>
    <w:p w14:paraId="08F1FCB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u w:val="none"/>
          <w:lang w:val="en-US" w:eastAsia="zh-CN"/>
        </w:rPr>
      </w:pPr>
      <w:r>
        <w:rPr>
          <w:rFonts w:hint="eastAsia" w:ascii="宋体" w:hAnsi="宋体" w:eastAsia="宋体" w:cs="宋体"/>
          <w:b w:val="0"/>
          <w:bCs w:val="0"/>
          <w:i w:val="0"/>
          <w:sz w:val="21"/>
          <w:u w:val="none"/>
          <w:lang w:val="en-US" w:eastAsia="zh-CN"/>
        </w:rPr>
        <w:t xml:space="preserve">2、财务报告批准报出前发现报告年度差错的更正 </w:t>
      </w:r>
      <w:r>
        <w:rPr>
          <w:rFonts w:hint="eastAsia" w:ascii="宋体" w:hAnsi="宋体" w:eastAsia="宋体" w:cs="宋体"/>
          <w:b w:val="0"/>
          <w:bCs w:val="0"/>
          <w:i w:val="0"/>
          <w:sz w:val="21"/>
          <w:u w:val="none"/>
          <w:lang w:val="en-US" w:eastAsia="zh-CN"/>
        </w:rPr>
        <w:br w:type="textWrapping"/>
      </w:r>
    </w:p>
    <w:p w14:paraId="07EFE29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i w:val="0"/>
          <w:sz w:val="21"/>
          <w:u w:val="none"/>
          <w:lang w:val="en-US" w:eastAsia="zh-CN"/>
        </w:rPr>
      </w:pPr>
    </w:p>
    <w:p w14:paraId="59EE3E81">
      <w:pPr>
        <w:keepNext w:val="0"/>
        <w:keepLines w:val="0"/>
        <w:pageBreakBefore w:val="0"/>
        <w:widowControl w:val="0"/>
        <w:kinsoku/>
        <w:wordWrap/>
        <w:overflowPunct w:val="0"/>
        <w:topLinePunct w:val="0"/>
        <w:autoSpaceDE/>
        <w:autoSpaceDN/>
        <w:bidi w:val="0"/>
        <w:adjustRightInd/>
        <w:snapToGrid/>
        <w:spacing w:line="360" w:lineRule="auto"/>
        <w:jc w:val="left"/>
        <w:textAlignment w:val="auto"/>
        <w:rPr>
          <w:rFonts w:hint="eastAsia" w:ascii="宋体" w:hAnsi="宋体" w:eastAsia="宋体" w:cs="宋体"/>
          <w:b w:val="0"/>
          <w:bCs w:val="0"/>
          <w:i w:val="0"/>
          <w:sz w:val="21"/>
          <w:u w:val="none"/>
          <w:lang w:eastAsia="zh-CN"/>
        </w:rPr>
      </w:pPr>
      <w:r>
        <w:rPr>
          <w:rFonts w:hint="eastAsia" w:ascii="宋体" w:hAnsi="宋体" w:eastAsia="宋体" w:cs="宋体"/>
          <w:b w:val="0"/>
          <w:bCs w:val="0"/>
          <w:i w:val="0"/>
          <w:sz w:val="21"/>
          <w:u w:val="none"/>
          <w:lang w:eastAsia="zh-CN"/>
        </w:rPr>
        <w:t>第二十四章  政府会计</w:t>
      </w:r>
    </w:p>
    <w:p w14:paraId="1B6401A3">
      <w:pPr>
        <w:keepNext w:val="0"/>
        <w:keepLines w:val="0"/>
        <w:pageBreakBefore w:val="0"/>
        <w:widowControl w:val="0"/>
        <w:kinsoku/>
        <w:wordWrap/>
        <w:overflowPunct w:val="0"/>
        <w:topLinePunct w:val="0"/>
        <w:autoSpaceDE/>
        <w:autoSpaceDN/>
        <w:bidi w:val="0"/>
        <w:adjustRightInd/>
        <w:snapToGrid/>
        <w:spacing w:line="360" w:lineRule="auto"/>
        <w:jc w:val="left"/>
        <w:textAlignment w:val="auto"/>
        <w:rPr>
          <w:rFonts w:hint="eastAsia" w:ascii="宋体" w:hAnsi="宋体" w:eastAsia="宋体" w:cs="宋体"/>
          <w:b w:val="0"/>
          <w:bCs w:val="0"/>
          <w:i w:val="0"/>
          <w:sz w:val="21"/>
          <w:u w:val="none"/>
          <w:lang w:eastAsia="zh-CN"/>
        </w:rPr>
      </w:pPr>
    </w:p>
    <w:p w14:paraId="4C49DBF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u w:val="none"/>
          <w:lang w:eastAsia="zh-CN"/>
        </w:rPr>
      </w:pPr>
      <w:r>
        <w:rPr>
          <w:rFonts w:hint="eastAsia" w:ascii="宋体" w:hAnsi="宋体" w:eastAsia="宋体" w:cs="宋体"/>
          <w:b w:val="0"/>
          <w:bCs w:val="0"/>
          <w:i w:val="0"/>
          <w:sz w:val="21"/>
          <w:u w:val="none"/>
          <w:lang w:eastAsia="zh-CN"/>
        </w:rPr>
        <w:t>一、政府单位会计核算的基本特点</w:t>
      </w:r>
    </w:p>
    <w:p w14:paraId="42DB3E9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u w:val="none"/>
          <w:lang w:eastAsia="zh-CN"/>
        </w:rPr>
      </w:pPr>
      <w:r>
        <w:rPr>
          <w:rFonts w:hint="eastAsia" w:ascii="宋体" w:hAnsi="宋体" w:eastAsia="宋体" w:cs="宋体"/>
          <w:b w:val="0"/>
          <w:bCs w:val="0"/>
          <w:i w:val="0"/>
          <w:sz w:val="21"/>
          <w:u w:val="none"/>
          <w:lang w:eastAsia="zh-CN"/>
        </w:rPr>
        <w:t>政府单位会计核算应当具备财务会计与预算会计双重功能。</w:t>
      </w:r>
    </w:p>
    <w:p w14:paraId="300E3305">
      <w:pPr>
        <w:keepNext w:val="0"/>
        <w:keepLines w:val="0"/>
        <w:pageBreakBefore w:val="0"/>
        <w:widowControl w:val="0"/>
        <w:kinsoku/>
        <w:wordWrap/>
        <w:overflowPunct w:val="0"/>
        <w:topLinePunct w:val="0"/>
        <w:autoSpaceDE/>
        <w:autoSpaceDN/>
        <w:bidi w:val="0"/>
        <w:adjustRightInd/>
        <w:snapToGrid/>
        <w:spacing w:line="360" w:lineRule="auto"/>
        <w:jc w:val="left"/>
        <w:textAlignment w:val="auto"/>
        <w:rPr>
          <w:rFonts w:hint="eastAsia" w:ascii="宋体" w:hAnsi="宋体" w:eastAsia="宋体" w:cs="宋体"/>
          <w:b w:val="0"/>
          <w:bCs w:val="0"/>
          <w:i w:val="0"/>
          <w:sz w:val="21"/>
          <w:u w:val="none"/>
          <w:lang w:eastAsia="zh-CN"/>
        </w:rPr>
      </w:pPr>
      <w:r>
        <w:rPr>
          <w:rFonts w:hint="eastAsia" w:ascii="宋体" w:hAnsi="宋体" w:eastAsia="宋体" w:cs="宋体"/>
          <w:b w:val="0"/>
          <w:bCs w:val="0"/>
          <w:i w:val="0"/>
          <w:sz w:val="21"/>
          <w:u w:val="none"/>
          <w:lang w:eastAsia="zh-CN"/>
        </w:rPr>
        <w:t>政府单位财务会计通过资产、负债、净资产、收入、费用五个要素。反映单位财务状况的会计等式为“资产－负债＝净资产”，反映单位运行情况的会计等式为“收入－费用＝本期盈余”，本期盈余经分配后最终转入净资产。单位财务会计实行权责发生制。</w:t>
      </w:r>
      <w:r>
        <w:rPr>
          <w:rFonts w:hint="eastAsia" w:ascii="宋体" w:hAnsi="宋体" w:eastAsia="宋体" w:cs="宋体"/>
          <w:b w:val="0"/>
          <w:bCs w:val="0"/>
          <w:i w:val="0"/>
          <w:sz w:val="21"/>
          <w:u w:val="none"/>
          <w:lang w:eastAsia="zh-CN"/>
        </w:rPr>
        <w:br w:type="textWrapping"/>
      </w:r>
      <w:r>
        <w:rPr>
          <w:rFonts w:hint="eastAsia" w:ascii="宋体" w:hAnsi="宋体" w:eastAsia="宋体" w:cs="宋体"/>
          <w:b w:val="0"/>
          <w:bCs w:val="0"/>
          <w:i w:val="0"/>
          <w:sz w:val="21"/>
          <w:u w:val="none"/>
          <w:lang w:eastAsia="zh-CN"/>
        </w:rPr>
        <w:t>政府单位预算会计通过预算收入、预算支出和预算结余三个要素，预算会计等式为“预算收入－预算支出＝预算结余”。单位预算会计采用收付实现制，预算收入（支出）一般在实际收到（支付）时予以确认，以实际收到（支付）的金额计量。</w:t>
      </w:r>
    </w:p>
    <w:p w14:paraId="1639510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u w:val="none"/>
          <w:lang w:eastAsia="zh-CN"/>
        </w:rPr>
      </w:pPr>
      <w:r>
        <w:rPr>
          <w:rFonts w:hint="eastAsia" w:ascii="宋体" w:hAnsi="宋体" w:eastAsia="宋体" w:cs="宋体"/>
          <w:b w:val="0"/>
          <w:bCs w:val="0"/>
          <w:i w:val="0"/>
          <w:sz w:val="21"/>
          <w:u w:val="none"/>
          <w:lang w:eastAsia="zh-CN"/>
        </w:rPr>
        <w:t xml:space="preserve">政府单位对于纳入部门预算管理的现金收支业务，在采用财务会计核算的同时应当进行预算会计核算；对于其他业务，仅需进行财务会计核算。 </w:t>
      </w:r>
    </w:p>
    <w:p w14:paraId="3E4DE42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u w:val="none"/>
          <w:lang w:eastAsia="zh-CN"/>
        </w:rPr>
      </w:pPr>
      <w:r>
        <w:rPr>
          <w:rFonts w:hint="eastAsia" w:ascii="宋体" w:hAnsi="宋体" w:eastAsia="宋体" w:cs="宋体"/>
          <w:b w:val="0"/>
          <w:bCs w:val="0"/>
          <w:i w:val="0"/>
          <w:sz w:val="21"/>
          <w:u w:val="none"/>
          <w:lang w:eastAsia="zh-CN"/>
        </w:rPr>
        <w:t>二、账务处理</w:t>
      </w:r>
    </w:p>
    <w:p w14:paraId="4CC39DF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u w:val="none"/>
          <w:lang w:eastAsia="zh-CN"/>
        </w:rPr>
      </w:pPr>
      <w:r>
        <w:rPr>
          <w:rFonts w:hint="eastAsia" w:ascii="宋体" w:hAnsi="宋体" w:eastAsia="宋体" w:cs="宋体"/>
          <w:b w:val="0"/>
          <w:bCs w:val="0"/>
          <w:i w:val="0"/>
          <w:sz w:val="21"/>
          <w:u w:val="none"/>
          <w:lang w:eastAsia="zh-CN"/>
        </w:rPr>
        <w:t>（一）国库集中支付业务的账务处理</w:t>
      </w:r>
    </w:p>
    <w:p w14:paraId="48CC5D3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u w:val="none"/>
          <w:lang w:eastAsia="zh-CN"/>
        </w:rPr>
      </w:pPr>
      <w:r>
        <w:rPr>
          <w:rFonts w:hint="eastAsia" w:ascii="宋体" w:hAnsi="宋体" w:eastAsia="宋体" w:cs="宋体"/>
          <w:b w:val="0"/>
          <w:bCs w:val="0"/>
          <w:i w:val="0"/>
          <w:sz w:val="21"/>
          <w:u w:val="none"/>
          <w:lang w:eastAsia="zh-CN"/>
        </w:rPr>
        <w:t>1、直接支付业务</w:t>
      </w:r>
    </w:p>
    <w:p w14:paraId="7C582C6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u w:val="none"/>
          <w:lang w:eastAsia="zh-CN"/>
        </w:rPr>
      </w:pPr>
      <w:r>
        <w:rPr>
          <w:rFonts w:hint="eastAsia" w:ascii="宋体" w:hAnsi="宋体" w:eastAsia="宋体" w:cs="宋体"/>
          <w:b w:val="0"/>
          <w:bCs w:val="0"/>
          <w:i w:val="0"/>
          <w:sz w:val="21"/>
          <w:u w:val="none"/>
          <w:lang w:eastAsia="zh-CN"/>
        </w:rPr>
        <w:t>（1）单位收到“财政直接支付入账通知书”时，按照通知书中的直接支付入账金额。</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9"/>
        <w:gridCol w:w="5069"/>
      </w:tblGrid>
      <w:tr w14:paraId="7C244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00" w:type="pct"/>
            <w:noWrap w:val="0"/>
            <w:vAlign w:val="top"/>
          </w:tcPr>
          <w:p w14:paraId="6C77006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u w:val="none"/>
                <w:vertAlign w:val="baseline"/>
                <w:lang w:eastAsia="zh-CN"/>
              </w:rPr>
            </w:pPr>
            <w:r>
              <w:rPr>
                <w:rFonts w:hint="eastAsia" w:ascii="宋体" w:hAnsi="宋体" w:eastAsia="宋体" w:cs="宋体"/>
                <w:b w:val="0"/>
                <w:bCs w:val="0"/>
                <w:i w:val="0"/>
                <w:sz w:val="21"/>
                <w:u w:val="none"/>
                <w:vertAlign w:val="baseline"/>
                <w:lang w:eastAsia="zh-CN"/>
              </w:rPr>
              <w:t>①在财务会计中</w:t>
            </w:r>
          </w:p>
        </w:tc>
        <w:tc>
          <w:tcPr>
            <w:tcW w:w="2500" w:type="pct"/>
            <w:noWrap w:val="0"/>
            <w:vAlign w:val="top"/>
          </w:tcPr>
          <w:p w14:paraId="4293DB2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u w:val="none"/>
                <w:vertAlign w:val="baseline"/>
                <w:lang w:eastAsia="zh-CN"/>
              </w:rPr>
            </w:pPr>
            <w:r>
              <w:rPr>
                <w:rFonts w:hint="eastAsia" w:ascii="宋体" w:hAnsi="宋体" w:eastAsia="宋体" w:cs="宋体"/>
                <w:b w:val="0"/>
                <w:bCs w:val="0"/>
                <w:i w:val="0"/>
                <w:sz w:val="21"/>
                <w:u w:val="none"/>
                <w:vertAlign w:val="baseline"/>
                <w:lang w:eastAsia="zh-CN"/>
              </w:rPr>
              <w:t>②同时在预算会计中</w:t>
            </w:r>
          </w:p>
        </w:tc>
      </w:tr>
      <w:tr w14:paraId="3BCF6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58E1967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u w:val="none"/>
                <w:vertAlign w:val="baseline"/>
                <w:lang w:eastAsia="zh-CN"/>
              </w:rPr>
            </w:pPr>
            <w:r>
              <w:rPr>
                <w:rFonts w:hint="eastAsia" w:ascii="宋体" w:hAnsi="宋体" w:eastAsia="宋体" w:cs="宋体"/>
                <w:b w:val="0"/>
                <w:bCs w:val="0"/>
                <w:i w:val="0"/>
                <w:sz w:val="21"/>
                <w:u w:val="none"/>
                <w:vertAlign w:val="baseline"/>
                <w:lang w:eastAsia="zh-CN"/>
              </w:rPr>
              <w:t>借：固定资产、应付职工薪酬</w:t>
            </w:r>
            <w:r>
              <w:rPr>
                <w:rFonts w:hint="eastAsia" w:ascii="宋体" w:hAnsi="宋体" w:eastAsia="宋体" w:cs="宋体"/>
                <w:b w:val="0"/>
                <w:bCs w:val="0"/>
                <w:i w:val="0"/>
                <w:sz w:val="21"/>
                <w:u w:val="none"/>
                <w:vertAlign w:val="baseline"/>
                <w:lang w:eastAsia="zh-CN"/>
              </w:rPr>
              <w:br w:type="textWrapping"/>
            </w:r>
            <w:r>
              <w:rPr>
                <w:rFonts w:hint="eastAsia" w:ascii="宋体" w:hAnsi="宋体" w:eastAsia="宋体" w:cs="宋体"/>
                <w:b w:val="0"/>
                <w:bCs w:val="0"/>
                <w:i w:val="0"/>
                <w:sz w:val="21"/>
                <w:u w:val="none"/>
                <w:vertAlign w:val="baseline"/>
                <w:lang w:eastAsia="zh-CN"/>
              </w:rPr>
              <w:t xml:space="preserve">      业务活动费用【行政、事业单位】</w:t>
            </w:r>
            <w:r>
              <w:rPr>
                <w:rFonts w:hint="eastAsia" w:ascii="宋体" w:hAnsi="宋体" w:eastAsia="宋体" w:cs="宋体"/>
                <w:b w:val="0"/>
                <w:bCs w:val="0"/>
                <w:i w:val="0"/>
                <w:sz w:val="21"/>
                <w:u w:val="none"/>
                <w:vertAlign w:val="baseline"/>
                <w:lang w:eastAsia="zh-CN"/>
              </w:rPr>
              <w:br w:type="textWrapping"/>
            </w:r>
            <w:r>
              <w:rPr>
                <w:rFonts w:hint="eastAsia" w:ascii="宋体" w:hAnsi="宋体" w:eastAsia="宋体" w:cs="宋体"/>
                <w:b w:val="0"/>
                <w:bCs w:val="0"/>
                <w:i w:val="0"/>
                <w:sz w:val="21"/>
                <w:u w:val="none"/>
                <w:vertAlign w:val="baseline"/>
                <w:lang w:eastAsia="zh-CN"/>
              </w:rPr>
              <w:t xml:space="preserve">      单位管理费用【事业单位】</w:t>
            </w:r>
            <w:r>
              <w:rPr>
                <w:rFonts w:hint="eastAsia" w:ascii="宋体" w:hAnsi="宋体" w:eastAsia="宋体" w:cs="宋体"/>
                <w:b w:val="0"/>
                <w:bCs w:val="0"/>
                <w:i w:val="0"/>
                <w:sz w:val="21"/>
                <w:u w:val="none"/>
                <w:vertAlign w:val="baseline"/>
                <w:lang w:eastAsia="zh-CN"/>
              </w:rPr>
              <w:br w:type="textWrapping"/>
            </w:r>
            <w:r>
              <w:rPr>
                <w:rFonts w:hint="eastAsia" w:ascii="宋体" w:hAnsi="宋体" w:eastAsia="宋体" w:cs="宋体"/>
                <w:b w:val="0"/>
                <w:bCs w:val="0"/>
                <w:i w:val="0"/>
                <w:sz w:val="21"/>
                <w:u w:val="none"/>
                <w:vertAlign w:val="baseline"/>
                <w:lang w:eastAsia="zh-CN"/>
              </w:rPr>
              <w:t xml:space="preserve">      贷：财政拨款收入</w:t>
            </w:r>
          </w:p>
        </w:tc>
        <w:tc>
          <w:tcPr>
            <w:tcW w:w="2500" w:type="pct"/>
            <w:noWrap w:val="0"/>
            <w:vAlign w:val="top"/>
          </w:tcPr>
          <w:p w14:paraId="2A40D6A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u w:val="none"/>
                <w:vertAlign w:val="baseline"/>
                <w:lang w:eastAsia="zh-CN"/>
              </w:rPr>
            </w:pPr>
            <w:r>
              <w:rPr>
                <w:rFonts w:hint="eastAsia" w:ascii="宋体" w:hAnsi="宋体" w:eastAsia="宋体" w:cs="宋体"/>
                <w:b w:val="0"/>
                <w:bCs w:val="0"/>
                <w:i w:val="0"/>
                <w:sz w:val="21"/>
                <w:u w:val="none"/>
                <w:vertAlign w:val="baseline"/>
                <w:lang w:eastAsia="zh-CN"/>
              </w:rPr>
              <w:t>借：行政支出【行政单位】</w:t>
            </w:r>
            <w:r>
              <w:rPr>
                <w:rFonts w:hint="eastAsia" w:ascii="宋体" w:hAnsi="宋体" w:eastAsia="宋体" w:cs="宋体"/>
                <w:b w:val="0"/>
                <w:bCs w:val="0"/>
                <w:i w:val="0"/>
                <w:sz w:val="21"/>
                <w:u w:val="none"/>
                <w:vertAlign w:val="baseline"/>
                <w:lang w:eastAsia="zh-CN"/>
              </w:rPr>
              <w:br w:type="textWrapping"/>
            </w:r>
            <w:r>
              <w:rPr>
                <w:rFonts w:hint="eastAsia" w:ascii="宋体" w:hAnsi="宋体" w:eastAsia="宋体" w:cs="宋体"/>
                <w:b w:val="0"/>
                <w:bCs w:val="0"/>
                <w:i w:val="0"/>
                <w:sz w:val="21"/>
                <w:u w:val="none"/>
                <w:vertAlign w:val="baseline"/>
                <w:lang w:eastAsia="zh-CN"/>
              </w:rPr>
              <w:t xml:space="preserve">      事业支出【事业单位】</w:t>
            </w:r>
            <w:r>
              <w:rPr>
                <w:rFonts w:hint="eastAsia" w:ascii="宋体" w:hAnsi="宋体" w:eastAsia="宋体" w:cs="宋体"/>
                <w:b w:val="0"/>
                <w:bCs w:val="0"/>
                <w:i w:val="0"/>
                <w:sz w:val="21"/>
                <w:u w:val="none"/>
                <w:vertAlign w:val="baseline"/>
                <w:lang w:eastAsia="zh-CN"/>
              </w:rPr>
              <w:br w:type="textWrapping"/>
            </w:r>
            <w:r>
              <w:rPr>
                <w:rFonts w:hint="eastAsia" w:ascii="宋体" w:hAnsi="宋体" w:eastAsia="宋体" w:cs="宋体"/>
                <w:b w:val="0"/>
                <w:bCs w:val="0"/>
                <w:i w:val="0"/>
                <w:sz w:val="21"/>
                <w:u w:val="none"/>
                <w:vertAlign w:val="baseline"/>
                <w:lang w:eastAsia="zh-CN"/>
              </w:rPr>
              <w:t xml:space="preserve">      贷：财政拨款预算收入</w:t>
            </w:r>
          </w:p>
        </w:tc>
      </w:tr>
    </w:tbl>
    <w:p w14:paraId="1A0E650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u w:val="none"/>
          <w:lang w:eastAsia="zh-CN"/>
        </w:rPr>
      </w:pPr>
      <w:r>
        <w:rPr>
          <w:rFonts w:hint="eastAsia" w:ascii="宋体" w:hAnsi="宋体" w:eastAsia="宋体" w:cs="宋体"/>
          <w:b w:val="0"/>
          <w:bCs w:val="0"/>
          <w:i w:val="0"/>
          <w:sz w:val="21"/>
          <w:u w:val="none"/>
          <w:lang w:eastAsia="zh-CN"/>
        </w:rPr>
        <w:t>（2）年末，根据本年度财政直接支付预算指标数与当年财政直接支付实际支出数的差额。</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9"/>
        <w:gridCol w:w="5069"/>
      </w:tblGrid>
      <w:tr w14:paraId="6B0B8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4AFF87D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u w:val="none"/>
                <w:vertAlign w:val="baseline"/>
                <w:lang w:eastAsia="zh-CN"/>
              </w:rPr>
            </w:pPr>
            <w:r>
              <w:rPr>
                <w:rFonts w:hint="eastAsia" w:ascii="宋体" w:hAnsi="宋体" w:eastAsia="宋体" w:cs="宋体"/>
                <w:b w:val="0"/>
                <w:bCs w:val="0"/>
                <w:i w:val="0"/>
                <w:sz w:val="21"/>
                <w:u w:val="none"/>
                <w:vertAlign w:val="baseline"/>
                <w:lang w:eastAsia="zh-CN"/>
              </w:rPr>
              <w:t>①在财务会计中</w:t>
            </w:r>
          </w:p>
        </w:tc>
        <w:tc>
          <w:tcPr>
            <w:tcW w:w="2500" w:type="pct"/>
            <w:noWrap w:val="0"/>
            <w:vAlign w:val="top"/>
          </w:tcPr>
          <w:p w14:paraId="2802437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u w:val="none"/>
                <w:vertAlign w:val="baseline"/>
                <w:lang w:eastAsia="zh-CN"/>
              </w:rPr>
            </w:pPr>
            <w:r>
              <w:rPr>
                <w:rFonts w:hint="eastAsia" w:ascii="宋体" w:hAnsi="宋体" w:eastAsia="宋体" w:cs="宋体"/>
                <w:b w:val="0"/>
                <w:bCs w:val="0"/>
                <w:i w:val="0"/>
                <w:sz w:val="21"/>
                <w:u w:val="none"/>
                <w:vertAlign w:val="baseline"/>
                <w:lang w:eastAsia="zh-CN"/>
              </w:rPr>
              <w:t>②同时在预算会计中</w:t>
            </w:r>
          </w:p>
        </w:tc>
      </w:tr>
      <w:tr w14:paraId="60B0D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3BA6356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u w:val="none"/>
                <w:vertAlign w:val="baseline"/>
                <w:lang w:eastAsia="zh-CN"/>
              </w:rPr>
            </w:pPr>
            <w:r>
              <w:rPr>
                <w:rFonts w:hint="eastAsia" w:ascii="宋体" w:hAnsi="宋体" w:eastAsia="宋体" w:cs="宋体"/>
                <w:b w:val="0"/>
                <w:bCs w:val="0"/>
                <w:i w:val="0"/>
                <w:sz w:val="21"/>
                <w:u w:val="none"/>
                <w:vertAlign w:val="baseline"/>
                <w:lang w:eastAsia="zh-CN"/>
              </w:rPr>
              <w:t>借：财政应返还额度</w:t>
            </w:r>
            <w:r>
              <w:rPr>
                <w:rFonts w:hint="eastAsia" w:ascii="宋体" w:hAnsi="宋体" w:eastAsia="宋体" w:cs="宋体"/>
                <w:b w:val="0"/>
                <w:bCs w:val="0"/>
                <w:i w:val="0"/>
                <w:sz w:val="21"/>
                <w:u w:val="none"/>
                <w:vertAlign w:val="baseline"/>
                <w:lang w:eastAsia="zh-CN"/>
              </w:rPr>
              <w:br w:type="textWrapping"/>
            </w:r>
            <w:r>
              <w:rPr>
                <w:rFonts w:hint="eastAsia" w:ascii="宋体" w:hAnsi="宋体" w:eastAsia="宋体" w:cs="宋体"/>
                <w:b w:val="0"/>
                <w:bCs w:val="0"/>
                <w:i w:val="0"/>
                <w:sz w:val="21"/>
                <w:u w:val="none"/>
                <w:vertAlign w:val="baseline"/>
                <w:lang w:eastAsia="zh-CN"/>
              </w:rPr>
              <w:t xml:space="preserve">        贷：财政拨款收入</w:t>
            </w:r>
          </w:p>
        </w:tc>
        <w:tc>
          <w:tcPr>
            <w:tcW w:w="2500" w:type="pct"/>
            <w:noWrap w:val="0"/>
            <w:vAlign w:val="top"/>
          </w:tcPr>
          <w:p w14:paraId="6D07D1B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u w:val="none"/>
                <w:vertAlign w:val="baseline"/>
                <w:lang w:eastAsia="zh-CN"/>
              </w:rPr>
            </w:pPr>
            <w:r>
              <w:rPr>
                <w:rFonts w:hint="eastAsia" w:ascii="宋体" w:hAnsi="宋体" w:eastAsia="宋体" w:cs="宋体"/>
                <w:b w:val="0"/>
                <w:bCs w:val="0"/>
                <w:i w:val="0"/>
                <w:sz w:val="21"/>
                <w:u w:val="none"/>
                <w:vertAlign w:val="baseline"/>
                <w:lang w:eastAsia="zh-CN"/>
              </w:rPr>
              <w:t>借：资金结存——财政应返还额度</w:t>
            </w:r>
            <w:r>
              <w:rPr>
                <w:rFonts w:hint="eastAsia" w:ascii="宋体" w:hAnsi="宋体" w:eastAsia="宋体" w:cs="宋体"/>
                <w:b w:val="0"/>
                <w:bCs w:val="0"/>
                <w:i w:val="0"/>
                <w:sz w:val="21"/>
                <w:u w:val="none"/>
                <w:vertAlign w:val="baseline"/>
                <w:lang w:eastAsia="zh-CN"/>
              </w:rPr>
              <w:br w:type="textWrapping"/>
            </w:r>
            <w:r>
              <w:rPr>
                <w:rFonts w:hint="eastAsia" w:ascii="宋体" w:hAnsi="宋体" w:eastAsia="宋体" w:cs="宋体"/>
                <w:b w:val="0"/>
                <w:bCs w:val="0"/>
                <w:i w:val="0"/>
                <w:sz w:val="21"/>
                <w:u w:val="none"/>
                <w:vertAlign w:val="baseline"/>
                <w:lang w:eastAsia="zh-CN"/>
              </w:rPr>
              <w:t xml:space="preserve">        贷：财政拨款预算收入</w:t>
            </w:r>
          </w:p>
        </w:tc>
      </w:tr>
    </w:tbl>
    <w:p w14:paraId="105C706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u w:val="none"/>
          <w:lang w:eastAsia="zh-CN"/>
        </w:rPr>
      </w:pPr>
      <w:r>
        <w:rPr>
          <w:rFonts w:hint="eastAsia" w:ascii="宋体" w:hAnsi="宋体" w:eastAsia="宋体" w:cs="宋体"/>
          <w:b w:val="0"/>
          <w:bCs w:val="0"/>
          <w:i w:val="0"/>
          <w:sz w:val="21"/>
          <w:u w:val="none"/>
          <w:lang w:eastAsia="zh-CN"/>
        </w:rPr>
        <w:t>（3）下年度恢复财政直接支付额度后，单位以财政直接支付方式发生实际支出时。</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9"/>
        <w:gridCol w:w="5069"/>
      </w:tblGrid>
      <w:tr w14:paraId="088A9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6999039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u w:val="none"/>
                <w:vertAlign w:val="baseline"/>
                <w:lang w:eastAsia="zh-CN"/>
              </w:rPr>
            </w:pPr>
            <w:r>
              <w:rPr>
                <w:rFonts w:hint="eastAsia" w:ascii="宋体" w:hAnsi="宋体" w:eastAsia="宋体" w:cs="宋体"/>
                <w:b w:val="0"/>
                <w:bCs w:val="0"/>
                <w:i w:val="0"/>
                <w:sz w:val="21"/>
                <w:u w:val="none"/>
                <w:vertAlign w:val="baseline"/>
                <w:lang w:eastAsia="zh-CN"/>
              </w:rPr>
              <w:t>①在财务会计中</w:t>
            </w:r>
          </w:p>
        </w:tc>
        <w:tc>
          <w:tcPr>
            <w:tcW w:w="2500" w:type="pct"/>
            <w:noWrap w:val="0"/>
            <w:vAlign w:val="top"/>
          </w:tcPr>
          <w:p w14:paraId="560F0C9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u w:val="none"/>
                <w:vertAlign w:val="baseline"/>
                <w:lang w:eastAsia="zh-CN"/>
              </w:rPr>
            </w:pPr>
            <w:r>
              <w:rPr>
                <w:rFonts w:hint="eastAsia" w:ascii="宋体" w:hAnsi="宋体" w:eastAsia="宋体" w:cs="宋体"/>
                <w:b w:val="0"/>
                <w:bCs w:val="0"/>
                <w:i w:val="0"/>
                <w:sz w:val="21"/>
                <w:u w:val="none"/>
                <w:vertAlign w:val="baseline"/>
                <w:lang w:eastAsia="zh-CN"/>
              </w:rPr>
              <w:t>②同时在预算会计中</w:t>
            </w:r>
          </w:p>
        </w:tc>
      </w:tr>
      <w:tr w14:paraId="1F9E4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2C2D9CD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u w:val="none"/>
                <w:vertAlign w:val="baseline"/>
                <w:lang w:eastAsia="zh-CN"/>
              </w:rPr>
            </w:pPr>
            <w:r>
              <w:rPr>
                <w:rFonts w:hint="eastAsia" w:ascii="宋体" w:hAnsi="宋体" w:eastAsia="宋体" w:cs="宋体"/>
                <w:b w:val="0"/>
                <w:bCs w:val="0"/>
                <w:i w:val="0"/>
                <w:sz w:val="21"/>
                <w:u w:val="none"/>
                <w:vertAlign w:val="baseline"/>
                <w:lang w:eastAsia="zh-CN"/>
              </w:rPr>
              <w:t>借：固定资产、应付职工薪酬、</w:t>
            </w:r>
            <w:r>
              <w:rPr>
                <w:rFonts w:hint="eastAsia" w:ascii="宋体" w:hAnsi="宋体" w:eastAsia="宋体" w:cs="宋体"/>
                <w:b w:val="0"/>
                <w:bCs w:val="0"/>
                <w:i w:val="0"/>
                <w:sz w:val="21"/>
                <w:u w:val="none"/>
                <w:vertAlign w:val="baseline"/>
                <w:lang w:eastAsia="zh-CN"/>
              </w:rPr>
              <w:br w:type="textWrapping"/>
            </w:r>
            <w:r>
              <w:rPr>
                <w:rFonts w:hint="eastAsia" w:ascii="宋体" w:hAnsi="宋体" w:eastAsia="宋体" w:cs="宋体"/>
                <w:b w:val="0"/>
                <w:bCs w:val="0"/>
                <w:i w:val="0"/>
                <w:sz w:val="21"/>
                <w:u w:val="none"/>
                <w:vertAlign w:val="baseline"/>
                <w:lang w:eastAsia="zh-CN"/>
              </w:rPr>
              <w:t>业务活动费用、单位管理费用</w:t>
            </w:r>
            <w:r>
              <w:rPr>
                <w:rFonts w:hint="eastAsia" w:ascii="宋体" w:hAnsi="宋体" w:eastAsia="宋体" w:cs="宋体"/>
                <w:b w:val="0"/>
                <w:bCs w:val="0"/>
                <w:i w:val="0"/>
                <w:sz w:val="21"/>
                <w:u w:val="none"/>
                <w:vertAlign w:val="baseline"/>
                <w:lang w:eastAsia="zh-CN"/>
              </w:rPr>
              <w:br w:type="textWrapping"/>
            </w:r>
            <w:r>
              <w:rPr>
                <w:rFonts w:hint="eastAsia" w:ascii="宋体" w:hAnsi="宋体" w:eastAsia="宋体" w:cs="宋体"/>
                <w:b w:val="0"/>
                <w:bCs w:val="0"/>
                <w:i w:val="0"/>
                <w:sz w:val="21"/>
                <w:u w:val="none"/>
                <w:vertAlign w:val="baseline"/>
                <w:lang w:eastAsia="zh-CN"/>
              </w:rPr>
              <w:t xml:space="preserve">        贷：财政应返还额度</w:t>
            </w:r>
          </w:p>
        </w:tc>
        <w:tc>
          <w:tcPr>
            <w:tcW w:w="2500" w:type="pct"/>
            <w:noWrap w:val="0"/>
            <w:vAlign w:val="top"/>
          </w:tcPr>
          <w:p w14:paraId="64D38EB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u w:val="none"/>
                <w:vertAlign w:val="baseline"/>
                <w:lang w:eastAsia="zh-CN"/>
              </w:rPr>
            </w:pPr>
            <w:r>
              <w:rPr>
                <w:rFonts w:hint="eastAsia" w:ascii="宋体" w:hAnsi="宋体" w:eastAsia="宋体" w:cs="宋体"/>
                <w:b w:val="0"/>
                <w:bCs w:val="0"/>
                <w:i w:val="0"/>
                <w:sz w:val="21"/>
                <w:u w:val="none"/>
                <w:vertAlign w:val="baseline"/>
                <w:lang w:eastAsia="zh-CN"/>
              </w:rPr>
              <w:t>借：行政支出、事业支出</w:t>
            </w:r>
            <w:r>
              <w:rPr>
                <w:rFonts w:hint="eastAsia" w:ascii="宋体" w:hAnsi="宋体" w:eastAsia="宋体" w:cs="宋体"/>
                <w:b w:val="0"/>
                <w:bCs w:val="0"/>
                <w:i w:val="0"/>
                <w:sz w:val="21"/>
                <w:u w:val="none"/>
                <w:vertAlign w:val="baseline"/>
                <w:lang w:eastAsia="zh-CN"/>
              </w:rPr>
              <w:br w:type="textWrapping"/>
            </w:r>
            <w:r>
              <w:rPr>
                <w:rFonts w:hint="eastAsia" w:ascii="宋体" w:hAnsi="宋体" w:eastAsia="宋体" w:cs="宋体"/>
                <w:b w:val="0"/>
                <w:bCs w:val="0"/>
                <w:i w:val="0"/>
                <w:sz w:val="21"/>
                <w:u w:val="none"/>
                <w:vertAlign w:val="baseline"/>
                <w:lang w:eastAsia="zh-CN"/>
              </w:rPr>
              <w:t xml:space="preserve">       贷：资金结存——财政应返还额度</w:t>
            </w:r>
          </w:p>
        </w:tc>
      </w:tr>
    </w:tbl>
    <w:p w14:paraId="1DBEFF9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u w:val="none"/>
          <w:lang w:eastAsia="zh-CN"/>
        </w:rPr>
      </w:pPr>
      <w:r>
        <w:rPr>
          <w:rFonts w:hint="eastAsia" w:ascii="宋体" w:hAnsi="宋体" w:eastAsia="宋体" w:cs="宋体"/>
          <w:b w:val="0"/>
          <w:bCs w:val="0"/>
          <w:i w:val="0"/>
          <w:sz w:val="21"/>
          <w:u w:val="none"/>
          <w:lang w:eastAsia="zh-CN"/>
        </w:rPr>
        <w:t>2、授权支付业务</w:t>
      </w:r>
    </w:p>
    <w:p w14:paraId="017532C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u w:val="none"/>
          <w:lang w:eastAsia="zh-CN"/>
        </w:rPr>
      </w:pPr>
      <w:r>
        <w:rPr>
          <w:rFonts w:hint="eastAsia" w:ascii="宋体" w:hAnsi="宋体" w:eastAsia="宋体" w:cs="宋体"/>
          <w:b w:val="0"/>
          <w:bCs w:val="0"/>
          <w:i w:val="0"/>
          <w:sz w:val="21"/>
          <w:u w:val="none"/>
          <w:lang w:eastAsia="zh-CN"/>
        </w:rPr>
        <w:t>（1）单位收到代理银行盖章的“授权支付到账通知书”时。</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9"/>
        <w:gridCol w:w="5069"/>
      </w:tblGrid>
      <w:tr w14:paraId="20C3A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00" w:type="pct"/>
            <w:noWrap w:val="0"/>
            <w:vAlign w:val="top"/>
          </w:tcPr>
          <w:p w14:paraId="0773F5E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u w:val="none"/>
                <w:vertAlign w:val="baseline"/>
                <w:lang w:eastAsia="zh-CN"/>
              </w:rPr>
            </w:pPr>
            <w:r>
              <w:rPr>
                <w:rFonts w:hint="eastAsia" w:ascii="宋体" w:hAnsi="宋体" w:eastAsia="宋体" w:cs="宋体"/>
                <w:b w:val="0"/>
                <w:bCs w:val="0"/>
                <w:i w:val="0"/>
                <w:sz w:val="21"/>
                <w:u w:val="none"/>
                <w:vertAlign w:val="baseline"/>
                <w:lang w:eastAsia="zh-CN"/>
              </w:rPr>
              <w:t>①在财务会计中</w:t>
            </w:r>
          </w:p>
        </w:tc>
        <w:tc>
          <w:tcPr>
            <w:tcW w:w="2500" w:type="pct"/>
            <w:noWrap w:val="0"/>
            <w:vAlign w:val="top"/>
          </w:tcPr>
          <w:p w14:paraId="54021B1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u w:val="none"/>
                <w:vertAlign w:val="baseline"/>
                <w:lang w:eastAsia="zh-CN"/>
              </w:rPr>
            </w:pPr>
            <w:r>
              <w:rPr>
                <w:rFonts w:hint="eastAsia" w:ascii="宋体" w:hAnsi="宋体" w:eastAsia="宋体" w:cs="宋体"/>
                <w:b w:val="0"/>
                <w:bCs w:val="0"/>
                <w:i w:val="0"/>
                <w:sz w:val="21"/>
                <w:u w:val="none"/>
                <w:vertAlign w:val="baseline"/>
                <w:lang w:eastAsia="zh-CN"/>
              </w:rPr>
              <w:t>②同时在预算会计中</w:t>
            </w:r>
          </w:p>
        </w:tc>
      </w:tr>
      <w:tr w14:paraId="2D215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6089D3A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u w:val="none"/>
                <w:vertAlign w:val="baseline"/>
                <w:lang w:eastAsia="zh-CN"/>
              </w:rPr>
            </w:pPr>
            <w:r>
              <w:rPr>
                <w:rFonts w:hint="eastAsia" w:ascii="宋体" w:hAnsi="宋体" w:eastAsia="宋体" w:cs="宋体"/>
                <w:b w:val="0"/>
                <w:bCs w:val="0"/>
                <w:i w:val="0"/>
                <w:sz w:val="21"/>
                <w:u w:val="none"/>
                <w:vertAlign w:val="baseline"/>
                <w:lang w:eastAsia="zh-CN"/>
              </w:rPr>
              <w:t>借：零余额账户用款额度</w:t>
            </w:r>
            <w:r>
              <w:rPr>
                <w:rFonts w:hint="eastAsia" w:ascii="宋体" w:hAnsi="宋体" w:eastAsia="宋体" w:cs="宋体"/>
                <w:b w:val="0"/>
                <w:bCs w:val="0"/>
                <w:i w:val="0"/>
                <w:sz w:val="21"/>
                <w:u w:val="none"/>
                <w:vertAlign w:val="baseline"/>
                <w:lang w:eastAsia="zh-CN"/>
              </w:rPr>
              <w:br w:type="textWrapping"/>
            </w:r>
            <w:r>
              <w:rPr>
                <w:rFonts w:hint="eastAsia" w:ascii="宋体" w:hAnsi="宋体" w:eastAsia="宋体" w:cs="宋体"/>
                <w:b w:val="0"/>
                <w:bCs w:val="0"/>
                <w:i w:val="0"/>
                <w:sz w:val="21"/>
                <w:u w:val="none"/>
                <w:vertAlign w:val="baseline"/>
                <w:lang w:eastAsia="zh-CN"/>
              </w:rPr>
              <w:t xml:space="preserve">        贷：财政拨款收入</w:t>
            </w:r>
          </w:p>
        </w:tc>
        <w:tc>
          <w:tcPr>
            <w:tcW w:w="2500" w:type="pct"/>
            <w:noWrap w:val="0"/>
            <w:vAlign w:val="top"/>
          </w:tcPr>
          <w:p w14:paraId="7D51AFF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u w:val="none"/>
                <w:vertAlign w:val="baseline"/>
                <w:lang w:eastAsia="zh-CN"/>
              </w:rPr>
            </w:pPr>
            <w:r>
              <w:rPr>
                <w:rFonts w:hint="eastAsia" w:ascii="宋体" w:hAnsi="宋体" w:eastAsia="宋体" w:cs="宋体"/>
                <w:b w:val="0"/>
                <w:bCs w:val="0"/>
                <w:i w:val="0"/>
                <w:sz w:val="21"/>
                <w:u w:val="none"/>
                <w:vertAlign w:val="baseline"/>
                <w:lang w:eastAsia="zh-CN"/>
              </w:rPr>
              <w:t>借：资金结存——零余额账户用款额度</w:t>
            </w:r>
            <w:r>
              <w:rPr>
                <w:rFonts w:hint="eastAsia" w:ascii="宋体" w:hAnsi="宋体" w:eastAsia="宋体" w:cs="宋体"/>
                <w:b w:val="0"/>
                <w:bCs w:val="0"/>
                <w:i w:val="0"/>
                <w:sz w:val="21"/>
                <w:u w:val="none"/>
                <w:vertAlign w:val="baseline"/>
                <w:lang w:eastAsia="zh-CN"/>
              </w:rPr>
              <w:br w:type="textWrapping"/>
            </w:r>
            <w:r>
              <w:rPr>
                <w:rFonts w:hint="eastAsia" w:ascii="宋体" w:hAnsi="宋体" w:eastAsia="宋体" w:cs="宋体"/>
                <w:b w:val="0"/>
                <w:bCs w:val="0"/>
                <w:i w:val="0"/>
                <w:sz w:val="21"/>
                <w:u w:val="none"/>
                <w:vertAlign w:val="baseline"/>
                <w:lang w:eastAsia="zh-CN"/>
              </w:rPr>
              <w:t xml:space="preserve">        贷：财政拨款预算收入</w:t>
            </w:r>
          </w:p>
        </w:tc>
      </w:tr>
    </w:tbl>
    <w:p w14:paraId="33EC849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u w:val="none"/>
          <w:lang w:eastAsia="zh-CN"/>
        </w:rPr>
      </w:pPr>
      <w:r>
        <w:rPr>
          <w:rFonts w:hint="eastAsia" w:ascii="宋体" w:hAnsi="宋体" w:eastAsia="宋体" w:cs="宋体"/>
          <w:b w:val="0"/>
          <w:bCs w:val="0"/>
          <w:i w:val="0"/>
          <w:sz w:val="21"/>
          <w:u w:val="none"/>
          <w:lang w:eastAsia="zh-CN"/>
        </w:rPr>
        <w:t>（2）按规定支用额度时。</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9"/>
        <w:gridCol w:w="5069"/>
      </w:tblGrid>
      <w:tr w14:paraId="4B8DD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7BA0734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u w:val="none"/>
                <w:vertAlign w:val="baseline"/>
                <w:lang w:eastAsia="zh-CN"/>
              </w:rPr>
            </w:pPr>
            <w:r>
              <w:rPr>
                <w:rFonts w:hint="eastAsia" w:ascii="宋体" w:hAnsi="宋体" w:eastAsia="宋体" w:cs="宋体"/>
                <w:b w:val="0"/>
                <w:bCs w:val="0"/>
                <w:i w:val="0"/>
                <w:sz w:val="21"/>
                <w:u w:val="none"/>
                <w:vertAlign w:val="baseline"/>
                <w:lang w:eastAsia="zh-CN"/>
              </w:rPr>
              <w:t>①在财务会计中</w:t>
            </w:r>
          </w:p>
        </w:tc>
        <w:tc>
          <w:tcPr>
            <w:tcW w:w="2500" w:type="pct"/>
            <w:noWrap w:val="0"/>
            <w:vAlign w:val="top"/>
          </w:tcPr>
          <w:p w14:paraId="007DD0B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u w:val="none"/>
                <w:vertAlign w:val="baseline"/>
                <w:lang w:eastAsia="zh-CN"/>
              </w:rPr>
            </w:pPr>
            <w:r>
              <w:rPr>
                <w:rFonts w:hint="eastAsia" w:ascii="宋体" w:hAnsi="宋体" w:eastAsia="宋体" w:cs="宋体"/>
                <w:b w:val="0"/>
                <w:bCs w:val="0"/>
                <w:i w:val="0"/>
                <w:sz w:val="21"/>
                <w:u w:val="none"/>
                <w:vertAlign w:val="baseline"/>
                <w:lang w:eastAsia="zh-CN"/>
              </w:rPr>
              <w:t>②同时在预算会计中</w:t>
            </w:r>
          </w:p>
        </w:tc>
      </w:tr>
      <w:tr w14:paraId="5BA48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21A02F2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u w:val="none"/>
                <w:vertAlign w:val="baseline"/>
                <w:lang w:eastAsia="zh-CN"/>
              </w:rPr>
            </w:pPr>
            <w:r>
              <w:rPr>
                <w:rFonts w:hint="eastAsia" w:ascii="宋体" w:hAnsi="宋体" w:eastAsia="宋体" w:cs="宋体"/>
                <w:b w:val="0"/>
                <w:bCs w:val="0"/>
                <w:i w:val="0"/>
                <w:sz w:val="21"/>
                <w:u w:val="none"/>
                <w:vertAlign w:val="baseline"/>
                <w:lang w:eastAsia="zh-CN"/>
              </w:rPr>
              <w:t>借：库存物品、固定资产、</w:t>
            </w:r>
          </w:p>
          <w:p w14:paraId="7A52739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u w:val="none"/>
                <w:vertAlign w:val="baseline"/>
                <w:lang w:eastAsia="zh-CN"/>
              </w:rPr>
            </w:pPr>
            <w:r>
              <w:rPr>
                <w:rFonts w:hint="eastAsia" w:ascii="宋体" w:hAnsi="宋体" w:eastAsia="宋体" w:cs="宋体"/>
                <w:b w:val="0"/>
                <w:bCs w:val="0"/>
                <w:i w:val="0"/>
                <w:sz w:val="21"/>
                <w:u w:val="none"/>
                <w:vertAlign w:val="baseline"/>
                <w:lang w:eastAsia="zh-CN"/>
              </w:rPr>
              <w:t>应付职工薪酬、业务活动费用、单位管理费用</w:t>
            </w:r>
            <w:r>
              <w:rPr>
                <w:rFonts w:hint="eastAsia" w:ascii="宋体" w:hAnsi="宋体" w:eastAsia="宋体" w:cs="宋体"/>
                <w:b w:val="0"/>
                <w:bCs w:val="0"/>
                <w:i w:val="0"/>
                <w:sz w:val="21"/>
                <w:u w:val="none"/>
                <w:vertAlign w:val="baseline"/>
                <w:lang w:eastAsia="zh-CN"/>
              </w:rPr>
              <w:br w:type="textWrapping"/>
            </w:r>
            <w:r>
              <w:rPr>
                <w:rFonts w:hint="eastAsia" w:ascii="宋体" w:hAnsi="宋体" w:eastAsia="宋体" w:cs="宋体"/>
                <w:b w:val="0"/>
                <w:bCs w:val="0"/>
                <w:i w:val="0"/>
                <w:sz w:val="21"/>
                <w:u w:val="none"/>
                <w:vertAlign w:val="baseline"/>
                <w:lang w:eastAsia="zh-CN"/>
              </w:rPr>
              <w:t xml:space="preserve">       贷：零余额账户用款额度</w:t>
            </w:r>
          </w:p>
        </w:tc>
        <w:tc>
          <w:tcPr>
            <w:tcW w:w="2500" w:type="pct"/>
            <w:noWrap w:val="0"/>
            <w:vAlign w:val="top"/>
          </w:tcPr>
          <w:p w14:paraId="4B5E902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u w:val="none"/>
                <w:vertAlign w:val="baseline"/>
                <w:lang w:eastAsia="zh-CN"/>
              </w:rPr>
            </w:pPr>
            <w:r>
              <w:rPr>
                <w:rFonts w:hint="eastAsia" w:ascii="宋体" w:hAnsi="宋体" w:eastAsia="宋体" w:cs="宋体"/>
                <w:b w:val="0"/>
                <w:bCs w:val="0"/>
                <w:i w:val="0"/>
                <w:sz w:val="21"/>
                <w:u w:val="none"/>
                <w:vertAlign w:val="baseline"/>
                <w:lang w:eastAsia="zh-CN"/>
              </w:rPr>
              <w:t>借：行政支出、事业支出</w:t>
            </w:r>
            <w:r>
              <w:rPr>
                <w:rFonts w:hint="eastAsia" w:ascii="宋体" w:hAnsi="宋体" w:eastAsia="宋体" w:cs="宋体"/>
                <w:b w:val="0"/>
                <w:bCs w:val="0"/>
                <w:i w:val="0"/>
                <w:sz w:val="21"/>
                <w:u w:val="none"/>
                <w:vertAlign w:val="baseline"/>
                <w:lang w:eastAsia="zh-CN"/>
              </w:rPr>
              <w:br w:type="textWrapping"/>
            </w:r>
            <w:r>
              <w:rPr>
                <w:rFonts w:hint="eastAsia" w:ascii="宋体" w:hAnsi="宋体" w:eastAsia="宋体" w:cs="宋体"/>
                <w:b w:val="0"/>
                <w:bCs w:val="0"/>
                <w:i w:val="0"/>
                <w:sz w:val="21"/>
                <w:u w:val="none"/>
                <w:vertAlign w:val="baseline"/>
                <w:lang w:eastAsia="zh-CN"/>
              </w:rPr>
              <w:t xml:space="preserve">        贷：资金结存——零余额账户用款额度</w:t>
            </w:r>
          </w:p>
        </w:tc>
      </w:tr>
    </w:tbl>
    <w:p w14:paraId="1B31C0A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u w:val="none"/>
          <w:lang w:eastAsia="zh-CN"/>
        </w:rPr>
      </w:pPr>
      <w:r>
        <w:rPr>
          <w:rFonts w:hint="eastAsia" w:ascii="宋体" w:hAnsi="宋体" w:eastAsia="宋体" w:cs="宋体"/>
          <w:b w:val="0"/>
          <w:bCs w:val="0"/>
          <w:i w:val="0"/>
          <w:sz w:val="21"/>
          <w:u w:val="none"/>
          <w:lang w:eastAsia="zh-CN"/>
        </w:rPr>
        <w:t>（3）年末，依据代理银行提供的对账单作注销额度（已下达的用款额度）。</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9"/>
        <w:gridCol w:w="5069"/>
      </w:tblGrid>
      <w:tr w14:paraId="7B943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6B8E88A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u w:val="none"/>
                <w:vertAlign w:val="baseline"/>
                <w:lang w:eastAsia="zh-CN"/>
              </w:rPr>
            </w:pPr>
            <w:r>
              <w:rPr>
                <w:rFonts w:hint="eastAsia" w:ascii="宋体" w:hAnsi="宋体" w:eastAsia="宋体" w:cs="宋体"/>
                <w:b w:val="0"/>
                <w:bCs w:val="0"/>
                <w:i w:val="0"/>
                <w:sz w:val="21"/>
                <w:u w:val="none"/>
                <w:vertAlign w:val="baseline"/>
                <w:lang w:eastAsia="zh-CN"/>
              </w:rPr>
              <w:t>①在财务会计中</w:t>
            </w:r>
          </w:p>
        </w:tc>
        <w:tc>
          <w:tcPr>
            <w:tcW w:w="2500" w:type="pct"/>
            <w:noWrap w:val="0"/>
            <w:vAlign w:val="top"/>
          </w:tcPr>
          <w:p w14:paraId="2E2101A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u w:val="none"/>
                <w:vertAlign w:val="baseline"/>
                <w:lang w:eastAsia="zh-CN"/>
              </w:rPr>
            </w:pPr>
            <w:r>
              <w:rPr>
                <w:rFonts w:hint="eastAsia" w:ascii="宋体" w:hAnsi="宋体" w:eastAsia="宋体" w:cs="宋体"/>
                <w:b w:val="0"/>
                <w:bCs w:val="0"/>
                <w:i w:val="0"/>
                <w:sz w:val="21"/>
                <w:u w:val="none"/>
                <w:vertAlign w:val="baseline"/>
                <w:lang w:eastAsia="zh-CN"/>
              </w:rPr>
              <w:t>②同时在预算会计中</w:t>
            </w:r>
          </w:p>
        </w:tc>
      </w:tr>
      <w:tr w14:paraId="7E82E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7034472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u w:val="none"/>
                <w:vertAlign w:val="baseline"/>
                <w:lang w:eastAsia="zh-CN"/>
              </w:rPr>
            </w:pPr>
            <w:r>
              <w:rPr>
                <w:rFonts w:hint="eastAsia" w:ascii="宋体" w:hAnsi="宋体" w:eastAsia="宋体" w:cs="宋体"/>
                <w:b w:val="0"/>
                <w:bCs w:val="0"/>
                <w:i w:val="0"/>
                <w:sz w:val="21"/>
                <w:u w:val="none"/>
                <w:vertAlign w:val="baseline"/>
                <w:lang w:eastAsia="zh-CN"/>
              </w:rPr>
              <w:t>借：财政应返还额度</w:t>
            </w:r>
            <w:r>
              <w:rPr>
                <w:rFonts w:hint="eastAsia" w:ascii="宋体" w:hAnsi="宋体" w:eastAsia="宋体" w:cs="宋体"/>
                <w:b w:val="0"/>
                <w:bCs w:val="0"/>
                <w:i w:val="0"/>
                <w:sz w:val="21"/>
                <w:u w:val="none"/>
                <w:vertAlign w:val="baseline"/>
                <w:lang w:eastAsia="zh-CN"/>
              </w:rPr>
              <w:br w:type="textWrapping"/>
            </w:r>
            <w:r>
              <w:rPr>
                <w:rFonts w:hint="eastAsia" w:ascii="宋体" w:hAnsi="宋体" w:eastAsia="宋体" w:cs="宋体"/>
                <w:b w:val="0"/>
                <w:bCs w:val="0"/>
                <w:i w:val="0"/>
                <w:sz w:val="21"/>
                <w:u w:val="none"/>
                <w:vertAlign w:val="baseline"/>
                <w:lang w:eastAsia="zh-CN"/>
              </w:rPr>
              <w:t xml:space="preserve">       贷：零余额账户用款额度</w:t>
            </w:r>
          </w:p>
        </w:tc>
        <w:tc>
          <w:tcPr>
            <w:tcW w:w="2500" w:type="pct"/>
            <w:noWrap w:val="0"/>
            <w:vAlign w:val="top"/>
          </w:tcPr>
          <w:p w14:paraId="765FF8A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u w:val="none"/>
                <w:vertAlign w:val="baseline"/>
                <w:lang w:eastAsia="zh-CN"/>
              </w:rPr>
            </w:pPr>
            <w:r>
              <w:rPr>
                <w:rFonts w:hint="eastAsia" w:ascii="宋体" w:hAnsi="宋体" w:eastAsia="宋体" w:cs="宋体"/>
                <w:b w:val="0"/>
                <w:bCs w:val="0"/>
                <w:i w:val="0"/>
                <w:sz w:val="21"/>
                <w:u w:val="none"/>
                <w:vertAlign w:val="baseline"/>
                <w:lang w:eastAsia="zh-CN"/>
              </w:rPr>
              <w:t>借：资金结存——财政应返还额度</w:t>
            </w:r>
            <w:r>
              <w:rPr>
                <w:rFonts w:hint="eastAsia" w:ascii="宋体" w:hAnsi="宋体" w:eastAsia="宋体" w:cs="宋体"/>
                <w:b w:val="0"/>
                <w:bCs w:val="0"/>
                <w:i w:val="0"/>
                <w:sz w:val="21"/>
                <w:u w:val="none"/>
                <w:vertAlign w:val="baseline"/>
                <w:lang w:eastAsia="zh-CN"/>
              </w:rPr>
              <w:br w:type="textWrapping"/>
            </w:r>
            <w:r>
              <w:rPr>
                <w:rFonts w:hint="eastAsia" w:ascii="宋体" w:hAnsi="宋体" w:eastAsia="宋体" w:cs="宋体"/>
                <w:b w:val="0"/>
                <w:bCs w:val="0"/>
                <w:i w:val="0"/>
                <w:sz w:val="21"/>
                <w:u w:val="none"/>
                <w:vertAlign w:val="baseline"/>
                <w:lang w:eastAsia="zh-CN"/>
              </w:rPr>
              <w:t xml:space="preserve">        贷：资金结存——零余额账户用款额度</w:t>
            </w:r>
          </w:p>
        </w:tc>
      </w:tr>
    </w:tbl>
    <w:p w14:paraId="44D4990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u w:val="none"/>
          <w:lang w:eastAsia="zh-CN"/>
        </w:rPr>
      </w:pPr>
      <w:r>
        <w:rPr>
          <w:rFonts w:hint="eastAsia" w:ascii="宋体" w:hAnsi="宋体" w:eastAsia="宋体" w:cs="宋体"/>
          <w:b w:val="0"/>
          <w:bCs w:val="0"/>
          <w:i w:val="0"/>
          <w:sz w:val="21"/>
          <w:u w:val="none"/>
          <w:lang w:eastAsia="zh-CN"/>
        </w:rPr>
        <w:t xml:space="preserve">下年初恢复额度时： </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9"/>
        <w:gridCol w:w="5069"/>
      </w:tblGrid>
      <w:tr w14:paraId="1B463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6016FDF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u w:val="none"/>
                <w:vertAlign w:val="baseline"/>
                <w:lang w:eastAsia="zh-CN"/>
              </w:rPr>
            </w:pPr>
            <w:r>
              <w:rPr>
                <w:rFonts w:hint="eastAsia" w:ascii="宋体" w:hAnsi="宋体" w:eastAsia="宋体" w:cs="宋体"/>
                <w:b w:val="0"/>
                <w:bCs w:val="0"/>
                <w:i w:val="0"/>
                <w:sz w:val="21"/>
                <w:u w:val="none"/>
                <w:vertAlign w:val="baseline"/>
                <w:lang w:eastAsia="zh-CN"/>
              </w:rPr>
              <w:t>①在财务会计中</w:t>
            </w:r>
          </w:p>
        </w:tc>
        <w:tc>
          <w:tcPr>
            <w:tcW w:w="2500" w:type="pct"/>
            <w:noWrap w:val="0"/>
            <w:vAlign w:val="top"/>
          </w:tcPr>
          <w:p w14:paraId="0143578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u w:val="none"/>
                <w:vertAlign w:val="baseline"/>
                <w:lang w:eastAsia="zh-CN"/>
              </w:rPr>
            </w:pPr>
            <w:r>
              <w:rPr>
                <w:rFonts w:hint="eastAsia" w:ascii="宋体" w:hAnsi="宋体" w:eastAsia="宋体" w:cs="宋体"/>
                <w:b w:val="0"/>
                <w:bCs w:val="0"/>
                <w:i w:val="0"/>
                <w:sz w:val="21"/>
                <w:u w:val="none"/>
                <w:vertAlign w:val="baseline"/>
                <w:lang w:eastAsia="zh-CN"/>
              </w:rPr>
              <w:t>②同时在预算会计中</w:t>
            </w:r>
          </w:p>
        </w:tc>
      </w:tr>
      <w:tr w14:paraId="0563F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109EB8E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u w:val="none"/>
                <w:vertAlign w:val="baseline"/>
                <w:lang w:eastAsia="zh-CN"/>
              </w:rPr>
            </w:pPr>
            <w:r>
              <w:rPr>
                <w:rFonts w:hint="eastAsia" w:ascii="宋体" w:hAnsi="宋体" w:eastAsia="宋体" w:cs="宋体"/>
                <w:b w:val="0"/>
                <w:bCs w:val="0"/>
                <w:i w:val="0"/>
                <w:sz w:val="21"/>
                <w:u w:val="none"/>
                <w:vertAlign w:val="baseline"/>
                <w:lang w:eastAsia="zh-CN"/>
              </w:rPr>
              <w:t>借：零余额账户用款额度</w:t>
            </w:r>
            <w:r>
              <w:rPr>
                <w:rFonts w:hint="eastAsia" w:ascii="宋体" w:hAnsi="宋体" w:eastAsia="宋体" w:cs="宋体"/>
                <w:b w:val="0"/>
                <w:bCs w:val="0"/>
                <w:i w:val="0"/>
                <w:sz w:val="21"/>
                <w:u w:val="none"/>
                <w:vertAlign w:val="baseline"/>
                <w:lang w:eastAsia="zh-CN"/>
              </w:rPr>
              <w:br w:type="textWrapping"/>
            </w:r>
            <w:r>
              <w:rPr>
                <w:rFonts w:hint="eastAsia" w:ascii="宋体" w:hAnsi="宋体" w:eastAsia="宋体" w:cs="宋体"/>
                <w:b w:val="0"/>
                <w:bCs w:val="0"/>
                <w:i w:val="0"/>
                <w:sz w:val="21"/>
                <w:u w:val="none"/>
                <w:vertAlign w:val="baseline"/>
                <w:lang w:eastAsia="zh-CN"/>
              </w:rPr>
              <w:t xml:space="preserve">       贷：财政应返还额度</w:t>
            </w:r>
            <w:r>
              <w:rPr>
                <w:rFonts w:hint="eastAsia" w:ascii="宋体" w:hAnsi="宋体" w:eastAsia="宋体" w:cs="宋体"/>
                <w:b w:val="0"/>
                <w:bCs w:val="0"/>
                <w:i w:val="0"/>
                <w:sz w:val="21"/>
                <w:u w:val="none"/>
                <w:vertAlign w:val="baseline"/>
                <w:lang w:eastAsia="zh-CN"/>
              </w:rPr>
              <w:br w:type="textWrapping"/>
            </w:r>
            <w:r>
              <w:rPr>
                <w:rFonts w:hint="eastAsia" w:ascii="宋体" w:hAnsi="宋体" w:eastAsia="宋体" w:cs="宋体"/>
                <w:b w:val="0"/>
                <w:bCs w:val="0"/>
                <w:i w:val="0"/>
                <w:sz w:val="21"/>
                <w:u w:val="none"/>
                <w:vertAlign w:val="baseline"/>
                <w:lang w:eastAsia="zh-CN"/>
              </w:rPr>
              <w:t>——财政授权支付</w:t>
            </w:r>
          </w:p>
        </w:tc>
        <w:tc>
          <w:tcPr>
            <w:tcW w:w="2500" w:type="pct"/>
            <w:noWrap w:val="0"/>
            <w:vAlign w:val="top"/>
          </w:tcPr>
          <w:p w14:paraId="7145E77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u w:val="none"/>
                <w:vertAlign w:val="baseline"/>
                <w:lang w:eastAsia="zh-CN"/>
              </w:rPr>
            </w:pPr>
            <w:r>
              <w:rPr>
                <w:rFonts w:hint="eastAsia" w:ascii="宋体" w:hAnsi="宋体" w:eastAsia="宋体" w:cs="宋体"/>
                <w:b w:val="0"/>
                <w:bCs w:val="0"/>
                <w:i w:val="0"/>
                <w:sz w:val="21"/>
                <w:u w:val="none"/>
                <w:vertAlign w:val="baseline"/>
                <w:lang w:eastAsia="zh-CN"/>
              </w:rPr>
              <w:t>借：资金结存——零余额账户用款额度</w:t>
            </w:r>
            <w:r>
              <w:rPr>
                <w:rFonts w:hint="eastAsia" w:ascii="宋体" w:hAnsi="宋体" w:eastAsia="宋体" w:cs="宋体"/>
                <w:b w:val="0"/>
                <w:bCs w:val="0"/>
                <w:i w:val="0"/>
                <w:sz w:val="21"/>
                <w:u w:val="none"/>
                <w:vertAlign w:val="baseline"/>
                <w:lang w:eastAsia="zh-CN"/>
              </w:rPr>
              <w:br w:type="textWrapping"/>
            </w:r>
            <w:r>
              <w:rPr>
                <w:rFonts w:hint="eastAsia" w:ascii="宋体" w:hAnsi="宋体" w:eastAsia="宋体" w:cs="宋体"/>
                <w:b w:val="0"/>
                <w:bCs w:val="0"/>
                <w:i w:val="0"/>
                <w:sz w:val="21"/>
                <w:u w:val="none"/>
                <w:vertAlign w:val="baseline"/>
                <w:lang w:eastAsia="zh-CN"/>
              </w:rPr>
              <w:t xml:space="preserve">        贷：资金结存——财政应返还额度</w:t>
            </w:r>
          </w:p>
        </w:tc>
      </w:tr>
    </w:tbl>
    <w:p w14:paraId="42DDF4D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u w:val="none"/>
          <w:lang w:eastAsia="zh-CN"/>
        </w:rPr>
      </w:pPr>
      <w:r>
        <w:rPr>
          <w:rFonts w:hint="eastAsia" w:ascii="宋体" w:hAnsi="宋体" w:eastAsia="宋体" w:cs="宋体"/>
          <w:b w:val="0"/>
          <w:bCs w:val="0"/>
          <w:i w:val="0"/>
          <w:sz w:val="21"/>
          <w:u w:val="none"/>
          <w:lang w:eastAsia="zh-CN"/>
        </w:rPr>
        <w:t>（4）年末，单位本年度财政授权支付预算指标数大于零余额账户用款额度下达数的（未下达的用款额度）。</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9"/>
        <w:gridCol w:w="5069"/>
      </w:tblGrid>
      <w:tr w14:paraId="3041E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1DE79BD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u w:val="none"/>
                <w:vertAlign w:val="baseline"/>
                <w:lang w:eastAsia="zh-CN"/>
              </w:rPr>
            </w:pPr>
            <w:r>
              <w:rPr>
                <w:rFonts w:hint="eastAsia" w:ascii="宋体" w:hAnsi="宋体" w:eastAsia="宋体" w:cs="宋体"/>
                <w:b w:val="0"/>
                <w:bCs w:val="0"/>
                <w:i w:val="0"/>
                <w:sz w:val="21"/>
                <w:u w:val="none"/>
                <w:vertAlign w:val="baseline"/>
                <w:lang w:eastAsia="zh-CN"/>
              </w:rPr>
              <w:t>①在财务会计中</w:t>
            </w:r>
          </w:p>
        </w:tc>
        <w:tc>
          <w:tcPr>
            <w:tcW w:w="2500" w:type="pct"/>
            <w:noWrap w:val="0"/>
            <w:vAlign w:val="top"/>
          </w:tcPr>
          <w:p w14:paraId="2C56938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u w:val="none"/>
                <w:vertAlign w:val="baseline"/>
                <w:lang w:eastAsia="zh-CN"/>
              </w:rPr>
            </w:pPr>
            <w:r>
              <w:rPr>
                <w:rFonts w:hint="eastAsia" w:ascii="宋体" w:hAnsi="宋体" w:eastAsia="宋体" w:cs="宋体"/>
                <w:b w:val="0"/>
                <w:bCs w:val="0"/>
                <w:i w:val="0"/>
                <w:sz w:val="21"/>
                <w:u w:val="none"/>
                <w:vertAlign w:val="baseline"/>
                <w:lang w:eastAsia="zh-CN"/>
              </w:rPr>
              <w:t>②同时在预算会计中</w:t>
            </w:r>
          </w:p>
        </w:tc>
      </w:tr>
      <w:tr w14:paraId="299A6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5F4DAEA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u w:val="none"/>
                <w:vertAlign w:val="baseline"/>
                <w:lang w:eastAsia="zh-CN"/>
              </w:rPr>
            </w:pPr>
            <w:r>
              <w:rPr>
                <w:rFonts w:hint="eastAsia" w:ascii="宋体" w:hAnsi="宋体" w:eastAsia="宋体" w:cs="宋体"/>
                <w:b w:val="0"/>
                <w:bCs w:val="0"/>
                <w:i w:val="0"/>
                <w:sz w:val="21"/>
                <w:u w:val="none"/>
                <w:vertAlign w:val="baseline"/>
                <w:lang w:eastAsia="zh-CN"/>
              </w:rPr>
              <w:t>借：财政应返还额度</w:t>
            </w:r>
            <w:r>
              <w:rPr>
                <w:rFonts w:hint="eastAsia" w:ascii="宋体" w:hAnsi="宋体" w:eastAsia="宋体" w:cs="宋体"/>
                <w:b w:val="0"/>
                <w:bCs w:val="0"/>
                <w:i w:val="0"/>
                <w:sz w:val="21"/>
                <w:u w:val="none"/>
                <w:vertAlign w:val="baseline"/>
                <w:lang w:eastAsia="zh-CN"/>
              </w:rPr>
              <w:br w:type="textWrapping"/>
            </w:r>
            <w:r>
              <w:rPr>
                <w:rFonts w:hint="eastAsia" w:ascii="宋体" w:hAnsi="宋体" w:eastAsia="宋体" w:cs="宋体"/>
                <w:b w:val="0"/>
                <w:bCs w:val="0"/>
                <w:i w:val="0"/>
                <w:sz w:val="21"/>
                <w:u w:val="none"/>
                <w:vertAlign w:val="baseline"/>
                <w:lang w:eastAsia="zh-CN"/>
              </w:rPr>
              <w:t xml:space="preserve">       贷：财政拨款收入</w:t>
            </w:r>
          </w:p>
        </w:tc>
        <w:tc>
          <w:tcPr>
            <w:tcW w:w="2500" w:type="pct"/>
            <w:noWrap w:val="0"/>
            <w:vAlign w:val="top"/>
          </w:tcPr>
          <w:p w14:paraId="79FEA21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u w:val="none"/>
                <w:vertAlign w:val="baseline"/>
                <w:lang w:eastAsia="zh-CN"/>
              </w:rPr>
            </w:pPr>
            <w:r>
              <w:rPr>
                <w:rFonts w:hint="eastAsia" w:ascii="宋体" w:hAnsi="宋体" w:eastAsia="宋体" w:cs="宋体"/>
                <w:b w:val="0"/>
                <w:bCs w:val="0"/>
                <w:i w:val="0"/>
                <w:sz w:val="21"/>
                <w:u w:val="none"/>
                <w:vertAlign w:val="baseline"/>
                <w:lang w:eastAsia="zh-CN"/>
              </w:rPr>
              <w:t>借：资金结存——财政应返还额度</w:t>
            </w:r>
            <w:r>
              <w:rPr>
                <w:rFonts w:hint="eastAsia" w:ascii="宋体" w:hAnsi="宋体" w:eastAsia="宋体" w:cs="宋体"/>
                <w:b w:val="0"/>
                <w:bCs w:val="0"/>
                <w:i w:val="0"/>
                <w:sz w:val="21"/>
                <w:u w:val="none"/>
                <w:vertAlign w:val="baseline"/>
                <w:lang w:eastAsia="zh-CN"/>
              </w:rPr>
              <w:br w:type="textWrapping"/>
            </w:r>
            <w:r>
              <w:rPr>
                <w:rFonts w:hint="eastAsia" w:ascii="宋体" w:hAnsi="宋体" w:eastAsia="宋体" w:cs="宋体"/>
                <w:b w:val="0"/>
                <w:bCs w:val="0"/>
                <w:i w:val="0"/>
                <w:sz w:val="21"/>
                <w:u w:val="none"/>
                <w:vertAlign w:val="baseline"/>
                <w:lang w:eastAsia="zh-CN"/>
              </w:rPr>
              <w:t xml:space="preserve">      贷：财政拨款预算收入</w:t>
            </w:r>
          </w:p>
        </w:tc>
      </w:tr>
    </w:tbl>
    <w:p w14:paraId="607302D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u w:val="none"/>
          <w:lang w:eastAsia="zh-CN"/>
        </w:rPr>
      </w:pPr>
      <w:r>
        <w:rPr>
          <w:rFonts w:hint="eastAsia" w:ascii="宋体" w:hAnsi="宋体" w:eastAsia="宋体" w:cs="宋体"/>
          <w:b w:val="0"/>
          <w:bCs w:val="0"/>
          <w:i w:val="0"/>
          <w:sz w:val="21"/>
          <w:u w:val="none"/>
          <w:lang w:eastAsia="zh-CN"/>
        </w:rPr>
        <w:t xml:space="preserve"> 下年度收到财政部门批复的上年末未下达零余额账户用款额度时。</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9"/>
        <w:gridCol w:w="5069"/>
      </w:tblGrid>
      <w:tr w14:paraId="04C27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50DA905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u w:val="none"/>
                <w:vertAlign w:val="baseline"/>
                <w:lang w:eastAsia="zh-CN"/>
              </w:rPr>
            </w:pPr>
            <w:r>
              <w:rPr>
                <w:rFonts w:hint="eastAsia" w:ascii="宋体" w:hAnsi="宋体" w:eastAsia="宋体" w:cs="宋体"/>
                <w:b w:val="0"/>
                <w:bCs w:val="0"/>
                <w:i w:val="0"/>
                <w:sz w:val="21"/>
                <w:u w:val="none"/>
                <w:vertAlign w:val="baseline"/>
                <w:lang w:eastAsia="zh-CN"/>
              </w:rPr>
              <w:t>①在财务会计中</w:t>
            </w:r>
          </w:p>
        </w:tc>
        <w:tc>
          <w:tcPr>
            <w:tcW w:w="2500" w:type="pct"/>
            <w:noWrap w:val="0"/>
            <w:vAlign w:val="top"/>
          </w:tcPr>
          <w:p w14:paraId="547D7B3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u w:val="none"/>
                <w:vertAlign w:val="baseline"/>
                <w:lang w:eastAsia="zh-CN"/>
              </w:rPr>
            </w:pPr>
            <w:r>
              <w:rPr>
                <w:rFonts w:hint="eastAsia" w:ascii="宋体" w:hAnsi="宋体" w:eastAsia="宋体" w:cs="宋体"/>
                <w:b w:val="0"/>
                <w:bCs w:val="0"/>
                <w:i w:val="0"/>
                <w:sz w:val="21"/>
                <w:u w:val="none"/>
                <w:vertAlign w:val="baseline"/>
                <w:lang w:eastAsia="zh-CN"/>
              </w:rPr>
              <w:t>②同时在预算会计中</w:t>
            </w:r>
          </w:p>
        </w:tc>
      </w:tr>
      <w:tr w14:paraId="026C9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721EFCA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u w:val="none"/>
                <w:vertAlign w:val="baseline"/>
                <w:lang w:eastAsia="zh-CN"/>
              </w:rPr>
            </w:pPr>
            <w:r>
              <w:rPr>
                <w:rFonts w:hint="eastAsia" w:ascii="宋体" w:hAnsi="宋体" w:eastAsia="宋体" w:cs="宋体"/>
                <w:b w:val="0"/>
                <w:bCs w:val="0"/>
                <w:i w:val="0"/>
                <w:sz w:val="21"/>
                <w:u w:val="none"/>
                <w:vertAlign w:val="baseline"/>
                <w:lang w:eastAsia="zh-CN"/>
              </w:rPr>
              <w:t>借：零余额账户用款额度</w:t>
            </w:r>
            <w:r>
              <w:rPr>
                <w:rFonts w:hint="eastAsia" w:ascii="宋体" w:hAnsi="宋体" w:eastAsia="宋体" w:cs="宋体"/>
                <w:b w:val="0"/>
                <w:bCs w:val="0"/>
                <w:i w:val="0"/>
                <w:sz w:val="21"/>
                <w:u w:val="none"/>
                <w:vertAlign w:val="baseline"/>
                <w:lang w:eastAsia="zh-CN"/>
              </w:rPr>
              <w:br w:type="textWrapping"/>
            </w:r>
            <w:r>
              <w:rPr>
                <w:rFonts w:hint="eastAsia" w:ascii="宋体" w:hAnsi="宋体" w:eastAsia="宋体" w:cs="宋体"/>
                <w:b w:val="0"/>
                <w:bCs w:val="0"/>
                <w:i w:val="0"/>
                <w:sz w:val="21"/>
                <w:u w:val="none"/>
                <w:vertAlign w:val="baseline"/>
                <w:lang w:eastAsia="zh-CN"/>
              </w:rPr>
              <w:t xml:space="preserve">       贷：财政应返还额度</w:t>
            </w:r>
          </w:p>
        </w:tc>
        <w:tc>
          <w:tcPr>
            <w:tcW w:w="2500" w:type="pct"/>
            <w:noWrap w:val="0"/>
            <w:vAlign w:val="top"/>
          </w:tcPr>
          <w:p w14:paraId="0A384A9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u w:val="none"/>
                <w:vertAlign w:val="baseline"/>
                <w:lang w:eastAsia="zh-CN"/>
              </w:rPr>
            </w:pPr>
            <w:r>
              <w:rPr>
                <w:rFonts w:hint="eastAsia" w:ascii="宋体" w:hAnsi="宋体" w:eastAsia="宋体" w:cs="宋体"/>
                <w:b w:val="0"/>
                <w:bCs w:val="0"/>
                <w:i w:val="0"/>
                <w:sz w:val="21"/>
                <w:u w:val="none"/>
                <w:vertAlign w:val="baseline"/>
                <w:lang w:eastAsia="zh-CN"/>
              </w:rPr>
              <w:t>借：资金结存——零余额账户用款额度</w:t>
            </w:r>
            <w:r>
              <w:rPr>
                <w:rFonts w:hint="eastAsia" w:ascii="宋体" w:hAnsi="宋体" w:eastAsia="宋体" w:cs="宋体"/>
                <w:b w:val="0"/>
                <w:bCs w:val="0"/>
                <w:i w:val="0"/>
                <w:sz w:val="21"/>
                <w:u w:val="none"/>
                <w:vertAlign w:val="baseline"/>
                <w:lang w:eastAsia="zh-CN"/>
              </w:rPr>
              <w:br w:type="textWrapping"/>
            </w:r>
            <w:r>
              <w:rPr>
                <w:rFonts w:hint="eastAsia" w:ascii="宋体" w:hAnsi="宋体" w:eastAsia="宋体" w:cs="宋体"/>
                <w:b w:val="0"/>
                <w:bCs w:val="0"/>
                <w:i w:val="0"/>
                <w:sz w:val="21"/>
                <w:u w:val="none"/>
                <w:vertAlign w:val="baseline"/>
                <w:lang w:eastAsia="zh-CN"/>
              </w:rPr>
              <w:t xml:space="preserve">       贷：资金结存——财政应返还额度</w:t>
            </w:r>
          </w:p>
        </w:tc>
      </w:tr>
    </w:tbl>
    <w:p w14:paraId="553C55A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u w:val="none"/>
          <w:lang w:eastAsia="zh-CN"/>
        </w:rPr>
      </w:pPr>
    </w:p>
    <w:p w14:paraId="4209BF1B">
      <w:pPr>
        <w:keepNext w:val="0"/>
        <w:keepLines w:val="0"/>
        <w:pageBreakBefore w:val="0"/>
        <w:widowControl w:val="0"/>
        <w:kinsoku/>
        <w:wordWrap/>
        <w:overflowPunct w:val="0"/>
        <w:topLinePunct w:val="0"/>
        <w:autoSpaceDE/>
        <w:autoSpaceDN/>
        <w:bidi w:val="0"/>
        <w:adjustRightInd/>
        <w:snapToGrid/>
        <w:spacing w:line="360" w:lineRule="auto"/>
        <w:jc w:val="left"/>
        <w:textAlignment w:val="auto"/>
        <w:rPr>
          <w:rFonts w:hint="eastAsia" w:ascii="宋体" w:hAnsi="宋体" w:eastAsia="宋体" w:cs="宋体"/>
          <w:b w:val="0"/>
          <w:bCs w:val="0"/>
          <w:i w:val="0"/>
          <w:sz w:val="21"/>
          <w:u w:val="none"/>
          <w:lang w:eastAsia="zh-CN"/>
        </w:rPr>
      </w:pPr>
      <w:r>
        <w:rPr>
          <w:rFonts w:hint="eastAsia" w:ascii="宋体" w:hAnsi="宋体" w:eastAsia="宋体" w:cs="宋体"/>
          <w:b w:val="0"/>
          <w:bCs w:val="0"/>
          <w:i w:val="0"/>
          <w:sz w:val="21"/>
          <w:u w:val="none"/>
          <w:lang w:eastAsia="zh-CN"/>
        </w:rPr>
        <w:t>第二十五章  民间非营利组织会计</w:t>
      </w:r>
    </w:p>
    <w:p w14:paraId="68014C6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u w:val="none"/>
          <w:lang w:eastAsia="zh-CN"/>
        </w:rPr>
      </w:pPr>
      <w:r>
        <w:rPr>
          <w:rFonts w:hint="eastAsia" w:ascii="宋体" w:hAnsi="宋体" w:eastAsia="宋体" w:cs="宋体"/>
          <w:b w:val="0"/>
          <w:bCs w:val="0"/>
          <w:i w:val="0"/>
          <w:sz w:val="21"/>
          <w:u w:val="none"/>
          <w:lang w:eastAsia="zh-CN"/>
        </w:rPr>
        <w:t>略</w:t>
      </w:r>
    </w:p>
    <w:p w14:paraId="6976C31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u w:val="none"/>
          <w:lang w:eastAsia="zh-CN"/>
        </w:rPr>
      </w:pPr>
    </w:p>
    <w:p w14:paraId="6CADEA8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u w:val="none"/>
          <w:lang w:eastAsia="zh-CN"/>
        </w:rPr>
      </w:pPr>
    </w:p>
    <w:p w14:paraId="2ACBCCD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u w:val="none"/>
          <w:lang w:eastAsia="zh-CN"/>
        </w:rPr>
      </w:pPr>
    </w:p>
    <w:p w14:paraId="1ADE727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p>
    <w:p w14:paraId="57B9519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p>
    <w:p w14:paraId="2D521BE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p>
    <w:p w14:paraId="4ED250F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p>
    <w:p w14:paraId="7AE803B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p>
    <w:p w14:paraId="0309448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p>
    <w:p w14:paraId="688B29C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sz w:val="21"/>
          <w:szCs w:val="21"/>
          <w:u w:val="none"/>
          <w:lang w:eastAsia="zh-CN"/>
        </w:rPr>
      </w:pPr>
    </w:p>
    <w:p w14:paraId="1171477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i w:val="0"/>
          <w:sz w:val="21"/>
          <w:szCs w:val="21"/>
          <w:u w:val="none"/>
          <w:lang w:eastAsia="zh-CN"/>
        </w:rPr>
      </w:pPr>
    </w:p>
    <w:p w14:paraId="03732C99">
      <w:pPr>
        <w:jc w:val="left"/>
        <w:rPr>
          <w:rFonts w:hint="eastAsia"/>
        </w:rPr>
      </w:pPr>
    </w:p>
    <w:sectPr>
      <w:pgSz w:w="11906" w:h="16838"/>
      <w:pgMar w:top="850" w:right="850" w:bottom="85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F35EA1"/>
    <w:multiLevelType w:val="singleLevel"/>
    <w:tmpl w:val="18F35EA1"/>
    <w:lvl w:ilvl="0" w:tentative="0">
      <w:start w:val="1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0YTRhZWZiMTg1YWU3YjQ2ZjIxZWJlYjA3MDI5ZjAifQ=="/>
  </w:docVars>
  <w:rsids>
    <w:rsidRoot w:val="135D5531"/>
    <w:rsid w:val="001F192C"/>
    <w:rsid w:val="0023134F"/>
    <w:rsid w:val="002A1721"/>
    <w:rsid w:val="003B71E3"/>
    <w:rsid w:val="00401D9A"/>
    <w:rsid w:val="00AA0512"/>
    <w:rsid w:val="00AE0A92"/>
    <w:rsid w:val="00B422B4"/>
    <w:rsid w:val="04043713"/>
    <w:rsid w:val="06F537E7"/>
    <w:rsid w:val="078B5EF9"/>
    <w:rsid w:val="0C2030B4"/>
    <w:rsid w:val="0E99714E"/>
    <w:rsid w:val="135D5531"/>
    <w:rsid w:val="14E37374"/>
    <w:rsid w:val="17417CFA"/>
    <w:rsid w:val="182757CA"/>
    <w:rsid w:val="1AA11864"/>
    <w:rsid w:val="1F8E4DE5"/>
    <w:rsid w:val="212B00D9"/>
    <w:rsid w:val="21BC6F83"/>
    <w:rsid w:val="236C49D9"/>
    <w:rsid w:val="2A1A518F"/>
    <w:rsid w:val="2C0559CB"/>
    <w:rsid w:val="2F154177"/>
    <w:rsid w:val="2F283EAA"/>
    <w:rsid w:val="2FDE0A0C"/>
    <w:rsid w:val="33833DA5"/>
    <w:rsid w:val="34715F1D"/>
    <w:rsid w:val="387719FE"/>
    <w:rsid w:val="3D6D6A1D"/>
    <w:rsid w:val="4B550AA9"/>
    <w:rsid w:val="514836E7"/>
    <w:rsid w:val="537D11A8"/>
    <w:rsid w:val="53990623"/>
    <w:rsid w:val="5AF49BF2"/>
    <w:rsid w:val="5FD6198B"/>
    <w:rsid w:val="5FEF7F48"/>
    <w:rsid w:val="63D538F9"/>
    <w:rsid w:val="67A535E2"/>
    <w:rsid w:val="68753EF9"/>
    <w:rsid w:val="68921DB9"/>
    <w:rsid w:val="6AC81AA4"/>
    <w:rsid w:val="6F315D76"/>
    <w:rsid w:val="71C01745"/>
    <w:rsid w:val="723C38D4"/>
    <w:rsid w:val="75450497"/>
    <w:rsid w:val="7DA55C93"/>
    <w:rsid w:val="F7FFB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99" w:semiHidden="0" w:name="heading 1"/>
    <w:lsdException w:qFormat="1"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unhideWhenUsed/>
    <w:qFormat/>
    <w:uiPriority w:val="99"/>
    <w:pPr>
      <w:widowControl w:val="0"/>
      <w:autoSpaceDE w:val="0"/>
      <w:autoSpaceDN w:val="0"/>
      <w:adjustRightInd w:val="0"/>
      <w:spacing w:beforeLines="0" w:afterLines="0"/>
    </w:pPr>
    <w:rPr>
      <w:rFonts w:hint="eastAsia" w:ascii="黑体" w:hAnsi="Times New Roman" w:eastAsia="黑体" w:cs="Times New Roman"/>
      <w:color w:val="000000"/>
      <w:sz w:val="71"/>
      <w:szCs w:val="24"/>
      <w:lang w:val="zh-CN"/>
    </w:rPr>
  </w:style>
  <w:style w:type="paragraph" w:styleId="3">
    <w:name w:val="heading 2"/>
    <w:unhideWhenUsed/>
    <w:qFormat/>
    <w:uiPriority w:val="99"/>
    <w:pPr>
      <w:widowControl w:val="0"/>
      <w:autoSpaceDE w:val="0"/>
      <w:autoSpaceDN w:val="0"/>
      <w:adjustRightInd w:val="0"/>
      <w:spacing w:beforeLines="0" w:afterLines="0"/>
    </w:pPr>
    <w:rPr>
      <w:rFonts w:hint="eastAsia" w:ascii="黑体" w:hAnsi="Times New Roman" w:eastAsia="黑体" w:cs="Times New Roman"/>
      <w:color w:val="000000"/>
      <w:sz w:val="79"/>
      <w:szCs w:val="24"/>
      <w:lang w:val="zh-CN"/>
    </w:rPr>
  </w:style>
  <w:style w:type="character" w:default="1" w:styleId="8">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Normal (Web)"/>
    <w:basedOn w:val="1"/>
    <w:qFormat/>
    <w:uiPriority w:val="0"/>
    <w:pPr>
      <w:spacing w:before="100" w:beforeAutospacing="1" w:after="100" w:afterAutospacing="1"/>
      <w:jc w:val="left"/>
    </w:pPr>
    <w:rPr>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microsoft.com/office/2007/relationships/hdphoto" Target="media/image5.wdp"/><Relationship Id="rId7" Type="http://schemas.openxmlformats.org/officeDocument/2006/relationships/image" Target="media/image4.png"/><Relationship Id="rId6" Type="http://schemas.openxmlformats.org/officeDocument/2006/relationships/image" Target="media/image3.png"/><Relationship Id="rId5" Type="http://schemas.microsoft.com/office/2007/relationships/hdphoto" Target="media/image2.wdp"/><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54</Pages>
  <Words>2390</Words>
  <Characters>2415</Characters>
  <Lines>24</Lines>
  <Paragraphs>6</Paragraphs>
  <TotalTime>4</TotalTime>
  <ScaleCrop>false</ScaleCrop>
  <LinksUpToDate>false</LinksUpToDate>
  <CharactersWithSpaces>2434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2025-04-12T14:53:00Z</dcterms:created>
  <dc:creator>Administrator</dc:creator>
  <cp:lastModifiedBy>万rui</cp:lastModifiedBy>
  <dcterms:modified xsi:type="dcterms:W3CDTF">2025-07-03T12:11:08Z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2D36A11BE6C0405FA43A6AA7D427FFFD</vt:lpwstr>
  </property>
  <property fmtid="{D5CDD505-2E9C-101B-9397-08002B2CF9AE}" pid="4" name="KSOTemplateDocerSaveRecord">
    <vt:lpwstr>eyJoZGlkIjoiYmY3Nzk1Y2M0ODExZWFhOWNjNDNlNmVmNDVhMWVjZDYiLCJ1c2VySWQiOiIyMzc3NTM5ODgifQ==</vt:lpwstr>
  </property>
</Properties>
</file>