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3C4134">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中级会计职称</w:t>
      </w:r>
    </w:p>
    <w:p w14:paraId="0B55A406">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财务管理</w:t>
      </w:r>
    </w:p>
    <w:p w14:paraId="669B931B">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jc w:val="center"/>
        <w:textAlignment w:val="auto"/>
        <w:rPr>
          <w:rFonts w:hint="eastAsia" w:ascii="宋体" w:hAnsi="宋体" w:eastAsia="宋体" w:cs="宋体"/>
          <w:b/>
          <w:bCs/>
          <w:color w:val="FF0000"/>
          <w:sz w:val="32"/>
          <w:szCs w:val="32"/>
        </w:rPr>
      </w:pPr>
      <w:r>
        <w:rPr>
          <w:rFonts w:hint="eastAsia" w:ascii="宋体" w:hAnsi="宋体" w:eastAsia="宋体" w:cs="宋体"/>
          <w:b/>
          <w:bCs/>
          <w:color w:val="FF0000"/>
          <w:sz w:val="32"/>
          <w:szCs w:val="32"/>
        </w:rPr>
        <w:t>习题带练</w:t>
      </w:r>
    </w:p>
    <w:p w14:paraId="689688B7">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sz w:val="21"/>
          <w:szCs w:val="21"/>
        </w:rPr>
      </w:pPr>
    </w:p>
    <w:p w14:paraId="241AA266">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第一章  总论</w:t>
      </w:r>
    </w:p>
    <w:p w14:paraId="425F678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7EEF9CA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本章属于全教材开篇之章，内容简单，分值较少，考分在</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分左右，考点如下：</w:t>
      </w:r>
    </w:p>
    <w:p w14:paraId="78B02F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（一）公司制优缺点</w:t>
      </w:r>
    </w:p>
    <w:p w14:paraId="6EF4CA7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（二）财务管理目标理论</w:t>
      </w:r>
    </w:p>
    <w:p w14:paraId="05164B7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（三）财务管理目标与利益冲突</w:t>
      </w:r>
    </w:p>
    <w:p w14:paraId="62034E3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（四）财务管理体制一般模式</w:t>
      </w:r>
    </w:p>
    <w:p w14:paraId="3030D19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（五）影响企业财务管理体制集权与分权的选择的因素</w:t>
      </w:r>
    </w:p>
    <w:p w14:paraId="7F66A53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（六）集权与分权相结合型财务管理体制的实践</w:t>
      </w:r>
    </w:p>
    <w:p w14:paraId="7E88E8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（七）财务管理环境</w:t>
      </w:r>
    </w:p>
    <w:p w14:paraId="2D9B8BE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54B3D49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1】</w:t>
      </w:r>
      <w:r>
        <w:rPr>
          <w:rFonts w:hint="eastAsia" w:ascii="宋体" w:hAnsi="宋体" w:eastAsia="宋体" w:cs="宋体"/>
          <w:b w:val="0"/>
          <w:bCs w:val="0"/>
          <w:color w:val="FF0000"/>
          <w:sz w:val="21"/>
          <w:szCs w:val="21"/>
        </w:rPr>
        <w:t>公司制优缺点</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16"/>
        <w:gridCol w:w="9454"/>
      </w:tblGrid>
      <w:tr w14:paraId="6D8E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2" w:hRule="atLeast"/>
        </w:trPr>
        <w:tc>
          <w:tcPr>
            <w:tcW w:w="485" w:type="pct"/>
            <w:shd w:val="clear" w:color="auto" w:fill="auto"/>
            <w:tcMar>
              <w:top w:w="72" w:type="dxa"/>
              <w:left w:w="108" w:type="dxa"/>
              <w:bottom w:w="72" w:type="dxa"/>
              <w:right w:w="108" w:type="dxa"/>
            </w:tcMar>
            <w:vAlign w:val="top"/>
          </w:tcPr>
          <w:p w14:paraId="6CD310B2">
            <w:pPr>
              <w:pStyle w:val="11"/>
              <w:keepNext w:val="0"/>
              <w:keepLines w:val="0"/>
              <w:pageBreakBefore w:val="0"/>
              <w:widowControl/>
              <w:suppressLineNumbers w:val="0"/>
              <w:kinsoku w:val="0"/>
              <w:wordWrap/>
              <w:overflowPunct w:val="0"/>
              <w:topLinePunct w:val="0"/>
              <w:autoSpaceDE/>
              <w:autoSpaceDN/>
              <w:bidi w:val="0"/>
              <w:adjustRightInd/>
              <w:snapToGrid/>
              <w:spacing w:before="0" w:beforeLines="5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优点</w:t>
            </w:r>
          </w:p>
        </w:tc>
        <w:tc>
          <w:tcPr>
            <w:tcW w:w="4514" w:type="pct"/>
            <w:shd w:val="clear" w:color="auto" w:fill="auto"/>
            <w:tcMar>
              <w:top w:w="72" w:type="dxa"/>
              <w:left w:w="108" w:type="dxa"/>
              <w:bottom w:w="72" w:type="dxa"/>
              <w:right w:w="108" w:type="dxa"/>
            </w:tcMar>
            <w:vAlign w:val="top"/>
          </w:tcPr>
          <w:p w14:paraId="41F4FBE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容易转让所有权；出资者按出资额对公司承担有限债务责任；可以无限存续；融资渠道多，更容易在资本市场上筹集到资金。</w:t>
            </w:r>
          </w:p>
        </w:tc>
      </w:tr>
      <w:tr w14:paraId="173F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485" w:type="pct"/>
            <w:shd w:val="clear" w:color="auto" w:fill="auto"/>
            <w:tcMar>
              <w:top w:w="72" w:type="dxa"/>
              <w:left w:w="108" w:type="dxa"/>
              <w:bottom w:w="72" w:type="dxa"/>
              <w:right w:w="108" w:type="dxa"/>
            </w:tcMar>
            <w:vAlign w:val="top"/>
          </w:tcPr>
          <w:p w14:paraId="14B2FDE6">
            <w:pPr>
              <w:pStyle w:val="11"/>
              <w:keepNext w:val="0"/>
              <w:keepLines w:val="0"/>
              <w:pageBreakBefore w:val="0"/>
              <w:widowControl/>
              <w:suppressLineNumbers w:val="0"/>
              <w:kinsoku w:val="0"/>
              <w:wordWrap/>
              <w:overflowPunct w:val="0"/>
              <w:topLinePunct w:val="0"/>
              <w:autoSpaceDE/>
              <w:autoSpaceDN/>
              <w:bidi w:val="0"/>
              <w:adjustRightInd/>
              <w:snapToGrid/>
              <w:spacing w:before="0" w:beforeLines="5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缺点</w:t>
            </w:r>
          </w:p>
        </w:tc>
        <w:tc>
          <w:tcPr>
            <w:tcW w:w="4514" w:type="pct"/>
            <w:shd w:val="clear" w:color="auto" w:fill="auto"/>
            <w:tcMar>
              <w:top w:w="72" w:type="dxa"/>
              <w:left w:w="108" w:type="dxa"/>
              <w:bottom w:w="72" w:type="dxa"/>
              <w:right w:w="108" w:type="dxa"/>
            </w:tcMar>
            <w:vAlign w:val="top"/>
          </w:tcPr>
          <w:p w14:paraId="7D1BE52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组建公司的成本高；存在代理问题；所有者和经营者分开之后，所有者成为委托人，经营者成为代理人，代理人可能为了自身利益而伤害委托人利益；双重课税。</w:t>
            </w:r>
          </w:p>
        </w:tc>
      </w:tr>
    </w:tbl>
    <w:p w14:paraId="1272F55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6ECB719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下列有关有限合伙企业与公司制企业共同点的说法中，正确的是（  ）。</w:t>
      </w:r>
    </w:p>
    <w:p w14:paraId="6680B9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都是独立法人</w:t>
      </w:r>
      <w:r>
        <w:rPr>
          <w:rFonts w:hint="eastAsia" w:ascii="宋体" w:hAnsi="宋体" w:eastAsia="宋体" w:cs="宋体"/>
          <w:b w:val="0"/>
          <w:bCs w:val="0"/>
          <w:color w:val="000000" w:themeColor="text1"/>
          <w:sz w:val="21"/>
          <w:szCs w:val="21"/>
        </w:rPr>
        <w:tab/>
      </w:r>
    </w:p>
    <w:p w14:paraId="0A56E58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都需要缴纳企业所得税</w:t>
      </w:r>
    </w:p>
    <w:p w14:paraId="3337376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都需要两个或两个以上出资人</w:t>
      </w:r>
      <w:r>
        <w:rPr>
          <w:rFonts w:hint="eastAsia" w:ascii="宋体" w:hAnsi="宋体" w:eastAsia="宋体" w:cs="宋体"/>
          <w:b w:val="0"/>
          <w:bCs w:val="0"/>
          <w:color w:val="000000" w:themeColor="text1"/>
          <w:sz w:val="21"/>
          <w:szCs w:val="21"/>
        </w:rPr>
        <w:tab/>
      </w:r>
    </w:p>
    <w:p w14:paraId="7770138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都可以有法人作为企业的出资人</w:t>
      </w:r>
    </w:p>
    <w:p w14:paraId="664304A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D</w:t>
      </w:r>
    </w:p>
    <w:p w14:paraId="5C5D922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合伙企业不具有法人资格，而公司制企业是政府注册的营利性法人组织，在法律上独立于所有者和经营者。所以选项</w:t>
      </w: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错误。合伙企业并非企业所得税纳税人。合伙企业生产经营所得和其他所得采取“先分后税”的原则，合伙企业合伙人是自然人的，缴纳个人所得税；合伙人是法人和其他组织的，缴纳企业所得税。公司制企业需要缴纳企业所得税。所以选项</w:t>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错误。</w:t>
      </w:r>
    </w:p>
    <w:p w14:paraId="3B716AC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合伙企业的合伙人是两个或两个以上的自然人、法人或其他组织；公司制企业分为有限责任公司和股份有限公司，有限责任公司设立时股东不得超过</w:t>
      </w:r>
      <w:r>
        <w:rPr>
          <w:rFonts w:hint="eastAsia" w:ascii="宋体" w:hAnsi="宋体" w:eastAsia="宋体" w:cs="宋体"/>
          <w:b w:val="0"/>
          <w:bCs w:val="0"/>
          <w:color w:val="000000" w:themeColor="text1"/>
          <w:sz w:val="21"/>
          <w:szCs w:val="21"/>
          <w:lang w:val="en-US" w:eastAsia="zh-CN"/>
        </w:rPr>
        <w:t>50</w:t>
      </w:r>
      <w:r>
        <w:rPr>
          <w:rFonts w:hint="eastAsia" w:ascii="宋体" w:hAnsi="宋体" w:eastAsia="宋体" w:cs="宋体"/>
          <w:b w:val="0"/>
          <w:bCs w:val="0"/>
          <w:color w:val="000000" w:themeColor="text1"/>
          <w:sz w:val="21"/>
          <w:szCs w:val="21"/>
        </w:rPr>
        <w:t>人（可以是</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人），股份有限公司应当有</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人以上</w:t>
      </w:r>
      <w:r>
        <w:rPr>
          <w:rFonts w:hint="eastAsia" w:ascii="宋体" w:hAnsi="宋体" w:eastAsia="宋体" w:cs="宋体"/>
          <w:b w:val="0"/>
          <w:bCs w:val="0"/>
          <w:color w:val="000000" w:themeColor="text1"/>
          <w:sz w:val="21"/>
          <w:szCs w:val="21"/>
          <w:lang w:val="en-US" w:eastAsia="zh-CN"/>
        </w:rPr>
        <w:t>200</w:t>
      </w:r>
      <w:r>
        <w:rPr>
          <w:rFonts w:hint="eastAsia" w:ascii="宋体" w:hAnsi="宋体" w:eastAsia="宋体" w:cs="宋体"/>
          <w:b w:val="0"/>
          <w:bCs w:val="0"/>
          <w:color w:val="000000" w:themeColor="text1"/>
          <w:sz w:val="21"/>
          <w:szCs w:val="21"/>
        </w:rPr>
        <w:t>人以下为发起人。所以选项</w:t>
      </w: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错误。合伙企业的合伙人可以是法人组织，公司制企业是政府注册的营利性法人组织，在法律上独立于所有者和经营者，其投资者可以是自然人，也可以是法人组织。故选</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项。</w:t>
      </w:r>
    </w:p>
    <w:p w14:paraId="6A31928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1E98BE0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某上市公司职业经理人在任职期间不断提高在职消费，损害股东利益。这一现象所揭示的公司制企业的缺点主要是（  ）</w:t>
      </w:r>
    </w:p>
    <w:p w14:paraId="631D665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产权问题             </w:t>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 xml:space="preserve">激励问题           </w:t>
      </w:r>
    </w:p>
    <w:p w14:paraId="3562571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代理问题             </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责权分配问题</w:t>
      </w:r>
    </w:p>
    <w:p w14:paraId="117B7CB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C</w:t>
      </w:r>
    </w:p>
    <w:p w14:paraId="3559BAD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公司制企业的主要缺点有：（</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）组建公司的成本高；（</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）存在代理问题；所有者和经营者分开之后，所有者成为委托人，经营者成为代理人，代理人可能为了自身利益而伤害委托人利益。（</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）双重课税。上市公司职业经理人在任职期间不断提高在职消费，损害股东利益，主要是因为存在代理问题。所以选</w:t>
      </w: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w:t>
      </w:r>
    </w:p>
    <w:p w14:paraId="5F96BBF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42C5057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2】</w:t>
      </w:r>
      <w:r>
        <w:rPr>
          <w:rFonts w:hint="eastAsia" w:ascii="宋体" w:hAnsi="宋体" w:eastAsia="宋体" w:cs="宋体"/>
          <w:b w:val="0"/>
          <w:bCs w:val="0"/>
          <w:color w:val="FF0000"/>
          <w:sz w:val="21"/>
          <w:szCs w:val="21"/>
        </w:rPr>
        <w:t>四种财务管理目标理论对比</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93"/>
        <w:gridCol w:w="1334"/>
        <w:gridCol w:w="1711"/>
        <w:gridCol w:w="1722"/>
        <w:gridCol w:w="4608"/>
      </w:tblGrid>
      <w:tr w14:paraId="6F25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522" w:type="pct"/>
            <w:shd w:val="clear" w:color="auto" w:fill="auto"/>
            <w:tcMar>
              <w:top w:w="72" w:type="dxa"/>
              <w:left w:w="108" w:type="dxa"/>
              <w:bottom w:w="72" w:type="dxa"/>
              <w:right w:w="108" w:type="dxa"/>
            </w:tcMar>
            <w:vAlign w:val="top"/>
          </w:tcPr>
          <w:p w14:paraId="56B56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637" w:type="pct"/>
            <w:shd w:val="clear" w:color="auto" w:fill="auto"/>
            <w:tcMar>
              <w:top w:w="72" w:type="dxa"/>
              <w:left w:w="108" w:type="dxa"/>
              <w:bottom w:w="72" w:type="dxa"/>
              <w:right w:w="108" w:type="dxa"/>
            </w:tcMar>
            <w:vAlign w:val="top"/>
          </w:tcPr>
          <w:p w14:paraId="504BEC7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利润最大化</w:t>
            </w:r>
          </w:p>
        </w:tc>
        <w:tc>
          <w:tcPr>
            <w:tcW w:w="817" w:type="pct"/>
            <w:shd w:val="clear" w:color="auto" w:fill="auto"/>
            <w:tcMar>
              <w:top w:w="72" w:type="dxa"/>
              <w:left w:w="108" w:type="dxa"/>
              <w:bottom w:w="72" w:type="dxa"/>
              <w:right w:w="108" w:type="dxa"/>
            </w:tcMar>
            <w:vAlign w:val="top"/>
          </w:tcPr>
          <w:p w14:paraId="7FEAE49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股东财富最大化</w:t>
            </w:r>
          </w:p>
        </w:tc>
        <w:tc>
          <w:tcPr>
            <w:tcW w:w="822" w:type="pct"/>
            <w:shd w:val="clear" w:color="auto" w:fill="auto"/>
            <w:tcMar>
              <w:top w:w="72" w:type="dxa"/>
              <w:left w:w="108" w:type="dxa"/>
              <w:bottom w:w="72" w:type="dxa"/>
              <w:right w:w="108" w:type="dxa"/>
            </w:tcMar>
            <w:vAlign w:val="top"/>
          </w:tcPr>
          <w:p w14:paraId="5FC26A3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企业价值最大化</w:t>
            </w:r>
          </w:p>
        </w:tc>
        <w:tc>
          <w:tcPr>
            <w:tcW w:w="2200" w:type="pct"/>
            <w:shd w:val="clear" w:color="auto" w:fill="auto"/>
            <w:tcMar>
              <w:top w:w="72" w:type="dxa"/>
              <w:left w:w="108" w:type="dxa"/>
              <w:bottom w:w="72" w:type="dxa"/>
              <w:right w:w="108" w:type="dxa"/>
            </w:tcMar>
            <w:vAlign w:val="top"/>
          </w:tcPr>
          <w:p w14:paraId="0B6DCDFF">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相关者利益最大化</w:t>
            </w:r>
          </w:p>
        </w:tc>
      </w:tr>
      <w:tr w14:paraId="24F7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2" w:type="pct"/>
            <w:shd w:val="clear" w:color="auto" w:fill="auto"/>
            <w:tcMar>
              <w:top w:w="72" w:type="dxa"/>
              <w:left w:w="108" w:type="dxa"/>
              <w:bottom w:w="72" w:type="dxa"/>
              <w:right w:w="108" w:type="dxa"/>
            </w:tcMar>
            <w:vAlign w:val="top"/>
          </w:tcPr>
          <w:p w14:paraId="78BBA13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资本投入</w:t>
            </w:r>
          </w:p>
        </w:tc>
        <w:tc>
          <w:tcPr>
            <w:tcW w:w="637" w:type="pct"/>
            <w:shd w:val="clear" w:color="auto" w:fill="auto"/>
            <w:tcMar>
              <w:top w:w="72" w:type="dxa"/>
              <w:left w:w="108" w:type="dxa"/>
              <w:bottom w:w="72" w:type="dxa"/>
              <w:right w:w="108" w:type="dxa"/>
            </w:tcMar>
            <w:vAlign w:val="top"/>
          </w:tcPr>
          <w:p w14:paraId="4B074EC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没有考虑</w:t>
            </w:r>
          </w:p>
        </w:tc>
        <w:tc>
          <w:tcPr>
            <w:tcW w:w="817" w:type="pct"/>
            <w:shd w:val="clear" w:color="auto" w:fill="auto"/>
            <w:tcMar>
              <w:top w:w="72" w:type="dxa"/>
              <w:left w:w="108" w:type="dxa"/>
              <w:bottom w:w="72" w:type="dxa"/>
              <w:right w:w="108" w:type="dxa"/>
            </w:tcMar>
            <w:vAlign w:val="top"/>
          </w:tcPr>
          <w:p w14:paraId="46C8328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c>
          <w:tcPr>
            <w:tcW w:w="822" w:type="pct"/>
            <w:shd w:val="clear" w:color="auto" w:fill="auto"/>
            <w:tcMar>
              <w:top w:w="72" w:type="dxa"/>
              <w:left w:w="108" w:type="dxa"/>
              <w:bottom w:w="72" w:type="dxa"/>
              <w:right w:w="108" w:type="dxa"/>
            </w:tcMar>
            <w:vAlign w:val="top"/>
          </w:tcPr>
          <w:p w14:paraId="4197CBE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c>
          <w:tcPr>
            <w:tcW w:w="2200" w:type="pct"/>
            <w:shd w:val="clear" w:color="auto" w:fill="auto"/>
            <w:tcMar>
              <w:top w:w="72" w:type="dxa"/>
              <w:left w:w="108" w:type="dxa"/>
              <w:bottom w:w="72" w:type="dxa"/>
              <w:right w:w="108" w:type="dxa"/>
            </w:tcMar>
            <w:vAlign w:val="top"/>
          </w:tcPr>
          <w:p w14:paraId="123AA12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w:t>
            </w:r>
          </w:p>
        </w:tc>
      </w:tr>
      <w:tr w14:paraId="4D83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2" w:type="pct"/>
            <w:shd w:val="clear" w:color="auto" w:fill="auto"/>
            <w:tcMar>
              <w:top w:w="72" w:type="dxa"/>
              <w:left w:w="108" w:type="dxa"/>
              <w:bottom w:w="72" w:type="dxa"/>
              <w:right w:w="108" w:type="dxa"/>
            </w:tcMar>
            <w:vAlign w:val="top"/>
          </w:tcPr>
          <w:p w14:paraId="7E3D92D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时间价值</w:t>
            </w:r>
          </w:p>
        </w:tc>
        <w:tc>
          <w:tcPr>
            <w:tcW w:w="637" w:type="pct"/>
            <w:shd w:val="clear" w:color="auto" w:fill="auto"/>
            <w:tcMar>
              <w:top w:w="72" w:type="dxa"/>
              <w:left w:w="108" w:type="dxa"/>
              <w:bottom w:w="72" w:type="dxa"/>
              <w:right w:w="108" w:type="dxa"/>
            </w:tcMar>
            <w:vAlign w:val="top"/>
          </w:tcPr>
          <w:p w14:paraId="54019D9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没有考虑</w:t>
            </w:r>
          </w:p>
        </w:tc>
        <w:tc>
          <w:tcPr>
            <w:tcW w:w="817" w:type="pct"/>
            <w:shd w:val="clear" w:color="auto" w:fill="auto"/>
            <w:tcMar>
              <w:top w:w="72" w:type="dxa"/>
              <w:left w:w="108" w:type="dxa"/>
              <w:bottom w:w="72" w:type="dxa"/>
              <w:right w:w="108" w:type="dxa"/>
            </w:tcMar>
            <w:vAlign w:val="top"/>
          </w:tcPr>
          <w:p w14:paraId="3BC12D1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c>
          <w:tcPr>
            <w:tcW w:w="822" w:type="pct"/>
            <w:shd w:val="clear" w:color="auto" w:fill="auto"/>
            <w:tcMar>
              <w:top w:w="72" w:type="dxa"/>
              <w:left w:w="108" w:type="dxa"/>
              <w:bottom w:w="72" w:type="dxa"/>
              <w:right w:w="108" w:type="dxa"/>
            </w:tcMar>
            <w:vAlign w:val="top"/>
          </w:tcPr>
          <w:p w14:paraId="2B3FB3B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c>
          <w:tcPr>
            <w:tcW w:w="2200" w:type="pct"/>
            <w:shd w:val="clear" w:color="auto" w:fill="auto"/>
            <w:tcMar>
              <w:top w:w="72" w:type="dxa"/>
              <w:left w:w="108" w:type="dxa"/>
              <w:bottom w:w="72" w:type="dxa"/>
              <w:right w:w="108" w:type="dxa"/>
            </w:tcMar>
            <w:vAlign w:val="top"/>
          </w:tcPr>
          <w:p w14:paraId="7EC61DA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r>
      <w:tr w14:paraId="35F6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2" w:type="pct"/>
            <w:shd w:val="clear" w:color="auto" w:fill="auto"/>
            <w:tcMar>
              <w:top w:w="72" w:type="dxa"/>
              <w:left w:w="108" w:type="dxa"/>
              <w:bottom w:w="72" w:type="dxa"/>
              <w:right w:w="108" w:type="dxa"/>
            </w:tcMar>
            <w:vAlign w:val="top"/>
          </w:tcPr>
          <w:p w14:paraId="4F39CD4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风险因素</w:t>
            </w:r>
          </w:p>
        </w:tc>
        <w:tc>
          <w:tcPr>
            <w:tcW w:w="637" w:type="pct"/>
            <w:shd w:val="clear" w:color="auto" w:fill="auto"/>
            <w:tcMar>
              <w:top w:w="72" w:type="dxa"/>
              <w:left w:w="108" w:type="dxa"/>
              <w:bottom w:w="72" w:type="dxa"/>
              <w:right w:w="108" w:type="dxa"/>
            </w:tcMar>
            <w:vAlign w:val="top"/>
          </w:tcPr>
          <w:p w14:paraId="4DA005A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没有考虑</w:t>
            </w:r>
          </w:p>
        </w:tc>
        <w:tc>
          <w:tcPr>
            <w:tcW w:w="817" w:type="pct"/>
            <w:shd w:val="clear" w:color="auto" w:fill="auto"/>
            <w:tcMar>
              <w:top w:w="72" w:type="dxa"/>
              <w:left w:w="108" w:type="dxa"/>
              <w:bottom w:w="72" w:type="dxa"/>
              <w:right w:w="108" w:type="dxa"/>
            </w:tcMar>
            <w:vAlign w:val="top"/>
          </w:tcPr>
          <w:p w14:paraId="022CCF8B">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c>
          <w:tcPr>
            <w:tcW w:w="822" w:type="pct"/>
            <w:shd w:val="clear" w:color="auto" w:fill="auto"/>
            <w:tcMar>
              <w:top w:w="72" w:type="dxa"/>
              <w:left w:w="108" w:type="dxa"/>
              <w:bottom w:w="72" w:type="dxa"/>
              <w:right w:w="108" w:type="dxa"/>
            </w:tcMar>
            <w:vAlign w:val="top"/>
          </w:tcPr>
          <w:p w14:paraId="64BC75CF">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c>
          <w:tcPr>
            <w:tcW w:w="2200" w:type="pct"/>
            <w:shd w:val="clear" w:color="auto" w:fill="auto"/>
            <w:tcMar>
              <w:top w:w="72" w:type="dxa"/>
              <w:left w:w="108" w:type="dxa"/>
              <w:bottom w:w="72" w:type="dxa"/>
              <w:right w:w="108" w:type="dxa"/>
            </w:tcMar>
            <w:vAlign w:val="top"/>
          </w:tcPr>
          <w:p w14:paraId="19ED248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考虑</w:t>
            </w:r>
          </w:p>
        </w:tc>
      </w:tr>
      <w:tr w14:paraId="224D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22" w:type="pct"/>
            <w:shd w:val="clear" w:color="auto" w:fill="auto"/>
            <w:tcMar>
              <w:top w:w="72" w:type="dxa"/>
              <w:left w:w="108" w:type="dxa"/>
              <w:bottom w:w="72" w:type="dxa"/>
              <w:right w:w="108" w:type="dxa"/>
            </w:tcMar>
            <w:vAlign w:val="top"/>
          </w:tcPr>
          <w:p w14:paraId="34B8D4E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其他</w:t>
            </w:r>
          </w:p>
        </w:tc>
        <w:tc>
          <w:tcPr>
            <w:tcW w:w="637" w:type="pct"/>
            <w:shd w:val="clear" w:color="auto" w:fill="auto"/>
            <w:tcMar>
              <w:top w:w="72" w:type="dxa"/>
              <w:left w:w="108" w:type="dxa"/>
              <w:bottom w:w="72" w:type="dxa"/>
              <w:right w:w="108" w:type="dxa"/>
            </w:tcMar>
            <w:vAlign w:val="top"/>
          </w:tcPr>
          <w:p w14:paraId="4DBFB8E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w:t>
            </w:r>
          </w:p>
        </w:tc>
        <w:tc>
          <w:tcPr>
            <w:tcW w:w="817" w:type="pct"/>
            <w:shd w:val="clear" w:color="auto" w:fill="auto"/>
            <w:tcMar>
              <w:top w:w="72" w:type="dxa"/>
              <w:left w:w="108" w:type="dxa"/>
              <w:bottom w:w="72" w:type="dxa"/>
              <w:right w:w="108" w:type="dxa"/>
            </w:tcMar>
            <w:vAlign w:val="top"/>
          </w:tcPr>
          <w:p w14:paraId="090CA59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w:t>
            </w:r>
          </w:p>
        </w:tc>
        <w:tc>
          <w:tcPr>
            <w:tcW w:w="822" w:type="pct"/>
            <w:shd w:val="clear" w:color="auto" w:fill="auto"/>
            <w:tcMar>
              <w:top w:w="72" w:type="dxa"/>
              <w:left w:w="108" w:type="dxa"/>
              <w:bottom w:w="72" w:type="dxa"/>
              <w:right w:w="108" w:type="dxa"/>
            </w:tcMar>
            <w:vAlign w:val="top"/>
          </w:tcPr>
          <w:p w14:paraId="38A96B1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w:t>
            </w:r>
          </w:p>
        </w:tc>
        <w:tc>
          <w:tcPr>
            <w:tcW w:w="2200" w:type="pct"/>
            <w:shd w:val="clear" w:color="auto" w:fill="auto"/>
            <w:tcMar>
              <w:top w:w="72" w:type="dxa"/>
              <w:left w:w="108" w:type="dxa"/>
              <w:bottom w:w="72" w:type="dxa"/>
              <w:right w:w="108" w:type="dxa"/>
            </w:tcMar>
            <w:vAlign w:val="top"/>
          </w:tcPr>
          <w:p w14:paraId="170FCF14">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综合考虑不同利益相关者，但要强调股东的首要地位</w:t>
            </w:r>
          </w:p>
        </w:tc>
      </w:tr>
    </w:tbl>
    <w:p w14:paraId="5193DC3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5834CF5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下列能充分考虑资金时间价值和投资风险价值的理财目标是（  ）。</w:t>
      </w:r>
    </w:p>
    <w:p w14:paraId="634B20A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企业价值最大化</w:t>
      </w:r>
      <w:r>
        <w:rPr>
          <w:rFonts w:hint="eastAsia" w:ascii="宋体" w:hAnsi="宋体" w:eastAsia="宋体" w:cs="宋体"/>
          <w:b w:val="0"/>
          <w:bCs w:val="0"/>
          <w:color w:val="000000" w:themeColor="text1"/>
          <w:sz w:val="21"/>
          <w:szCs w:val="21"/>
        </w:rPr>
        <w:tab/>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每股利润最大化</w:t>
      </w:r>
    </w:p>
    <w:p w14:paraId="729E510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资金利润率最大化</w:t>
      </w:r>
      <w:r>
        <w:rPr>
          <w:rFonts w:hint="eastAsia" w:ascii="宋体" w:hAnsi="宋体" w:eastAsia="宋体" w:cs="宋体"/>
          <w:b w:val="0"/>
          <w:bCs w:val="0"/>
          <w:color w:val="000000" w:themeColor="text1"/>
          <w:sz w:val="21"/>
          <w:szCs w:val="21"/>
        </w:rPr>
        <w:tab/>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利润最大化</w:t>
      </w:r>
    </w:p>
    <w:p w14:paraId="3860661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A</w:t>
      </w:r>
    </w:p>
    <w:p w14:paraId="3A83372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项，从财务管理的角度看，企业价值是企业所能创造的预计未来现金流量的现值，其财务管理目标使企业价值达到最大，其充分考虑资金的时间价值以及风险与报酬的关系。</w:t>
      </w:r>
    </w:p>
    <w:p w14:paraId="25BB596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566FB65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多选题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下列各项企业财务管理目标中能够同时考虑避免企业追求短期行为和风险因素的财务管理目标有（  ）。</w:t>
      </w:r>
    </w:p>
    <w:p w14:paraId="05A5E90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利润最大化</w:t>
      </w:r>
      <w:r>
        <w:rPr>
          <w:rFonts w:hint="eastAsia" w:ascii="宋体" w:hAnsi="宋体" w:eastAsia="宋体" w:cs="宋体"/>
          <w:b w:val="0"/>
          <w:bCs w:val="0"/>
          <w:color w:val="000000" w:themeColor="text1"/>
          <w:sz w:val="21"/>
          <w:szCs w:val="21"/>
        </w:rPr>
        <w:tab/>
      </w:r>
    </w:p>
    <w:p w14:paraId="3F48C77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股东财富最大化</w:t>
      </w:r>
    </w:p>
    <w:p w14:paraId="3FB4C13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企业价值最大化</w:t>
      </w:r>
      <w:r>
        <w:rPr>
          <w:rFonts w:hint="eastAsia" w:ascii="宋体" w:hAnsi="宋体" w:eastAsia="宋体" w:cs="宋体"/>
          <w:b w:val="0"/>
          <w:bCs w:val="0"/>
          <w:color w:val="000000" w:themeColor="text1"/>
          <w:sz w:val="21"/>
          <w:szCs w:val="21"/>
        </w:rPr>
        <w:tab/>
      </w:r>
    </w:p>
    <w:p w14:paraId="5CD0F30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相关者利益最大化</w:t>
      </w:r>
    </w:p>
    <w:p w14:paraId="71EA851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BCD</w:t>
      </w:r>
    </w:p>
    <w:p w14:paraId="75A6433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只有利润最大化没有考虑避免企业追求短期行为和风险因素。</w:t>
      </w:r>
      <w:r>
        <w:rPr>
          <w:rFonts w:hint="eastAsia" w:ascii="宋体" w:hAnsi="宋体" w:eastAsia="宋体" w:cs="宋体"/>
          <w:b w:val="0"/>
          <w:bCs w:val="0"/>
          <w:color w:val="000000" w:themeColor="text1"/>
          <w:sz w:val="21"/>
          <w:szCs w:val="21"/>
          <w:lang w:val="en-US" w:eastAsia="zh-CN"/>
        </w:rPr>
        <w:t>BCD</w:t>
      </w:r>
      <w:r>
        <w:rPr>
          <w:rFonts w:hint="eastAsia" w:ascii="宋体" w:hAnsi="宋体" w:eastAsia="宋体" w:cs="宋体"/>
          <w:b w:val="0"/>
          <w:bCs w:val="0"/>
          <w:color w:val="000000" w:themeColor="text1"/>
          <w:sz w:val="21"/>
          <w:szCs w:val="21"/>
        </w:rPr>
        <w:t>项，都同时考虑了避免企业追求短期行为和风险因素的财务管理目标。故选</w:t>
      </w:r>
      <w:r>
        <w:rPr>
          <w:rFonts w:hint="eastAsia" w:ascii="宋体" w:hAnsi="宋体" w:eastAsia="宋体" w:cs="宋体"/>
          <w:b w:val="0"/>
          <w:bCs w:val="0"/>
          <w:color w:val="000000" w:themeColor="text1"/>
          <w:sz w:val="21"/>
          <w:szCs w:val="21"/>
          <w:lang w:val="en-US" w:eastAsia="zh-CN"/>
        </w:rPr>
        <w:t>BCD</w:t>
      </w:r>
      <w:r>
        <w:rPr>
          <w:rFonts w:hint="eastAsia" w:ascii="宋体" w:hAnsi="宋体" w:eastAsia="宋体" w:cs="宋体"/>
          <w:b w:val="0"/>
          <w:bCs w:val="0"/>
          <w:color w:val="000000" w:themeColor="text1"/>
          <w:sz w:val="21"/>
          <w:szCs w:val="21"/>
        </w:rPr>
        <w:t>项。</w:t>
      </w:r>
    </w:p>
    <w:p w14:paraId="528C7C0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3D81BCA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多选题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以“企业价值最大化”作为财务管理目标的优点有（  ）。</w:t>
      </w:r>
    </w:p>
    <w:p w14:paraId="7EBD8C1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考虑了资金的时间价值                </w:t>
      </w:r>
    </w:p>
    <w:p w14:paraId="3DF27FF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克服了企业在追求利润上的短期行为</w:t>
      </w:r>
    </w:p>
    <w:p w14:paraId="5241E3A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考虑了风险与报酬的关系              </w:t>
      </w:r>
    </w:p>
    <w:p w14:paraId="6C716A0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比较容易量化，便于企业考核与奖惩</w:t>
      </w:r>
    </w:p>
    <w:p w14:paraId="3B5F457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ABC</w:t>
      </w:r>
    </w:p>
    <w:p w14:paraId="52657B0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企业价值最大化的优点有：（</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）考虑了资金的时间价值；（</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）考虑了风险和报酬的关系；（</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）克服了企业在追求利润上的短期行为；（</w:t>
      </w:r>
      <w:r>
        <w:rPr>
          <w:rFonts w:hint="eastAsia" w:ascii="宋体" w:hAnsi="宋体" w:eastAsia="宋体" w:cs="宋体"/>
          <w:b w:val="0"/>
          <w:bCs w:val="0"/>
          <w:color w:val="000000" w:themeColor="text1"/>
          <w:sz w:val="21"/>
          <w:szCs w:val="21"/>
          <w:lang w:val="en-US" w:eastAsia="zh-CN"/>
        </w:rPr>
        <w:t>4</w:t>
      </w:r>
      <w:r>
        <w:rPr>
          <w:rFonts w:hint="eastAsia" w:ascii="宋体" w:hAnsi="宋体" w:eastAsia="宋体" w:cs="宋体"/>
          <w:b w:val="0"/>
          <w:bCs w:val="0"/>
          <w:color w:val="000000" w:themeColor="text1"/>
          <w:sz w:val="21"/>
          <w:szCs w:val="21"/>
        </w:rPr>
        <w:t>）用价值代替价格，有效的规避了企业的短期行为</w:t>
      </w:r>
    </w:p>
    <w:p w14:paraId="312D74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27C6B03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3】</w:t>
      </w:r>
      <w:r>
        <w:rPr>
          <w:rFonts w:hint="eastAsia" w:ascii="宋体" w:hAnsi="宋体" w:eastAsia="宋体" w:cs="宋体"/>
          <w:b w:val="0"/>
          <w:bCs w:val="0"/>
          <w:color w:val="FF0000"/>
          <w:sz w:val="21"/>
          <w:szCs w:val="21"/>
        </w:rPr>
        <w:t>财务管理目标与利益冲突</w:t>
      </w:r>
    </w:p>
    <w:p w14:paraId="658E96F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（一）委托代理问题与利益冲突</w:t>
      </w:r>
    </w:p>
    <w:p w14:paraId="57F0AE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股东与经营者冲突与协调</w:t>
      </w:r>
    </w:p>
    <w:p w14:paraId="07AD3AB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股东与债权人冲突与协调</w:t>
      </w:r>
    </w:p>
    <w:p w14:paraId="77DBD20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大股东与中小股东冲突与协调</w:t>
      </w:r>
    </w:p>
    <w:p w14:paraId="5308E7F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（二）企业的社会责任与利益冲突</w:t>
      </w:r>
    </w:p>
    <w:p w14:paraId="031004A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4DC58E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协调所有者与经营者利益冲突的解决方式不包括（  ）。</w:t>
      </w:r>
    </w:p>
    <w:p w14:paraId="79D999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解聘     </w:t>
      </w:r>
      <w:r>
        <w:rPr>
          <w:rFonts w:hint="eastAsia" w:ascii="宋体" w:hAnsi="宋体" w:eastAsia="宋体" w:cs="宋体"/>
          <w:b w:val="0"/>
          <w:bCs w:val="0"/>
          <w:color w:val="000000" w:themeColor="text1"/>
          <w:sz w:val="21"/>
          <w:szCs w:val="21"/>
        </w:rPr>
        <w:tab/>
      </w:r>
      <w:r>
        <w:rPr>
          <w:rFonts w:hint="eastAsia" w:ascii="宋体" w:hAnsi="宋体" w:eastAsia="宋体" w:cs="宋体"/>
          <w:b w:val="0"/>
          <w:bCs w:val="0"/>
          <w:color w:val="000000" w:themeColor="text1"/>
          <w:sz w:val="21"/>
          <w:szCs w:val="21"/>
        </w:rPr>
        <w:t xml:space="preserve">                </w:t>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 xml:space="preserve">接收      </w:t>
      </w:r>
    </w:p>
    <w:p w14:paraId="4BACFBB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强化内部人控制</w:t>
      </w:r>
      <w:r>
        <w:rPr>
          <w:rFonts w:hint="eastAsia" w:ascii="宋体" w:hAnsi="宋体" w:eastAsia="宋体" w:cs="宋体"/>
          <w:b w:val="0"/>
          <w:bCs w:val="0"/>
          <w:color w:val="000000" w:themeColor="text1"/>
          <w:sz w:val="21"/>
          <w:szCs w:val="21"/>
        </w:rPr>
        <w:tab/>
      </w:r>
      <w:r>
        <w:rPr>
          <w:rFonts w:hint="eastAsia" w:ascii="宋体" w:hAnsi="宋体" w:cs="宋体"/>
          <w:b w:val="0"/>
          <w:bCs w:val="0"/>
          <w:color w:val="000000" w:themeColor="text1"/>
          <w:sz w:val="21"/>
          <w:szCs w:val="21"/>
          <w:lang w:val="en-US" w:eastAsia="zh-CN"/>
        </w:rPr>
        <w:t xml:space="preserve">         </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股票期权和绩效股</w:t>
      </w:r>
    </w:p>
    <w:p w14:paraId="757F825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C</w:t>
      </w:r>
    </w:p>
    <w:p w14:paraId="31B3F24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所有者与经营者的利益冲突解决方式包括解聘、接收和激励，不包括内部人控制。故选</w:t>
      </w: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项。</w:t>
      </w:r>
    </w:p>
    <w:p w14:paraId="472DCED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1FA10D3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多选题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下列各项中，能协调股东与债权人之间矛盾的方式有（  ）。</w:t>
      </w:r>
    </w:p>
    <w:p w14:paraId="79A36B5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市场对公司强行接收或吞并           </w:t>
      </w:r>
    </w:p>
    <w:p w14:paraId="197404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债权人通过合同实施限制性借款</w:t>
      </w:r>
    </w:p>
    <w:p w14:paraId="1C71EC8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债权人停止借款                     </w:t>
      </w:r>
    </w:p>
    <w:p w14:paraId="3DFC1CA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债权人收回借款</w:t>
      </w:r>
    </w:p>
    <w:p w14:paraId="2CED3E3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BCD</w:t>
      </w:r>
    </w:p>
    <w:p w14:paraId="754269D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协调所有者与债权人之间矛盾的方式有：限制性借债、收回借款或停止借款。所以选项</w:t>
      </w:r>
      <w:r>
        <w:rPr>
          <w:rFonts w:hint="eastAsia" w:ascii="宋体" w:hAnsi="宋体" w:eastAsia="宋体" w:cs="宋体"/>
          <w:b w:val="0"/>
          <w:bCs w:val="0"/>
          <w:color w:val="000000" w:themeColor="text1"/>
          <w:sz w:val="21"/>
          <w:szCs w:val="21"/>
          <w:lang w:val="en-US" w:eastAsia="zh-CN"/>
        </w:rPr>
        <w:t>BCD</w:t>
      </w:r>
      <w:r>
        <w:rPr>
          <w:rFonts w:hint="eastAsia" w:ascii="宋体" w:hAnsi="宋体" w:eastAsia="宋体" w:cs="宋体"/>
          <w:b w:val="0"/>
          <w:bCs w:val="0"/>
          <w:color w:val="000000" w:themeColor="text1"/>
          <w:sz w:val="21"/>
          <w:szCs w:val="21"/>
        </w:rPr>
        <w:t>都是正确的。</w:t>
      </w:r>
    </w:p>
    <w:p w14:paraId="7E49D9B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55797AE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4】</w:t>
      </w:r>
      <w:r>
        <w:rPr>
          <w:rFonts w:hint="eastAsia" w:ascii="宋体" w:hAnsi="宋体" w:eastAsia="宋体" w:cs="宋体"/>
          <w:b w:val="0"/>
          <w:bCs w:val="0"/>
          <w:color w:val="FF0000"/>
          <w:sz w:val="21"/>
          <w:szCs w:val="21"/>
        </w:rPr>
        <w:t>财务管理体制一般模式</w:t>
      </w:r>
    </w:p>
    <w:p w14:paraId="1CD736D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（一）集权型</w:t>
      </w:r>
    </w:p>
    <w:p w14:paraId="49A5CE8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（二）分权型</w:t>
      </w:r>
    </w:p>
    <w:p w14:paraId="1137697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（三）集权与分权结合型</w:t>
      </w:r>
    </w:p>
    <w:p w14:paraId="218CB98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08150BB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5】</w:t>
      </w:r>
      <w:r>
        <w:rPr>
          <w:rFonts w:hint="eastAsia" w:ascii="宋体" w:hAnsi="宋体" w:eastAsia="宋体" w:cs="宋体"/>
          <w:b w:val="0"/>
          <w:bCs w:val="0"/>
          <w:color w:val="FF0000"/>
          <w:sz w:val="21"/>
          <w:szCs w:val="21"/>
        </w:rPr>
        <w:t>影响企业财务管理体制集权与分权的选择的因素</w:t>
      </w:r>
    </w:p>
    <w:p w14:paraId="32CFC53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（一）企业生命周期</w:t>
      </w:r>
    </w:p>
    <w:p w14:paraId="05C5B87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（二）企业战略</w:t>
      </w:r>
    </w:p>
    <w:p w14:paraId="1C8D520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（三）企业所处市场环境</w:t>
      </w:r>
    </w:p>
    <w:p w14:paraId="0C94A23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（四）企业规模</w:t>
      </w:r>
    </w:p>
    <w:p w14:paraId="258120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（五）企业管理层素质</w:t>
      </w:r>
    </w:p>
    <w:p w14:paraId="3E70539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（六）信息网略系统</w:t>
      </w:r>
    </w:p>
    <w:p w14:paraId="6A78FD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3EE7709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集权与分权相结合型财务管理体制的实践</w:t>
      </w:r>
    </w:p>
    <w:p w14:paraId="1600B6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分权：分散经营自主权；分散人员管理权；分散业务定价权；分散费用开支审批权。</w:t>
      </w:r>
    </w:p>
    <w:p w14:paraId="75AA70D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3E87804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某企业集团经过多年的发展，已初步形成从原料供应、生产 制造到物流服务上下游密切关联的产业集群，当前集团总部管理层的素质较高，集团内部信息化管理的基础较好。据此判断，该集团最适宜的财务管理体制类型是（  ）。</w:t>
      </w:r>
    </w:p>
    <w:p w14:paraId="755E05A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集权型          </w:t>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 xml:space="preserve">分权型           </w:t>
      </w:r>
    </w:p>
    <w:p w14:paraId="14D6D3C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自主型          </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集权与分权相结合型</w:t>
      </w:r>
    </w:p>
    <w:p w14:paraId="25BCEB3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A</w:t>
      </w:r>
    </w:p>
    <w:p w14:paraId="1939158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集权型财务管理体制，有利于在整个企业内部优化配置资源，要求企业管理高层素质较高，有一个能及时、准确传递信息的网络的体系。所以选</w:t>
      </w:r>
      <w:r>
        <w:rPr>
          <w:rFonts w:hint="eastAsia" w:ascii="宋体" w:hAnsi="宋体" w:eastAsia="宋体" w:cs="宋体"/>
          <w:b w:val="0"/>
          <w:bCs w:val="0"/>
          <w:color w:val="000000" w:themeColor="text1"/>
          <w:sz w:val="21"/>
          <w:szCs w:val="21"/>
          <w:lang w:val="en-US" w:eastAsia="zh-CN"/>
        </w:rPr>
        <w:t>A</w:t>
      </w:r>
    </w:p>
    <w:p w14:paraId="6C37A2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3F5E029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多选题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企业财务管理体制中，集权制的优点包括（  ）。</w:t>
      </w:r>
    </w:p>
    <w:p w14:paraId="332351E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有利于企业内部优化配置资源            </w:t>
      </w:r>
    </w:p>
    <w:p w14:paraId="65202D2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有利于适应市场的弹性</w:t>
      </w:r>
    </w:p>
    <w:p w14:paraId="62942CC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有利于决策的统一化                    </w:t>
      </w:r>
    </w:p>
    <w:p w14:paraId="1B72D7C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有利于因地制宜搞好业务</w:t>
      </w:r>
    </w:p>
    <w:p w14:paraId="744400B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AC</w:t>
      </w:r>
    </w:p>
    <w:p w14:paraId="3533CF8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集权制因其决策程序相对复杂而会失去适应市场的弹性，因此，选项</w:t>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的说法不正确；因地制宜地搞好业务是分权制的优点，因此，选项</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错误，选项</w:t>
      </w: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是集权制的优点。</w:t>
      </w:r>
    </w:p>
    <w:p w14:paraId="0C4313A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271547C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考点</w:t>
      </w:r>
      <w:r>
        <w:rPr>
          <w:rFonts w:hint="eastAsia" w:ascii="宋体" w:hAnsi="宋体" w:eastAsia="宋体" w:cs="宋体"/>
          <w:b w:val="0"/>
          <w:bCs w:val="0"/>
          <w:color w:val="FF0000"/>
          <w:sz w:val="21"/>
          <w:szCs w:val="21"/>
          <w:lang w:val="en-US" w:eastAsia="zh-CN"/>
        </w:rPr>
        <w:t>7】</w:t>
      </w:r>
      <w:r>
        <w:rPr>
          <w:rFonts w:hint="eastAsia" w:ascii="宋体" w:hAnsi="宋体" w:eastAsia="宋体" w:cs="宋体"/>
          <w:b w:val="0"/>
          <w:bCs w:val="0"/>
          <w:color w:val="FF0000"/>
          <w:sz w:val="21"/>
          <w:szCs w:val="21"/>
        </w:rPr>
        <w:t>财务管理环境</w:t>
      </w:r>
    </w:p>
    <w:p w14:paraId="4AD2D54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rPr>
        <w:t>（一）经济环境</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应对通货膨胀措施</w:t>
      </w:r>
    </w:p>
    <w:p w14:paraId="0995B3A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期初（外部采取策略）</w:t>
      </w:r>
    </w:p>
    <w:p w14:paraId="141E380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）进行投资可避免风险，实现资本保值；</w:t>
      </w:r>
    </w:p>
    <w:p w14:paraId="212B3F3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）签订长期购货合同，减少物价上涨造成的损失；</w:t>
      </w:r>
    </w:p>
    <w:p w14:paraId="181C52E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）取得长期负债，保持资本成本的稳定</w:t>
      </w:r>
    </w:p>
    <w:p w14:paraId="670D084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持续期（内部采取策略）</w:t>
      </w:r>
    </w:p>
    <w:p w14:paraId="2C44DE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）采用比较严格的信用条件，减少企业债权；</w:t>
      </w:r>
    </w:p>
    <w:p w14:paraId="1370779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）调整财务政策，防止和减少企业资本流失等</w:t>
      </w:r>
    </w:p>
    <w:p w14:paraId="6974001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04F5802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下列应对通货膨胀的各项策略中，正确的是（  ）。</w:t>
      </w:r>
    </w:p>
    <w:p w14:paraId="6BF1EF2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采用严格的信用条件，减少企业债权</w:t>
      </w:r>
    </w:p>
    <w:p w14:paraId="40A9701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减少长期债务，稳定资本成本</w:t>
      </w:r>
    </w:p>
    <w:p w14:paraId="45E7B3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减少长期投资，降低投资风险</w:t>
      </w:r>
    </w:p>
    <w:p w14:paraId="7B57686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签订长期销货合同，降低物价上涨损失</w:t>
      </w:r>
    </w:p>
    <w:p w14:paraId="501136A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A</w:t>
      </w:r>
    </w:p>
    <w:p w14:paraId="42BEBEB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为了减轻通货膨胀对企业造成的不利影响，企业应当采取措施予以防范。在通货膨胀初期，货币面临着贬值的风险，这时企业进行投资可以避免风险，实现资本保值，</w:t>
      </w: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项错误；与客户应签订长期购货合同，以减少物价上涨造成的损失，</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项错误；取得长期负债，保持资本成本的稳定，</w:t>
      </w: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项错误；在通货膨胀持续时，应采取严格的信用条件，减少债权，</w:t>
      </w: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项正确。故选</w:t>
      </w: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项。</w:t>
      </w:r>
    </w:p>
    <w:p w14:paraId="49B6B7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606642A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rPr>
        <w:t>（二）金融环境</w:t>
      </w:r>
    </w:p>
    <w:p w14:paraId="703A888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rPr>
      </w:pPr>
      <w:r>
        <w:rPr>
          <w:rFonts w:hint="eastAsia" w:ascii="宋体" w:hAnsi="宋体" w:eastAsia="宋体" w:cs="宋体"/>
          <w:b w:val="0"/>
          <w:bCs w:val="0"/>
          <w:color w:val="FF0000"/>
          <w:sz w:val="21"/>
          <w:szCs w:val="21"/>
        </w:rPr>
        <w:t>重点内容：货币市场和资本市场</w:t>
      </w:r>
    </w:p>
    <w:p w14:paraId="10B0084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货币市场：主要包括同业拆借市场、票据市场、大额定期存单市场和短期债券市场的内容</w:t>
      </w:r>
    </w:p>
    <w:p w14:paraId="2F330A7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特点：</w:t>
      </w:r>
    </w:p>
    <w:p w14:paraId="4D71C63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）期限短。</w:t>
      </w:r>
    </w:p>
    <w:p w14:paraId="7762AF0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）交易目的是解决短期资金周转。</w:t>
      </w:r>
    </w:p>
    <w:p w14:paraId="5D2599C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）金融工具有较强的“货币性”，即流动性强、价格平稳、风险较小等特性</w:t>
      </w:r>
    </w:p>
    <w:p w14:paraId="436B8A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资本市场：也称长期金融市场：是指以期限在</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 xml:space="preserve">年以上的金融工具为媒介，进行长期资金交易活动的市场。主要包括股票市场、期货市场、债券市场和融资租赁市场 </w:t>
      </w:r>
    </w:p>
    <w:p w14:paraId="3E9F4BA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特点：</w:t>
      </w:r>
    </w:p>
    <w:p w14:paraId="04EAE1A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）融资期限长；</w:t>
      </w:r>
    </w:p>
    <w:p w14:paraId="339917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）融资目的是解决长期投资性资本的需要；</w:t>
      </w:r>
    </w:p>
    <w:p w14:paraId="2F0B0F1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）资本借贷量大；</w:t>
      </w:r>
    </w:p>
    <w:p w14:paraId="595369F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val="en-US" w:eastAsia="zh-CN"/>
        </w:rPr>
        <w:t>4</w:t>
      </w:r>
      <w:r>
        <w:rPr>
          <w:rFonts w:hint="eastAsia" w:ascii="宋体" w:hAnsi="宋体" w:eastAsia="宋体" w:cs="宋体"/>
          <w:b w:val="0"/>
          <w:bCs w:val="0"/>
          <w:color w:val="000000" w:themeColor="text1"/>
          <w:sz w:val="21"/>
          <w:szCs w:val="21"/>
        </w:rPr>
        <w:t>）收益较高但风险也较大</w:t>
      </w:r>
    </w:p>
    <w:p w14:paraId="33AE8DB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58EE807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资本市场的特点不包括（  ）。</w:t>
      </w:r>
    </w:p>
    <w:p w14:paraId="0B9DE28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融资期限长</w:t>
      </w:r>
      <w:r>
        <w:rPr>
          <w:rFonts w:hint="eastAsia" w:ascii="宋体" w:hAnsi="宋体" w:eastAsia="宋体" w:cs="宋体"/>
          <w:b w:val="0"/>
          <w:bCs w:val="0"/>
          <w:color w:val="000000" w:themeColor="text1"/>
          <w:sz w:val="21"/>
          <w:szCs w:val="21"/>
        </w:rPr>
        <w:tab/>
      </w:r>
    </w:p>
    <w:p w14:paraId="5569A2B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资本借贷量大</w:t>
      </w:r>
    </w:p>
    <w:p w14:paraId="70B2A43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流动性强、价格平稳、风险较小</w:t>
      </w:r>
      <w:r>
        <w:rPr>
          <w:rFonts w:hint="eastAsia" w:ascii="宋体" w:hAnsi="宋体" w:eastAsia="宋体" w:cs="宋体"/>
          <w:b w:val="0"/>
          <w:bCs w:val="0"/>
          <w:color w:val="000000" w:themeColor="text1"/>
          <w:sz w:val="21"/>
          <w:szCs w:val="21"/>
        </w:rPr>
        <w:tab/>
      </w:r>
    </w:p>
    <w:p w14:paraId="454C632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融资目的是解决长期投资性资本的需要</w:t>
      </w:r>
    </w:p>
    <w:p w14:paraId="12B52CD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C</w:t>
      </w:r>
    </w:p>
    <w:p w14:paraId="4BF6EA1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资本市场的特点：（</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）融资期限长：至少在</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年以上，也可以长达几十年，甚至无到期日。（</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）流动性相对较差：在资本市场上筹集到的资金多用于解决中长期融资需求，流动性和变现性相对较弱。（</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）风险大而收益较高：由于融资期限较长，发生重大变故的可能性也大，市场价格容易波动，投资者需承受较大风险。同时，作为对风险的报酬，其收益也较高。（</w:t>
      </w:r>
      <w:r>
        <w:rPr>
          <w:rFonts w:hint="eastAsia" w:ascii="宋体" w:hAnsi="宋体" w:eastAsia="宋体" w:cs="宋体"/>
          <w:b w:val="0"/>
          <w:bCs w:val="0"/>
          <w:color w:val="000000" w:themeColor="text1"/>
          <w:sz w:val="21"/>
          <w:szCs w:val="21"/>
          <w:lang w:val="en-US" w:eastAsia="zh-CN"/>
        </w:rPr>
        <w:t>4</w:t>
      </w:r>
      <w:r>
        <w:rPr>
          <w:rFonts w:hint="eastAsia" w:ascii="宋体" w:hAnsi="宋体" w:eastAsia="宋体" w:cs="宋体"/>
          <w:b w:val="0"/>
          <w:bCs w:val="0"/>
          <w:color w:val="000000" w:themeColor="text1"/>
          <w:sz w:val="21"/>
          <w:szCs w:val="21"/>
        </w:rPr>
        <w:t>）资金借贷量大。（</w:t>
      </w:r>
      <w:r>
        <w:rPr>
          <w:rFonts w:hint="eastAsia" w:ascii="宋体" w:hAnsi="宋体" w:eastAsia="宋体" w:cs="宋体"/>
          <w:b w:val="0"/>
          <w:bCs w:val="0"/>
          <w:color w:val="000000" w:themeColor="text1"/>
          <w:sz w:val="21"/>
          <w:szCs w:val="21"/>
          <w:lang w:val="en-US" w:eastAsia="zh-CN"/>
        </w:rPr>
        <w:t>5</w:t>
      </w:r>
      <w:r>
        <w:rPr>
          <w:rFonts w:hint="eastAsia" w:ascii="宋体" w:hAnsi="宋体" w:eastAsia="宋体" w:cs="宋体"/>
          <w:b w:val="0"/>
          <w:bCs w:val="0"/>
          <w:color w:val="000000" w:themeColor="text1"/>
          <w:sz w:val="21"/>
          <w:szCs w:val="21"/>
        </w:rPr>
        <w:t>）价格变动幅度大。故选</w:t>
      </w: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项。</w:t>
      </w:r>
    </w:p>
    <w:p w14:paraId="5D8E062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001550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单选题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下列各项中，属于资本市场工具的是（  ）。</w:t>
      </w:r>
    </w:p>
    <w:p w14:paraId="5D786B2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商业票据 </w:t>
      </w:r>
      <w:r>
        <w:rPr>
          <w:rFonts w:hint="eastAsia" w:ascii="宋体" w:hAnsi="宋体" w:eastAsia="宋体" w:cs="宋体"/>
          <w:b w:val="0"/>
          <w:bCs w:val="0"/>
          <w:color w:val="000000" w:themeColor="text1"/>
          <w:sz w:val="21"/>
          <w:szCs w:val="21"/>
        </w:rPr>
        <w:tab/>
      </w:r>
    </w:p>
    <w:p w14:paraId="2E18706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短期国债</w:t>
      </w:r>
    </w:p>
    <w:p w14:paraId="23F89FD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大额可转让定期存单 </w:t>
      </w:r>
      <w:r>
        <w:rPr>
          <w:rFonts w:hint="eastAsia" w:ascii="宋体" w:hAnsi="宋体" w:eastAsia="宋体" w:cs="宋体"/>
          <w:b w:val="0"/>
          <w:bCs w:val="0"/>
          <w:color w:val="000000" w:themeColor="text1"/>
          <w:sz w:val="21"/>
          <w:szCs w:val="21"/>
        </w:rPr>
        <w:tab/>
      </w:r>
    </w:p>
    <w:p w14:paraId="0E89287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长期公司债券</w:t>
      </w:r>
    </w:p>
    <w:p w14:paraId="5BBAEF9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D</w:t>
      </w:r>
    </w:p>
    <w:p w14:paraId="311A50D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资本市场的工具包括股票、长期公司债券、长期政府债券和银行长期贷款合同等。货币市场工具包括短期国债（在英、美称为国库券）、大额可转让定期存单和商业票据等。故选</w:t>
      </w: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项。</w:t>
      </w:r>
    </w:p>
    <w:p w14:paraId="4613AB2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p>
    <w:p w14:paraId="5C22C14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例</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FF0000"/>
          <w:sz w:val="21"/>
          <w:szCs w:val="21"/>
        </w:rPr>
        <w:t>多选题</w:t>
      </w:r>
      <w:r>
        <w:rPr>
          <w:rFonts w:hint="eastAsia" w:ascii="宋体" w:hAnsi="宋体" w:eastAsia="宋体" w:cs="宋体"/>
          <w:b w:val="0"/>
          <w:bCs w:val="0"/>
          <w:color w:val="FF0000"/>
          <w:sz w:val="21"/>
          <w:szCs w:val="21"/>
          <w:lang w:val="en-US" w:eastAsia="zh-CN"/>
        </w:rPr>
        <w:t>】</w:t>
      </w:r>
      <w:r>
        <w:rPr>
          <w:rFonts w:hint="eastAsia" w:ascii="宋体" w:hAnsi="宋体" w:eastAsia="宋体" w:cs="宋体"/>
          <w:b w:val="0"/>
          <w:bCs w:val="0"/>
          <w:color w:val="000000" w:themeColor="text1"/>
          <w:sz w:val="21"/>
          <w:szCs w:val="21"/>
        </w:rPr>
        <w:t>与货币市场相比，资本市场的特点有（  ）。</w:t>
      </w:r>
    </w:p>
    <w:p w14:paraId="2D18715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A.</w:t>
      </w:r>
      <w:r>
        <w:rPr>
          <w:rFonts w:hint="eastAsia" w:ascii="宋体" w:hAnsi="宋体" w:eastAsia="宋体" w:cs="宋体"/>
          <w:b w:val="0"/>
          <w:bCs w:val="0"/>
          <w:color w:val="000000" w:themeColor="text1"/>
          <w:sz w:val="21"/>
          <w:szCs w:val="21"/>
        </w:rPr>
        <w:t xml:space="preserve">投资收益较高     </w:t>
      </w:r>
    </w:p>
    <w:p w14:paraId="16BC46C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B.</w:t>
      </w:r>
      <w:r>
        <w:rPr>
          <w:rFonts w:hint="eastAsia" w:ascii="宋体" w:hAnsi="宋体" w:eastAsia="宋体" w:cs="宋体"/>
          <w:b w:val="0"/>
          <w:bCs w:val="0"/>
          <w:color w:val="000000" w:themeColor="text1"/>
          <w:sz w:val="21"/>
          <w:szCs w:val="21"/>
        </w:rPr>
        <w:t xml:space="preserve">融资期限较长      </w:t>
      </w:r>
    </w:p>
    <w:p w14:paraId="039271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lang w:val="en-US" w:eastAsia="zh-CN"/>
        </w:rPr>
      </w:pPr>
      <w:r>
        <w:rPr>
          <w:rFonts w:hint="eastAsia" w:ascii="宋体" w:hAnsi="宋体" w:eastAsia="宋体" w:cs="宋体"/>
          <w:b w:val="0"/>
          <w:bCs w:val="0"/>
          <w:color w:val="000000" w:themeColor="text1"/>
          <w:sz w:val="21"/>
          <w:szCs w:val="21"/>
          <w:lang w:val="en-US" w:eastAsia="zh-CN"/>
        </w:rPr>
        <w:t>C.</w:t>
      </w:r>
      <w:r>
        <w:rPr>
          <w:rFonts w:hint="eastAsia" w:ascii="宋体" w:hAnsi="宋体" w:eastAsia="宋体" w:cs="宋体"/>
          <w:b w:val="0"/>
          <w:bCs w:val="0"/>
          <w:color w:val="000000" w:themeColor="text1"/>
          <w:sz w:val="21"/>
          <w:szCs w:val="21"/>
        </w:rPr>
        <w:t xml:space="preserve">投资风险较大       </w:t>
      </w:r>
    </w:p>
    <w:p w14:paraId="16828D1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val="en-US" w:eastAsia="zh-CN"/>
        </w:rPr>
        <w:t>D.</w:t>
      </w:r>
      <w:r>
        <w:rPr>
          <w:rFonts w:hint="eastAsia" w:ascii="宋体" w:hAnsi="宋体" w:eastAsia="宋体" w:cs="宋体"/>
          <w:b w:val="0"/>
          <w:bCs w:val="0"/>
          <w:color w:val="000000" w:themeColor="text1"/>
          <w:sz w:val="21"/>
          <w:szCs w:val="21"/>
        </w:rPr>
        <w:t>价格波动较小</w:t>
      </w:r>
    </w:p>
    <w:p w14:paraId="1D0490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rPr>
        <w:t>答案：</w:t>
      </w:r>
      <w:r>
        <w:rPr>
          <w:rFonts w:hint="eastAsia" w:ascii="宋体" w:hAnsi="宋体" w:eastAsia="宋体" w:cs="宋体"/>
          <w:b w:val="0"/>
          <w:bCs w:val="0"/>
          <w:color w:val="FF0000"/>
          <w:sz w:val="21"/>
          <w:szCs w:val="21"/>
          <w:lang w:val="en-US" w:eastAsia="zh-CN"/>
        </w:rPr>
        <w:t>ABC</w:t>
      </w:r>
    </w:p>
    <w:p w14:paraId="1765DE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FF0000"/>
          <w:sz w:val="21"/>
          <w:szCs w:val="21"/>
        </w:rPr>
        <w:t>解析：</w:t>
      </w:r>
      <w:r>
        <w:rPr>
          <w:rFonts w:hint="eastAsia" w:ascii="宋体" w:hAnsi="宋体" w:eastAsia="宋体" w:cs="宋体"/>
          <w:b w:val="0"/>
          <w:bCs w:val="0"/>
          <w:color w:val="000000" w:themeColor="text1"/>
          <w:sz w:val="21"/>
          <w:szCs w:val="21"/>
        </w:rPr>
        <w:t>资本市场特点：（</w:t>
      </w:r>
      <w:r>
        <w:rPr>
          <w:rFonts w:hint="eastAsia" w:ascii="宋体" w:hAnsi="宋体" w:eastAsia="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）融资期限长；（</w:t>
      </w:r>
      <w:r>
        <w:rPr>
          <w:rFonts w:hint="eastAsia" w:ascii="宋体" w:hAnsi="宋体" w:eastAsia="宋体" w:cs="宋体"/>
          <w:b w:val="0"/>
          <w:bCs w:val="0"/>
          <w:color w:val="000000" w:themeColor="text1"/>
          <w:sz w:val="21"/>
          <w:szCs w:val="21"/>
          <w:lang w:val="en-US" w:eastAsia="zh-CN"/>
        </w:rPr>
        <w:t>2</w:t>
      </w:r>
      <w:r>
        <w:rPr>
          <w:rFonts w:hint="eastAsia" w:ascii="宋体" w:hAnsi="宋体" w:eastAsia="宋体" w:cs="宋体"/>
          <w:b w:val="0"/>
          <w:bCs w:val="0"/>
          <w:color w:val="000000" w:themeColor="text1"/>
          <w:sz w:val="21"/>
          <w:szCs w:val="21"/>
        </w:rPr>
        <w:t>）融资目的是解决长期投资性资本的需要；（</w:t>
      </w:r>
      <w:r>
        <w:rPr>
          <w:rFonts w:hint="eastAsia" w:ascii="宋体" w:hAnsi="宋体" w:eastAsia="宋体" w:cs="宋体"/>
          <w:b w:val="0"/>
          <w:bCs w:val="0"/>
          <w:color w:val="000000" w:themeColor="text1"/>
          <w:sz w:val="21"/>
          <w:szCs w:val="21"/>
          <w:lang w:val="en-US" w:eastAsia="zh-CN"/>
        </w:rPr>
        <w:t>3</w:t>
      </w:r>
      <w:r>
        <w:rPr>
          <w:rFonts w:hint="eastAsia" w:ascii="宋体" w:hAnsi="宋体" w:eastAsia="宋体" w:cs="宋体"/>
          <w:b w:val="0"/>
          <w:bCs w:val="0"/>
          <w:color w:val="000000" w:themeColor="text1"/>
          <w:sz w:val="21"/>
          <w:szCs w:val="21"/>
        </w:rPr>
        <w:t>）资本借贷量大；（</w:t>
      </w:r>
      <w:r>
        <w:rPr>
          <w:rFonts w:hint="eastAsia" w:ascii="宋体" w:hAnsi="宋体" w:eastAsia="宋体" w:cs="宋体"/>
          <w:b w:val="0"/>
          <w:bCs w:val="0"/>
          <w:color w:val="000000" w:themeColor="text1"/>
          <w:sz w:val="21"/>
          <w:szCs w:val="21"/>
          <w:lang w:val="en-US" w:eastAsia="zh-CN"/>
        </w:rPr>
        <w:t>4</w:t>
      </w:r>
      <w:r>
        <w:rPr>
          <w:rFonts w:hint="eastAsia" w:ascii="宋体" w:hAnsi="宋体" w:eastAsia="宋体" w:cs="宋体"/>
          <w:b w:val="0"/>
          <w:bCs w:val="0"/>
          <w:color w:val="000000" w:themeColor="text1"/>
          <w:sz w:val="21"/>
          <w:szCs w:val="21"/>
        </w:rPr>
        <w:t>）收益较高但风险也较大。所以选择</w:t>
      </w:r>
      <w:r>
        <w:rPr>
          <w:rFonts w:hint="eastAsia" w:ascii="宋体" w:hAnsi="宋体" w:eastAsia="宋体" w:cs="宋体"/>
          <w:b w:val="0"/>
          <w:bCs w:val="0"/>
          <w:color w:val="000000" w:themeColor="text1"/>
          <w:sz w:val="21"/>
          <w:szCs w:val="21"/>
          <w:lang w:val="en-US" w:eastAsia="zh-CN"/>
        </w:rPr>
        <w:t>ABC</w:t>
      </w:r>
      <w:r>
        <w:rPr>
          <w:rFonts w:hint="eastAsia" w:ascii="宋体" w:hAnsi="宋体" w:eastAsia="宋体" w:cs="宋体"/>
          <w:b w:val="0"/>
          <w:bCs w:val="0"/>
          <w:color w:val="000000" w:themeColor="text1"/>
          <w:sz w:val="21"/>
          <w:szCs w:val="21"/>
        </w:rPr>
        <w:t>。</w:t>
      </w:r>
    </w:p>
    <w:p w14:paraId="1C18F7BB">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第二章  财务管理基础</w:t>
      </w:r>
    </w:p>
    <w:p w14:paraId="14E3143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2E0249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本章是基础章节，同时也是重要章节，考分在</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分左右，考点如下：</w:t>
      </w:r>
    </w:p>
    <w:p w14:paraId="2B84560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 xml:space="preserve">（一）现值及应用 </w:t>
      </w:r>
    </w:p>
    <w:p w14:paraId="2DA2658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（二）实际利率计算</w:t>
      </w:r>
    </w:p>
    <w:p w14:paraId="5395BCE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（三）收益与风险</w:t>
      </w:r>
    </w:p>
    <w:p w14:paraId="0B70EAB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（四）资本资产定价模型</w:t>
      </w:r>
    </w:p>
    <w:p w14:paraId="4EFC81C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（五）成本性态分析</w:t>
      </w:r>
    </w:p>
    <w:p w14:paraId="13B4916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BB1DD5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1】</w:t>
      </w:r>
      <w:r>
        <w:rPr>
          <w:rFonts w:hint="eastAsia" w:ascii="宋体" w:hAnsi="宋体" w:eastAsia="宋体" w:cs="宋体"/>
          <w:b w:val="0"/>
          <w:bCs/>
          <w:color w:val="FF0000"/>
          <w:sz w:val="21"/>
          <w:szCs w:val="21"/>
        </w:rPr>
        <w:t>现值</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202"/>
        <w:gridCol w:w="2468"/>
        <w:gridCol w:w="6800"/>
      </w:tblGrid>
      <w:tr w14:paraId="2DBD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2" w:hRule="atLeast"/>
        </w:trPr>
        <w:tc>
          <w:tcPr>
            <w:tcW w:w="574" w:type="pct"/>
            <w:vMerge w:val="restart"/>
            <w:shd w:val="clear" w:color="auto" w:fill="auto"/>
            <w:tcMar>
              <w:top w:w="72" w:type="dxa"/>
              <w:left w:w="108" w:type="dxa"/>
              <w:bottom w:w="72" w:type="dxa"/>
              <w:right w:w="108" w:type="dxa"/>
            </w:tcMar>
            <w:vAlign w:val="top"/>
          </w:tcPr>
          <w:p w14:paraId="0F51600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4E089F9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673B098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5973D6A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1A91800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5FA1108E">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4D0F2B2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现值</w:t>
            </w:r>
          </w:p>
        </w:tc>
        <w:tc>
          <w:tcPr>
            <w:tcW w:w="1178" w:type="pct"/>
            <w:shd w:val="clear" w:color="auto" w:fill="auto"/>
            <w:tcMar>
              <w:top w:w="72" w:type="dxa"/>
              <w:left w:w="108" w:type="dxa"/>
              <w:bottom w:w="72" w:type="dxa"/>
              <w:right w:w="108" w:type="dxa"/>
            </w:tcMar>
            <w:vAlign w:val="top"/>
          </w:tcPr>
          <w:p w14:paraId="5DE068B7">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复利现值</w:t>
            </w:r>
          </w:p>
        </w:tc>
        <w:tc>
          <w:tcPr>
            <w:tcW w:w="3246" w:type="pct"/>
            <w:shd w:val="clear" w:color="auto" w:fill="auto"/>
            <w:tcMar>
              <w:top w:w="72" w:type="dxa"/>
              <w:left w:w="108" w:type="dxa"/>
              <w:bottom w:w="72" w:type="dxa"/>
              <w:right w:w="108" w:type="dxa"/>
            </w:tcMar>
            <w:vAlign w:val="top"/>
          </w:tcPr>
          <w:p w14:paraId="7F6C358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P=F/（1+i）</w:t>
            </w:r>
            <w:r>
              <w:rPr>
                <w:rFonts w:hint="eastAsia" w:ascii="宋体" w:hAnsi="宋体" w:eastAsia="宋体" w:cs="宋体"/>
                <w:i w:val="0"/>
                <w:iCs w:val="0"/>
                <w:color w:val="000000" w:themeColor="text1"/>
                <w:kern w:val="24"/>
                <w:position w:val="0"/>
                <w:sz w:val="21"/>
                <w:szCs w:val="21"/>
                <w:u w:val="none"/>
                <w:vertAlign w:val="superscript"/>
              </w:rPr>
              <w:t>n</w:t>
            </w:r>
            <w:r>
              <w:rPr>
                <w:rFonts w:hint="eastAsia" w:ascii="宋体" w:hAnsi="宋体" w:eastAsia="宋体" w:cs="宋体"/>
                <w:i w:val="0"/>
                <w:iCs w:val="0"/>
                <w:color w:val="000000" w:themeColor="text1"/>
                <w:kern w:val="24"/>
                <w:sz w:val="21"/>
                <w:szCs w:val="21"/>
                <w:u w:val="none"/>
              </w:rPr>
              <w:t xml:space="preserve"> = F×（P/F，i，n）</w:t>
            </w:r>
          </w:p>
        </w:tc>
      </w:tr>
      <w:tr w14:paraId="5EF7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574" w:type="pct"/>
            <w:vMerge w:val="continue"/>
            <w:shd w:val="clear" w:color="auto" w:fill="auto"/>
            <w:tcMar>
              <w:top w:w="72" w:type="dxa"/>
              <w:left w:w="108" w:type="dxa"/>
              <w:bottom w:w="72" w:type="dxa"/>
              <w:right w:w="108" w:type="dxa"/>
            </w:tcMar>
            <w:vAlign w:val="top"/>
          </w:tcPr>
          <w:p w14:paraId="25EA1312">
            <w:pPr>
              <w:keepNext w:val="0"/>
              <w:keepLines w:val="0"/>
              <w:pageBreakBefore w:val="0"/>
              <w:widowControl/>
              <w:wordWrap/>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1178" w:type="pct"/>
            <w:shd w:val="clear" w:color="auto" w:fill="auto"/>
            <w:tcMar>
              <w:top w:w="72" w:type="dxa"/>
              <w:left w:w="108" w:type="dxa"/>
              <w:bottom w:w="72" w:type="dxa"/>
              <w:right w:w="108" w:type="dxa"/>
            </w:tcMar>
            <w:vAlign w:val="top"/>
          </w:tcPr>
          <w:p w14:paraId="075AF0D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普通年金现值</w:t>
            </w:r>
          </w:p>
        </w:tc>
        <w:tc>
          <w:tcPr>
            <w:tcW w:w="3246" w:type="pct"/>
            <w:shd w:val="clear" w:color="auto" w:fill="auto"/>
            <w:tcMar>
              <w:top w:w="72" w:type="dxa"/>
              <w:left w:w="108" w:type="dxa"/>
              <w:bottom w:w="72" w:type="dxa"/>
              <w:right w:w="108" w:type="dxa"/>
            </w:tcMar>
            <w:vAlign w:val="top"/>
          </w:tcPr>
          <w:p w14:paraId="211510D4">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r>
              <w:pict>
                <v:shape id="_x0000_s1026" o:spid="_x0000_s1026" o:spt="75" type="#_x0000_t75" style="position:absolute;left:0pt;margin-left:31.5pt;margin-top:13.25pt;height:29pt;width:57pt;z-index:251659264;mso-width-relative:page;mso-height-relative:page;" filled="f" o:preferrelative="t" stroked="f" coordsize="21600,21600">
                  <v:path/>
                  <v:fill on="f" focussize="0,0"/>
                  <v:stroke on="f"/>
                  <v:imagedata r:id="rId4" o:title=""/>
                  <o:lock v:ext="edit" aspectratio="t"/>
                </v:shape>
              </w:pict>
            </w:r>
          </w:p>
          <w:p w14:paraId="504890F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P=A×               =A×（P/A，i，n）</w:t>
            </w:r>
          </w:p>
        </w:tc>
      </w:tr>
      <w:tr w14:paraId="051B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74" w:type="pct"/>
            <w:vMerge w:val="continue"/>
            <w:shd w:val="clear" w:color="auto" w:fill="auto"/>
            <w:tcMar>
              <w:top w:w="72" w:type="dxa"/>
              <w:left w:w="108" w:type="dxa"/>
              <w:bottom w:w="72" w:type="dxa"/>
              <w:right w:w="108" w:type="dxa"/>
            </w:tcMar>
            <w:vAlign w:val="top"/>
          </w:tcPr>
          <w:p w14:paraId="0518E1C8">
            <w:pPr>
              <w:keepNext w:val="0"/>
              <w:keepLines w:val="0"/>
              <w:pageBreakBefore w:val="0"/>
              <w:widowControl/>
              <w:wordWrap/>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1178" w:type="pct"/>
            <w:shd w:val="clear" w:color="auto" w:fill="auto"/>
            <w:tcMar>
              <w:top w:w="72" w:type="dxa"/>
              <w:left w:w="108" w:type="dxa"/>
              <w:bottom w:w="72" w:type="dxa"/>
              <w:right w:w="108" w:type="dxa"/>
            </w:tcMar>
            <w:vAlign w:val="top"/>
          </w:tcPr>
          <w:p w14:paraId="57B13FA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预付年金现值</w:t>
            </w:r>
          </w:p>
        </w:tc>
        <w:tc>
          <w:tcPr>
            <w:tcW w:w="3246" w:type="pct"/>
            <w:shd w:val="clear" w:color="auto" w:fill="auto"/>
            <w:tcMar>
              <w:top w:w="72" w:type="dxa"/>
              <w:left w:w="108" w:type="dxa"/>
              <w:bottom w:w="72" w:type="dxa"/>
              <w:right w:w="108" w:type="dxa"/>
            </w:tcMar>
            <w:vAlign w:val="top"/>
          </w:tcPr>
          <w:p w14:paraId="38A1592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P=A×（P/A，i，n）×（1+i）</w:t>
            </w:r>
          </w:p>
        </w:tc>
      </w:tr>
      <w:tr w14:paraId="1F94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trPr>
        <w:tc>
          <w:tcPr>
            <w:tcW w:w="574" w:type="pct"/>
            <w:vMerge w:val="continue"/>
            <w:shd w:val="clear" w:color="auto" w:fill="auto"/>
            <w:tcMar>
              <w:top w:w="72" w:type="dxa"/>
              <w:left w:w="108" w:type="dxa"/>
              <w:bottom w:w="72" w:type="dxa"/>
              <w:right w:w="108" w:type="dxa"/>
            </w:tcMar>
            <w:vAlign w:val="top"/>
          </w:tcPr>
          <w:p w14:paraId="63CDDF60">
            <w:pPr>
              <w:keepNext w:val="0"/>
              <w:keepLines w:val="0"/>
              <w:pageBreakBefore w:val="0"/>
              <w:widowControl/>
              <w:wordWrap/>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1178" w:type="pct"/>
            <w:shd w:val="clear" w:color="auto" w:fill="auto"/>
            <w:tcMar>
              <w:top w:w="72" w:type="dxa"/>
              <w:left w:w="108" w:type="dxa"/>
              <w:bottom w:w="72" w:type="dxa"/>
              <w:right w:w="108" w:type="dxa"/>
            </w:tcMar>
            <w:vAlign w:val="top"/>
          </w:tcPr>
          <w:p w14:paraId="3CD6790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递延年金现值</w:t>
            </w:r>
          </w:p>
        </w:tc>
        <w:tc>
          <w:tcPr>
            <w:tcW w:w="3246" w:type="pct"/>
            <w:shd w:val="clear" w:color="auto" w:fill="auto"/>
            <w:tcMar>
              <w:top w:w="72" w:type="dxa"/>
              <w:left w:w="108" w:type="dxa"/>
              <w:bottom w:w="72" w:type="dxa"/>
              <w:right w:w="108" w:type="dxa"/>
            </w:tcMar>
            <w:vAlign w:val="top"/>
          </w:tcPr>
          <w:p w14:paraId="6D62C3FF">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P=A×（P/A，i，n）×（P/F，i，m）</w:t>
            </w:r>
          </w:p>
        </w:tc>
      </w:tr>
      <w:tr w14:paraId="70ED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trPr>
        <w:tc>
          <w:tcPr>
            <w:tcW w:w="574" w:type="pct"/>
            <w:vMerge w:val="continue"/>
            <w:shd w:val="clear" w:color="auto" w:fill="auto"/>
            <w:tcMar>
              <w:top w:w="72" w:type="dxa"/>
              <w:left w:w="108" w:type="dxa"/>
              <w:bottom w:w="72" w:type="dxa"/>
              <w:right w:w="108" w:type="dxa"/>
            </w:tcMar>
            <w:vAlign w:val="top"/>
          </w:tcPr>
          <w:p w14:paraId="16230863">
            <w:pPr>
              <w:keepNext w:val="0"/>
              <w:keepLines w:val="0"/>
              <w:pageBreakBefore w:val="0"/>
              <w:widowControl/>
              <w:wordWrap/>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1178" w:type="pct"/>
            <w:shd w:val="clear" w:color="auto" w:fill="auto"/>
            <w:tcMar>
              <w:top w:w="72" w:type="dxa"/>
              <w:left w:w="108" w:type="dxa"/>
              <w:bottom w:w="72" w:type="dxa"/>
              <w:right w:w="108" w:type="dxa"/>
            </w:tcMar>
            <w:vAlign w:val="top"/>
          </w:tcPr>
          <w:p w14:paraId="3A0EEE1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永续年金现值</w:t>
            </w:r>
          </w:p>
        </w:tc>
        <w:tc>
          <w:tcPr>
            <w:tcW w:w="3246" w:type="pct"/>
            <w:shd w:val="clear" w:color="auto" w:fill="auto"/>
            <w:tcMar>
              <w:top w:w="72" w:type="dxa"/>
              <w:left w:w="108" w:type="dxa"/>
              <w:bottom w:w="72" w:type="dxa"/>
              <w:right w:w="108" w:type="dxa"/>
            </w:tcMar>
            <w:vAlign w:val="top"/>
          </w:tcPr>
          <w:p w14:paraId="0FC4C2F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P=A/i</w:t>
            </w:r>
          </w:p>
        </w:tc>
      </w:tr>
    </w:tbl>
    <w:p w14:paraId="71A1EEC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AA1895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下列哪些指标可以用来表示资金时间价值？（  ）</w:t>
      </w:r>
    </w:p>
    <w:p w14:paraId="70DC36F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企业债券利率</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p>
    <w:p w14:paraId="5CB82EA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社会平均利润率</w:t>
      </w:r>
    </w:p>
    <w:p w14:paraId="44FEE58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通货膨胀率极低情况下的国债利率</w:t>
      </w:r>
      <w:r>
        <w:rPr>
          <w:rFonts w:hint="eastAsia" w:ascii="宋体" w:hAnsi="宋体" w:eastAsia="宋体" w:cs="宋体"/>
          <w:b w:val="0"/>
          <w:bCs/>
          <w:color w:val="000000" w:themeColor="text1"/>
          <w:sz w:val="21"/>
          <w:szCs w:val="21"/>
        </w:rPr>
        <w:tab/>
      </w:r>
    </w:p>
    <w:p w14:paraId="2B47C06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无风险报酬率</w:t>
      </w:r>
    </w:p>
    <w:p w14:paraId="0C0568A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59CB78D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资金的时间价值通常用无风险、无通货膨胀下的社会平均利润率。故选</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项。</w:t>
      </w:r>
    </w:p>
    <w:p w14:paraId="4857FD5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ED783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某工程期初需投入</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亿元，如延期一年，建设投入将增加</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。假设年利率是</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，则由于工程延迟造成的投入现值增加额为（  ）。</w:t>
      </w:r>
    </w:p>
    <w:p w14:paraId="5C5D95D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A.0.77</w:t>
      </w:r>
      <w:r>
        <w:rPr>
          <w:rFonts w:hint="eastAsia" w:ascii="宋体" w:hAnsi="宋体" w:eastAsia="宋体" w:cs="宋体"/>
          <w:b w:val="0"/>
          <w:bCs/>
          <w:color w:val="000000" w:themeColor="text1"/>
          <w:sz w:val="21"/>
          <w:szCs w:val="21"/>
        </w:rPr>
        <w:t>亿元</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B.0.64</w:t>
      </w:r>
      <w:r>
        <w:rPr>
          <w:rFonts w:hint="eastAsia" w:ascii="宋体" w:hAnsi="宋体" w:eastAsia="宋体" w:cs="宋体"/>
          <w:b w:val="0"/>
          <w:bCs/>
          <w:color w:val="000000" w:themeColor="text1"/>
          <w:sz w:val="21"/>
          <w:szCs w:val="21"/>
        </w:rPr>
        <w:t xml:space="preserve">亿元        </w:t>
      </w:r>
    </w:p>
    <w:p w14:paraId="3F2D88A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C.5.77</w:t>
      </w:r>
      <w:r>
        <w:rPr>
          <w:rFonts w:hint="eastAsia" w:ascii="宋体" w:hAnsi="宋体" w:eastAsia="宋体" w:cs="宋体"/>
          <w:b w:val="0"/>
          <w:bCs/>
          <w:color w:val="000000" w:themeColor="text1"/>
          <w:sz w:val="21"/>
          <w:szCs w:val="21"/>
        </w:rPr>
        <w:t xml:space="preserve">亿元       </w:t>
      </w:r>
      <w:r>
        <w:rPr>
          <w:rFonts w:hint="eastAsia" w:ascii="宋体" w:hAnsi="宋体" w:eastAsia="宋体" w:cs="宋体"/>
          <w:b w:val="0"/>
          <w:bCs/>
          <w:color w:val="000000" w:themeColor="text1"/>
          <w:sz w:val="21"/>
          <w:szCs w:val="21"/>
        </w:rPr>
        <w:tab/>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D.0.5</w:t>
      </w:r>
      <w:r>
        <w:rPr>
          <w:rFonts w:hint="eastAsia" w:ascii="宋体" w:hAnsi="宋体" w:eastAsia="宋体" w:cs="宋体"/>
          <w:b w:val="0"/>
          <w:bCs/>
          <w:color w:val="000000" w:themeColor="text1"/>
          <w:sz w:val="21"/>
          <w:szCs w:val="21"/>
        </w:rPr>
        <w:t>亿元</w:t>
      </w:r>
    </w:p>
    <w:p w14:paraId="7A8818B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306D857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延迟一年投入金额＝</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（亿元），延迟投入现值＝</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1+4%</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5.77</w:t>
      </w:r>
      <w:r>
        <w:rPr>
          <w:rFonts w:hint="eastAsia" w:ascii="宋体" w:hAnsi="宋体" w:eastAsia="宋体" w:cs="宋体"/>
          <w:b w:val="0"/>
          <w:bCs/>
          <w:color w:val="000000" w:themeColor="text1"/>
          <w:sz w:val="21"/>
          <w:szCs w:val="21"/>
        </w:rPr>
        <w:t>（亿元），投入现值增加额＝</w:t>
      </w:r>
      <w:r>
        <w:rPr>
          <w:rFonts w:hint="eastAsia" w:ascii="宋体" w:hAnsi="宋体" w:eastAsia="宋体" w:cs="宋体"/>
          <w:b w:val="0"/>
          <w:bCs/>
          <w:color w:val="000000" w:themeColor="text1"/>
          <w:sz w:val="21"/>
          <w:szCs w:val="21"/>
          <w:lang w:val="en-US" w:eastAsia="zh-CN"/>
        </w:rPr>
        <w:t>5.77-5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0.77</w:t>
      </w:r>
      <w:r>
        <w:rPr>
          <w:rFonts w:hint="eastAsia" w:ascii="宋体" w:hAnsi="宋体" w:eastAsia="宋体" w:cs="宋体"/>
          <w:b w:val="0"/>
          <w:bCs/>
          <w:color w:val="000000" w:themeColor="text1"/>
          <w:sz w:val="21"/>
          <w:szCs w:val="21"/>
        </w:rPr>
        <w:t>（亿元）。故选</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w:t>
      </w:r>
    </w:p>
    <w:p w14:paraId="10D0EB5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E1BA2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某投资者从年初开始存入第一笔款项，随后连续</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年每年存款一次，每次存款金额相等，利率为</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，复利计息。该投资者期望在</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年后一次性取得</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万元，则其每次存款金额的计算式为（  ）。</w:t>
      </w:r>
    </w:p>
    <w:p w14:paraId="07C0C7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A.200/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w:t>
      </w:r>
    </w:p>
    <w:p w14:paraId="429BE19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B.200/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p>
    <w:p w14:paraId="263855C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C.200/[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w:t>
      </w:r>
    </w:p>
    <w:p w14:paraId="7A46F78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D.200/[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p>
    <w:p w14:paraId="17CD8AF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0AD5843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本题是已知终值求年金，</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，则年金</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p>
    <w:p w14:paraId="702121D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1212FC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关于递延年金，下列说法正确的有（  ）。</w:t>
      </w:r>
    </w:p>
    <w:p w14:paraId="0F3057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递延年金终值的大小与递延期无关</w:t>
      </w:r>
    </w:p>
    <w:p w14:paraId="5DE10F3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递延年金现值的大小与递延期有关 </w:t>
      </w:r>
    </w:p>
    <w:p w14:paraId="222CAC1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递延期越长，递延年金的现值越大</w:t>
      </w:r>
    </w:p>
    <w:p w14:paraId="451D883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递延年金是指第一次收付发生在第二期或第二期以后的年金</w:t>
      </w:r>
    </w:p>
    <w:p w14:paraId="0C0D8A7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ABD</w:t>
      </w:r>
    </w:p>
    <w:p w14:paraId="13469FF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 xml:space="preserve">递延年金是指第一次等额收付发生在第二期或第二期以后的年金，计算递延年金终值和计算普通年金终值类似： </w:t>
      </w:r>
      <w:r>
        <w:rPr>
          <w:rFonts w:hint="eastAsia" w:ascii="宋体" w:hAnsi="宋体" w:eastAsia="宋体" w:cs="宋体"/>
          <w:b w:val="0"/>
          <w:bCs/>
          <w:color w:val="000000" w:themeColor="text1"/>
          <w:sz w:val="21"/>
          <w:szCs w:val="21"/>
          <w:lang w:val="en-US" w:eastAsia="zh-CN"/>
        </w:rPr>
        <w:t>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n</w:t>
      </w:r>
      <w:r>
        <w:rPr>
          <w:rFonts w:hint="eastAsia" w:ascii="宋体" w:hAnsi="宋体" w:eastAsia="宋体" w:cs="宋体"/>
          <w:b w:val="0"/>
          <w:bCs/>
          <w:color w:val="000000" w:themeColor="text1"/>
          <w:sz w:val="21"/>
          <w:szCs w:val="21"/>
        </w:rPr>
        <w:t>） 因此，终值的大小与递延期无关；它只是普通年金的特殊形式，同样遵守普通年金折现的规律，即递延期越长，递延年金的现值越小。选项</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错误。故选</w:t>
      </w:r>
      <w:r>
        <w:rPr>
          <w:rFonts w:hint="eastAsia" w:ascii="宋体" w:hAnsi="宋体" w:eastAsia="宋体" w:cs="宋体"/>
          <w:b w:val="0"/>
          <w:bCs/>
          <w:color w:val="000000" w:themeColor="text1"/>
          <w:sz w:val="21"/>
          <w:szCs w:val="21"/>
          <w:lang w:val="en-US" w:eastAsia="zh-CN"/>
        </w:rPr>
        <w:t>ABD</w:t>
      </w:r>
      <w:r>
        <w:rPr>
          <w:rFonts w:hint="eastAsia" w:ascii="宋体" w:hAnsi="宋体" w:eastAsia="宋体" w:cs="宋体"/>
          <w:b w:val="0"/>
          <w:bCs/>
          <w:color w:val="000000" w:themeColor="text1"/>
          <w:sz w:val="21"/>
          <w:szCs w:val="21"/>
        </w:rPr>
        <w:t>项。</w:t>
      </w:r>
    </w:p>
    <w:p w14:paraId="51A8A1D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FCDDED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甲公司向银行借入一笔款项，年利率为</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，分</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次还清，从第</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年至第</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年每年年初偿还本息</w:t>
      </w:r>
      <w:r>
        <w:rPr>
          <w:rFonts w:hint="eastAsia" w:ascii="宋体" w:hAnsi="宋体" w:eastAsia="宋体" w:cs="宋体"/>
          <w:b w:val="0"/>
          <w:bCs/>
          <w:color w:val="000000" w:themeColor="text1"/>
          <w:sz w:val="21"/>
          <w:szCs w:val="21"/>
          <w:lang w:val="en-US" w:eastAsia="zh-CN"/>
        </w:rPr>
        <w:t>5 000</w:t>
      </w:r>
      <w:r>
        <w:rPr>
          <w:rFonts w:hint="eastAsia" w:ascii="宋体" w:hAnsi="宋体" w:eastAsia="宋体" w:cs="宋体"/>
          <w:b w:val="0"/>
          <w:bCs/>
          <w:color w:val="000000" w:themeColor="text1"/>
          <w:sz w:val="21"/>
          <w:szCs w:val="21"/>
        </w:rPr>
        <w:t>元。下列计算该笔借款现值的算式中，正确的有（  ）。</w:t>
      </w:r>
    </w:p>
    <w:p w14:paraId="13867EA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A.5 000×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w:t>
      </w:r>
    </w:p>
    <w:p w14:paraId="7318E9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B.5 000×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p>
    <w:p w14:paraId="57720ED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C.5 000×[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w:t>
      </w:r>
    </w:p>
    <w:p w14:paraId="18488C3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D.5 000×[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p>
    <w:p w14:paraId="5F1E787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BD</w:t>
      </w:r>
    </w:p>
    <w:p w14:paraId="1107DB5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递延年金现值的计算：方法一：</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n</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m</w:t>
      </w:r>
      <w:r>
        <w:rPr>
          <w:rFonts w:hint="eastAsia" w:ascii="宋体" w:hAnsi="宋体" w:eastAsia="宋体" w:cs="宋体"/>
          <w:b w:val="0"/>
          <w:bCs/>
          <w:color w:val="000000" w:themeColor="text1"/>
          <w:sz w:val="21"/>
          <w:szCs w:val="21"/>
        </w:rPr>
        <w:t>）；方法二：</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m+n</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m</w:t>
      </w:r>
      <w:r>
        <w:rPr>
          <w:rFonts w:hint="eastAsia" w:ascii="宋体" w:hAnsi="宋体" w:eastAsia="宋体" w:cs="宋体"/>
          <w:b w:val="0"/>
          <w:bCs/>
          <w:color w:val="000000" w:themeColor="text1"/>
          <w:sz w:val="21"/>
          <w:szCs w:val="21"/>
        </w:rPr>
        <w:t>）；方法三：</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n</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i</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m+n</w:t>
      </w:r>
      <w:r>
        <w:rPr>
          <w:rFonts w:hint="eastAsia" w:ascii="宋体" w:hAnsi="宋体" w:eastAsia="宋体" w:cs="宋体"/>
          <w:b w:val="0"/>
          <w:bCs/>
          <w:color w:val="000000" w:themeColor="text1"/>
          <w:sz w:val="21"/>
          <w:szCs w:val="21"/>
        </w:rPr>
        <w:t>）式中，</w:t>
      </w:r>
      <w:r>
        <w:rPr>
          <w:rFonts w:hint="eastAsia" w:ascii="宋体" w:hAnsi="宋体" w:eastAsia="宋体" w:cs="宋体"/>
          <w:b w:val="0"/>
          <w:bCs/>
          <w:color w:val="000000" w:themeColor="text1"/>
          <w:sz w:val="21"/>
          <w:szCs w:val="21"/>
          <w:lang w:val="en-US" w:eastAsia="zh-CN"/>
        </w:rPr>
        <w:t>m</w:t>
      </w:r>
      <w:r>
        <w:rPr>
          <w:rFonts w:hint="eastAsia" w:ascii="宋体" w:hAnsi="宋体" w:eastAsia="宋体" w:cs="宋体"/>
          <w:b w:val="0"/>
          <w:bCs/>
          <w:color w:val="000000" w:themeColor="text1"/>
          <w:sz w:val="21"/>
          <w:szCs w:val="21"/>
        </w:rPr>
        <w:t>为递延期，</w:t>
      </w:r>
      <w:r>
        <w:rPr>
          <w:rFonts w:hint="eastAsia" w:ascii="宋体" w:hAnsi="宋体" w:eastAsia="宋体" w:cs="宋体"/>
          <w:b w:val="0"/>
          <w:bCs/>
          <w:color w:val="000000" w:themeColor="text1"/>
          <w:sz w:val="21"/>
          <w:szCs w:val="21"/>
          <w:lang w:val="en-US" w:eastAsia="zh-CN"/>
        </w:rPr>
        <w:t>n</w:t>
      </w:r>
      <w:r>
        <w:rPr>
          <w:rFonts w:hint="eastAsia" w:ascii="宋体" w:hAnsi="宋体" w:eastAsia="宋体" w:cs="宋体"/>
          <w:b w:val="0"/>
          <w:bCs/>
          <w:color w:val="000000" w:themeColor="text1"/>
          <w:sz w:val="21"/>
          <w:szCs w:val="21"/>
        </w:rPr>
        <w:t>为连续收支期数。本题递延期为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年，连续收支期数为</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年。故选</w:t>
      </w:r>
      <w:r>
        <w:rPr>
          <w:rFonts w:hint="eastAsia" w:ascii="宋体" w:hAnsi="宋体" w:eastAsia="宋体" w:cs="宋体"/>
          <w:b w:val="0"/>
          <w:bCs/>
          <w:color w:val="000000" w:themeColor="text1"/>
          <w:sz w:val="21"/>
          <w:szCs w:val="21"/>
          <w:lang w:val="en-US" w:eastAsia="zh-CN"/>
        </w:rPr>
        <w:t>BD</w:t>
      </w:r>
      <w:r>
        <w:rPr>
          <w:rFonts w:hint="eastAsia" w:ascii="宋体" w:hAnsi="宋体" w:eastAsia="宋体" w:cs="宋体"/>
          <w:b w:val="0"/>
          <w:bCs/>
          <w:color w:val="000000" w:themeColor="text1"/>
          <w:sz w:val="21"/>
          <w:szCs w:val="21"/>
        </w:rPr>
        <w:t>项。</w:t>
      </w:r>
    </w:p>
    <w:p w14:paraId="37A013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357092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已知（</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13.579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18.531</w:t>
      </w:r>
      <w:r>
        <w:rPr>
          <w:rFonts w:hint="eastAsia" w:ascii="宋体" w:hAnsi="宋体" w:eastAsia="宋体" w:cs="宋体"/>
          <w:b w:val="0"/>
          <w:bCs/>
          <w:color w:val="000000" w:themeColor="text1"/>
          <w:sz w:val="21"/>
          <w:szCs w:val="21"/>
        </w:rPr>
        <w:t>。则</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的预付年金终值系数为（  ）。</w:t>
      </w:r>
    </w:p>
    <w:p w14:paraId="41B745C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A.17.531</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B.15.937     </w:t>
      </w:r>
    </w:p>
    <w:p w14:paraId="1E04F22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C.14.579</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D.12.579</w:t>
      </w:r>
    </w:p>
    <w:p w14:paraId="2B5CB3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4F4C66E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年期，利率为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的预付年金终值系数＝（</w:t>
      </w:r>
      <w:r>
        <w:rPr>
          <w:rFonts w:hint="eastAsia" w:ascii="宋体" w:hAnsi="宋体" w:eastAsia="宋体" w:cs="宋体"/>
          <w:b w:val="0"/>
          <w:bCs/>
          <w:color w:val="000000" w:themeColor="text1"/>
          <w:sz w:val="21"/>
          <w:szCs w:val="21"/>
          <w:lang w:val="en-US" w:eastAsia="zh-CN"/>
        </w:rPr>
        <w:t>F/A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18.531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17.531</w:t>
      </w:r>
      <w:r>
        <w:rPr>
          <w:rFonts w:hint="eastAsia" w:ascii="宋体" w:hAnsi="宋体" w:eastAsia="宋体" w:cs="宋体"/>
          <w:b w:val="0"/>
          <w:bCs/>
          <w:color w:val="000000" w:themeColor="text1"/>
          <w:sz w:val="21"/>
          <w:szCs w:val="21"/>
        </w:rPr>
        <w:t>。故选</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w:t>
      </w:r>
    </w:p>
    <w:p w14:paraId="56584F1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D2FCCD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时代教育年初借得</w:t>
      </w:r>
      <w:r>
        <w:rPr>
          <w:rFonts w:hint="eastAsia" w:ascii="宋体" w:hAnsi="宋体" w:eastAsia="宋体" w:cs="宋体"/>
          <w:b w:val="0"/>
          <w:bCs/>
          <w:color w:val="000000" w:themeColor="text1"/>
          <w:sz w:val="21"/>
          <w:szCs w:val="21"/>
          <w:lang w:val="en-US" w:eastAsia="zh-CN"/>
        </w:rPr>
        <w:t>50 000</w:t>
      </w:r>
      <w:r>
        <w:rPr>
          <w:rFonts w:hint="eastAsia" w:ascii="宋体" w:hAnsi="宋体" w:eastAsia="宋体" w:cs="宋体"/>
          <w:b w:val="0"/>
          <w:bCs/>
          <w:color w:val="000000" w:themeColor="text1"/>
          <w:sz w:val="21"/>
          <w:szCs w:val="21"/>
        </w:rPr>
        <w:t>元贷款，</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年期，年利率</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，每年末等额偿还。已知年金现值系数（</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5.6502</w:t>
      </w:r>
      <w:r>
        <w:rPr>
          <w:rFonts w:hint="eastAsia" w:ascii="宋体" w:hAnsi="宋体" w:eastAsia="宋体" w:cs="宋体"/>
          <w:b w:val="0"/>
          <w:bCs/>
          <w:color w:val="000000" w:themeColor="text1"/>
          <w:sz w:val="21"/>
          <w:szCs w:val="21"/>
        </w:rPr>
        <w:t>，则每年应付金额为（  ）元。</w:t>
      </w:r>
    </w:p>
    <w:p w14:paraId="38F459A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A.8 849      </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B.5 000       </w:t>
      </w:r>
    </w:p>
    <w:p w14:paraId="039A5E6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C.6 000</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D.28 251</w:t>
      </w:r>
    </w:p>
    <w:p w14:paraId="55FDF46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7F6FB3F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50 000/5.6502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8 849.24</w:t>
      </w:r>
      <w:r>
        <w:rPr>
          <w:rFonts w:hint="eastAsia" w:ascii="宋体" w:hAnsi="宋体" w:eastAsia="宋体" w:cs="宋体"/>
          <w:b w:val="0"/>
          <w:bCs/>
          <w:color w:val="000000" w:themeColor="text1"/>
          <w:sz w:val="21"/>
          <w:szCs w:val="21"/>
        </w:rPr>
        <w:t>（元）</w:t>
      </w:r>
    </w:p>
    <w:p w14:paraId="22297BA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A46DD3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 xml:space="preserve">】 </w:t>
      </w:r>
      <w:r>
        <w:rPr>
          <w:rFonts w:hint="eastAsia" w:ascii="宋体" w:hAnsi="宋体" w:eastAsia="宋体" w:cs="宋体"/>
          <w:b w:val="0"/>
          <w:bCs/>
          <w:color w:val="000000" w:themeColor="text1"/>
          <w:sz w:val="21"/>
          <w:szCs w:val="21"/>
          <w:lang w:val="en-US" w:eastAsia="zh-CN"/>
        </w:rPr>
        <w:t>DL</w:t>
      </w:r>
      <w:r>
        <w:rPr>
          <w:rFonts w:hint="eastAsia" w:ascii="宋体" w:hAnsi="宋体" w:eastAsia="宋体" w:cs="宋体"/>
          <w:b w:val="0"/>
          <w:bCs/>
          <w:color w:val="000000" w:themeColor="text1"/>
          <w:sz w:val="21"/>
          <w:szCs w:val="21"/>
        </w:rPr>
        <w:t>公司</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日欲购置一批电脑，销售方提出三种付款方案，具体如下：方案</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日付款</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万元，从</w:t>
      </w:r>
      <w:r>
        <w:rPr>
          <w:rFonts w:hint="eastAsia" w:ascii="宋体" w:hAnsi="宋体" w:eastAsia="宋体" w:cs="宋体"/>
          <w:b w:val="0"/>
          <w:bCs/>
          <w:color w:val="000000" w:themeColor="text1"/>
          <w:sz w:val="21"/>
          <w:szCs w:val="21"/>
          <w:lang w:val="en-US" w:eastAsia="zh-CN"/>
        </w:rPr>
        <w:t>2019</w:t>
      </w:r>
      <w:r>
        <w:rPr>
          <w:rFonts w:hint="eastAsia" w:ascii="宋体" w:hAnsi="宋体" w:eastAsia="宋体" w:cs="宋体"/>
          <w:b w:val="0"/>
          <w:bCs/>
          <w:color w:val="000000" w:themeColor="text1"/>
          <w:sz w:val="21"/>
          <w:szCs w:val="21"/>
        </w:rPr>
        <w:t>年开始，每年</w:t>
      </w:r>
      <w:r>
        <w:rPr>
          <w:rFonts w:hint="eastAsia" w:ascii="宋体" w:hAnsi="宋体" w:eastAsia="宋体" w:cs="宋体"/>
          <w:b w:val="0"/>
          <w:bCs/>
          <w:color w:val="000000" w:themeColor="text1"/>
          <w:sz w:val="21"/>
          <w:szCs w:val="21"/>
          <w:lang w:val="en-US" w:eastAsia="zh-CN"/>
        </w:rPr>
        <w:t xml:space="preserve">12 </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日付款</w:t>
      </w:r>
      <w:r>
        <w:rPr>
          <w:rFonts w:hint="eastAsia" w:ascii="宋体" w:hAnsi="宋体" w:eastAsia="宋体" w:cs="宋体"/>
          <w:b w:val="0"/>
          <w:bCs/>
          <w:color w:val="000000" w:themeColor="text1"/>
          <w:sz w:val="21"/>
          <w:szCs w:val="21"/>
          <w:lang w:val="en-US" w:eastAsia="zh-CN"/>
        </w:rPr>
        <w:t>28</w:t>
      </w:r>
      <w:r>
        <w:rPr>
          <w:rFonts w:hint="eastAsia" w:ascii="宋体" w:hAnsi="宋体" w:eastAsia="宋体" w:cs="宋体"/>
          <w:b w:val="0"/>
          <w:bCs/>
          <w:color w:val="000000" w:themeColor="text1"/>
          <w:sz w:val="21"/>
          <w:szCs w:val="21"/>
        </w:rPr>
        <w:t>万元，连续支付</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次。</w:t>
      </w:r>
    </w:p>
    <w:p w14:paraId="1BBBF23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方案</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日付款</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万元，从</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年开始，每年</w:t>
      </w:r>
      <w:r>
        <w:rPr>
          <w:rFonts w:hint="eastAsia" w:ascii="宋体" w:hAnsi="宋体" w:eastAsia="宋体" w:cs="宋体"/>
          <w:b w:val="0"/>
          <w:bCs/>
          <w:color w:val="000000" w:themeColor="text1"/>
          <w:sz w:val="21"/>
          <w:szCs w:val="21"/>
          <w:lang w:val="en-US" w:eastAsia="zh-CN"/>
        </w:rPr>
        <w:t xml:space="preserve">12 </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日付款</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万元，连续支付</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次。</w:t>
      </w:r>
    </w:p>
    <w:p w14:paraId="6C9CDFD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方案</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日付款</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万元，从</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年开始，</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 xml:space="preserve">10 </w:t>
      </w:r>
      <w:r>
        <w:rPr>
          <w:rFonts w:hint="eastAsia" w:ascii="宋体" w:hAnsi="宋体" w:eastAsia="宋体" w:cs="宋体"/>
          <w:b w:val="0"/>
          <w:bCs/>
          <w:color w:val="000000" w:themeColor="text1"/>
          <w:sz w:val="21"/>
          <w:szCs w:val="21"/>
        </w:rPr>
        <w:t>日和</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日付款每次支付</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万元，连续支付</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次</w:t>
      </w:r>
    </w:p>
    <w:p w14:paraId="5781CA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假设</w:t>
      </w:r>
      <w:r>
        <w:rPr>
          <w:rFonts w:hint="eastAsia" w:ascii="宋体" w:hAnsi="宋体" w:eastAsia="宋体" w:cs="宋体"/>
          <w:b w:val="0"/>
          <w:bCs/>
          <w:color w:val="000000" w:themeColor="text1"/>
          <w:sz w:val="21"/>
          <w:szCs w:val="21"/>
          <w:lang w:val="en-US" w:eastAsia="zh-CN"/>
        </w:rPr>
        <w:t>DL</w:t>
      </w:r>
      <w:r>
        <w:rPr>
          <w:rFonts w:hint="eastAsia" w:ascii="宋体" w:hAnsi="宋体" w:eastAsia="宋体" w:cs="宋体"/>
          <w:b w:val="0"/>
          <w:bCs/>
          <w:color w:val="000000" w:themeColor="text1"/>
          <w:sz w:val="21"/>
          <w:szCs w:val="21"/>
        </w:rPr>
        <w:t>公司投资收益率为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DL</w:t>
      </w:r>
      <w:r>
        <w:rPr>
          <w:rFonts w:hint="eastAsia" w:ascii="宋体" w:hAnsi="宋体" w:eastAsia="宋体" w:cs="宋体"/>
          <w:b w:val="0"/>
          <w:bCs/>
          <w:color w:val="000000" w:themeColor="text1"/>
          <w:sz w:val="21"/>
          <w:szCs w:val="21"/>
        </w:rPr>
        <w:t>公司应该选择哪个方案？</w:t>
      </w:r>
    </w:p>
    <w:p w14:paraId="147C14B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答案：</w:t>
      </w:r>
      <w:r>
        <w:rPr>
          <w:rFonts w:hint="eastAsia" w:ascii="宋体" w:hAnsi="宋体" w:eastAsia="宋体" w:cs="宋体"/>
          <w:b w:val="0"/>
          <w:bCs/>
          <w:color w:val="000000" w:themeColor="text1"/>
          <w:sz w:val="21"/>
          <w:szCs w:val="21"/>
        </w:rPr>
        <w:t>方案</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：现值＝</w:t>
      </w:r>
      <w:r>
        <w:rPr>
          <w:rFonts w:hint="eastAsia" w:ascii="宋体" w:hAnsi="宋体" w:eastAsia="宋体" w:cs="宋体"/>
          <w:b w:val="0"/>
          <w:bCs/>
          <w:color w:val="000000" w:themeColor="text1"/>
          <w:sz w:val="21"/>
          <w:szCs w:val="21"/>
          <w:lang w:val="en-US" w:eastAsia="zh-CN"/>
        </w:rPr>
        <w:t>10+28×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106.49</w:t>
      </w:r>
      <w:r>
        <w:rPr>
          <w:rFonts w:hint="eastAsia" w:ascii="宋体" w:hAnsi="宋体" w:eastAsia="宋体" w:cs="宋体"/>
          <w:b w:val="0"/>
          <w:bCs/>
          <w:color w:val="000000" w:themeColor="text1"/>
          <w:sz w:val="21"/>
          <w:szCs w:val="21"/>
        </w:rPr>
        <w:t>（万元）</w:t>
      </w:r>
    </w:p>
    <w:p w14:paraId="56F78BB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方案</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：现值</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普通年金现值＝</w:t>
      </w:r>
      <w:r>
        <w:rPr>
          <w:rFonts w:hint="eastAsia" w:ascii="宋体" w:hAnsi="宋体" w:eastAsia="宋体" w:cs="宋体"/>
          <w:b w:val="0"/>
          <w:bCs/>
          <w:color w:val="000000" w:themeColor="text1"/>
          <w:sz w:val="21"/>
          <w:szCs w:val="21"/>
          <w:lang w:val="en-US" w:eastAsia="zh-CN"/>
        </w:rPr>
        <w:t>5+25×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113.88</w:t>
      </w:r>
      <w:r>
        <w:rPr>
          <w:rFonts w:hint="eastAsia" w:ascii="宋体" w:hAnsi="宋体" w:eastAsia="宋体" w:cs="宋体"/>
          <w:b w:val="0"/>
          <w:bCs/>
          <w:color w:val="000000" w:themeColor="text1"/>
          <w:sz w:val="21"/>
          <w:szCs w:val="21"/>
        </w:rPr>
        <w:t>（万元）</w:t>
      </w:r>
    </w:p>
    <w:p w14:paraId="3B70EBE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方案</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：现值</w:t>
      </w:r>
      <w:r>
        <w:rPr>
          <w:rFonts w:hint="eastAsia" w:ascii="宋体" w:hAnsi="宋体" w:eastAsia="宋体" w:cs="宋体"/>
          <w:b w:val="0"/>
          <w:bCs/>
          <w:color w:val="000000" w:themeColor="text1"/>
          <w:sz w:val="21"/>
          <w:szCs w:val="21"/>
          <w:lang w:val="en-US" w:eastAsia="zh-CN"/>
        </w:rPr>
        <w:t>P</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普通年金现值＝</w:t>
      </w:r>
      <w:r>
        <w:rPr>
          <w:rFonts w:hint="eastAsia" w:ascii="宋体" w:hAnsi="宋体" w:eastAsia="宋体" w:cs="宋体"/>
          <w:b w:val="0"/>
          <w:bCs/>
          <w:color w:val="000000" w:themeColor="text1"/>
          <w:sz w:val="21"/>
          <w:szCs w:val="21"/>
          <w:lang w:val="en-US" w:eastAsia="zh-CN"/>
        </w:rPr>
        <w:t>10+15×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5% </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106.95</w:t>
      </w:r>
      <w:r>
        <w:rPr>
          <w:rFonts w:hint="eastAsia" w:ascii="宋体" w:hAnsi="宋体" w:eastAsia="宋体" w:cs="宋体"/>
          <w:b w:val="0"/>
          <w:bCs/>
          <w:color w:val="000000" w:themeColor="text1"/>
          <w:sz w:val="21"/>
          <w:szCs w:val="21"/>
        </w:rPr>
        <w:t>（万元）</w:t>
      </w:r>
    </w:p>
    <w:p w14:paraId="58019A0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因为方案</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的付款现值最小，所以应该选择方案</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p>
    <w:p w14:paraId="6A844E0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342A32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33D379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5195E9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47BF87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2】</w:t>
      </w:r>
      <w:r>
        <w:rPr>
          <w:rFonts w:hint="eastAsia" w:ascii="宋体" w:hAnsi="宋体" w:eastAsia="宋体" w:cs="宋体"/>
          <w:b w:val="0"/>
          <w:bCs/>
          <w:color w:val="FF0000"/>
          <w:sz w:val="21"/>
          <w:szCs w:val="21"/>
        </w:rPr>
        <w:t>利率的计算</w:t>
      </w:r>
    </w:p>
    <w:p w14:paraId="14E25D9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pict>
          <v:shape id="_x0000_s1027" o:spid="_x0000_s1027" o:spt="75" type="#_x0000_t75" style="position:absolute;left:0pt;margin-left:84.5pt;margin-top:4.95pt;height:110.35pt;width:329.55pt;mso-wrap-distance-left:9pt;mso-wrap-distance-right:9pt;z-index:-251656192;mso-width-relative:page;mso-height-relative:page;" filled="f" o:preferrelative="t" stroked="f" coordsize="21600,21600" wrapcoords="21592 -2 0 0 0 21600 21592 21602 8 21602 21600 21600 21600 0 8 -2 21592 -2">
            <v:path/>
            <v:fill on="f" focussize="0,0"/>
            <v:stroke on="f"/>
            <v:imagedata r:id="rId5" o:title=""/>
            <o:lock v:ext="edit" aspectratio="t"/>
            <w10:wrap type="tight"/>
          </v:shape>
        </w:pict>
      </w:r>
    </w:p>
    <w:p w14:paraId="699A35C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C25D29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8C8F32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36DFC3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D1117B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080F38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C157FC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某公司向银行借款</w:t>
      </w:r>
      <w:r>
        <w:rPr>
          <w:rFonts w:hint="eastAsia" w:ascii="宋体" w:hAnsi="宋体" w:eastAsia="宋体" w:cs="宋体"/>
          <w:b w:val="0"/>
          <w:bCs/>
          <w:color w:val="000000" w:themeColor="text1"/>
          <w:sz w:val="21"/>
          <w:szCs w:val="21"/>
          <w:lang w:val="en-US" w:eastAsia="zh-CN"/>
        </w:rPr>
        <w:t>1 000</w:t>
      </w:r>
      <w:r>
        <w:rPr>
          <w:rFonts w:hint="eastAsia" w:ascii="宋体" w:hAnsi="宋体" w:eastAsia="宋体" w:cs="宋体"/>
          <w:b w:val="0"/>
          <w:bCs/>
          <w:color w:val="000000" w:themeColor="text1"/>
          <w:sz w:val="21"/>
          <w:szCs w:val="21"/>
        </w:rPr>
        <w:t>万元，年利率为</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，按季度付息，期限为</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年，则该借款的实际年利率为。（  ）</w:t>
      </w:r>
    </w:p>
    <w:p w14:paraId="01E7F8D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 2.01%                  B.4.00%               </w:t>
      </w:r>
    </w:p>
    <w:p w14:paraId="55C3EC6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 4.04%                  D. 4.06%</w:t>
      </w:r>
    </w:p>
    <w:p w14:paraId="60B189F4">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第三章  预算管理</w:t>
      </w:r>
    </w:p>
    <w:p w14:paraId="65E07E9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4DC9EB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本章属于重点章节，考分在</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分左右，客观题与主观题均课呈现，考点如下：</w:t>
      </w:r>
    </w:p>
    <w:p w14:paraId="325B501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（一）预算的分类和体系</w:t>
      </w:r>
    </w:p>
    <w:p w14:paraId="1B6AB35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（二）预算编制方法（</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个）</w:t>
      </w:r>
    </w:p>
    <w:p w14:paraId="3FDDE5E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（三）预算编制具体内容</w:t>
      </w:r>
    </w:p>
    <w:p w14:paraId="19EA493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109906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1】</w:t>
      </w:r>
      <w:r>
        <w:rPr>
          <w:rFonts w:hint="eastAsia" w:ascii="宋体" w:hAnsi="宋体" w:eastAsia="宋体" w:cs="宋体"/>
          <w:b w:val="0"/>
          <w:bCs/>
          <w:color w:val="FF0000"/>
          <w:sz w:val="21"/>
          <w:szCs w:val="21"/>
        </w:rPr>
        <w:t>预算的分类和体系</w:t>
      </w:r>
    </w:p>
    <w:p w14:paraId="76413B7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4124D6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下列项目中，属于企业财务预算内容的有（  ）。</w:t>
      </w:r>
    </w:p>
    <w:p w14:paraId="1AB42FE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资本支出预算</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p>
    <w:p w14:paraId="28A6C34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现金预算    </w:t>
      </w:r>
    </w:p>
    <w:p w14:paraId="49E8D67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预计所有者权益变动表  </w:t>
      </w:r>
      <w:r>
        <w:rPr>
          <w:rFonts w:hint="eastAsia" w:ascii="宋体" w:hAnsi="宋体" w:eastAsia="宋体" w:cs="宋体"/>
          <w:b w:val="0"/>
          <w:bCs/>
          <w:color w:val="000000" w:themeColor="text1"/>
          <w:sz w:val="21"/>
          <w:szCs w:val="21"/>
        </w:rPr>
        <w:tab/>
      </w:r>
    </w:p>
    <w:p w14:paraId="2850B58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预计利润表</w:t>
      </w:r>
    </w:p>
    <w:p w14:paraId="15ECBE7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BD</w:t>
      </w:r>
    </w:p>
    <w:p w14:paraId="5C2B445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财务预算主要包括现金预算、预计利润表、预计资产负债表和预计现金流量表。故选</w:t>
      </w:r>
      <w:r>
        <w:rPr>
          <w:rFonts w:hint="eastAsia" w:ascii="宋体" w:hAnsi="宋体" w:eastAsia="宋体" w:cs="宋体"/>
          <w:b w:val="0"/>
          <w:bCs/>
          <w:color w:val="000000" w:themeColor="text1"/>
          <w:sz w:val="21"/>
          <w:szCs w:val="21"/>
          <w:lang w:val="en-US" w:eastAsia="zh-CN"/>
        </w:rPr>
        <w:t>BD</w:t>
      </w:r>
      <w:r>
        <w:rPr>
          <w:rFonts w:hint="eastAsia" w:ascii="宋体" w:hAnsi="宋体" w:eastAsia="宋体" w:cs="宋体"/>
          <w:b w:val="0"/>
          <w:bCs/>
          <w:color w:val="000000" w:themeColor="text1"/>
          <w:sz w:val="21"/>
          <w:szCs w:val="21"/>
        </w:rPr>
        <w:t>项。</w:t>
      </w:r>
    </w:p>
    <w:p w14:paraId="6415B7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8C9D1A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下列各项中，属于经营预算的有（  ）。</w:t>
      </w:r>
    </w:p>
    <w:p w14:paraId="7FA3EDD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资本支出预算</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生产预算</w:t>
      </w:r>
    </w:p>
    <w:p w14:paraId="5129E57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管理费用预算</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销售预算</w:t>
      </w:r>
    </w:p>
    <w:p w14:paraId="0656503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BCD</w:t>
      </w:r>
    </w:p>
    <w:p w14:paraId="1BAC16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项，为专门决策预算。生产预算、管理费用预算和销售预算属于经营预算。故选</w:t>
      </w:r>
      <w:r>
        <w:rPr>
          <w:rFonts w:hint="eastAsia" w:ascii="宋体" w:hAnsi="宋体" w:eastAsia="宋体" w:cs="宋体"/>
          <w:b w:val="0"/>
          <w:bCs/>
          <w:color w:val="000000" w:themeColor="text1"/>
          <w:sz w:val="21"/>
          <w:szCs w:val="21"/>
          <w:lang w:val="en-US" w:eastAsia="zh-CN"/>
        </w:rPr>
        <w:t>BCD</w:t>
      </w:r>
      <w:r>
        <w:rPr>
          <w:rFonts w:hint="eastAsia" w:ascii="宋体" w:hAnsi="宋体" w:eastAsia="宋体" w:cs="宋体"/>
          <w:b w:val="0"/>
          <w:bCs/>
          <w:color w:val="000000" w:themeColor="text1"/>
          <w:sz w:val="21"/>
          <w:szCs w:val="21"/>
        </w:rPr>
        <w:t>项。</w:t>
      </w:r>
    </w:p>
    <w:p w14:paraId="74B3C4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875E16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2】</w:t>
      </w:r>
      <w:r>
        <w:rPr>
          <w:rFonts w:hint="eastAsia" w:ascii="宋体" w:hAnsi="宋体" w:eastAsia="宋体" w:cs="宋体"/>
          <w:b w:val="0"/>
          <w:bCs/>
          <w:color w:val="FF0000"/>
          <w:sz w:val="21"/>
          <w:szCs w:val="21"/>
        </w:rPr>
        <w:t>预算编制方法（</w:t>
      </w:r>
      <w:r>
        <w:rPr>
          <w:rFonts w:hint="eastAsia" w:ascii="宋体" w:hAnsi="宋体" w:eastAsia="宋体" w:cs="宋体"/>
          <w:b w:val="0"/>
          <w:bCs/>
          <w:color w:val="FF0000"/>
          <w:sz w:val="21"/>
          <w:szCs w:val="21"/>
          <w:lang w:val="en-US" w:eastAsia="zh-CN"/>
        </w:rPr>
        <w:t>6</w:t>
      </w:r>
      <w:r>
        <w:rPr>
          <w:rFonts w:hint="eastAsia" w:ascii="宋体" w:hAnsi="宋体" w:eastAsia="宋体" w:cs="宋体"/>
          <w:b w:val="0"/>
          <w:bCs/>
          <w:color w:val="FF0000"/>
          <w:sz w:val="21"/>
          <w:szCs w:val="21"/>
        </w:rPr>
        <w:t>个）</w:t>
      </w:r>
    </w:p>
    <w:p w14:paraId="29EAD16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增量预算法与零基预算法</w:t>
      </w:r>
    </w:p>
    <w:p w14:paraId="4653032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固定预算法与弹性预算法</w:t>
      </w:r>
    </w:p>
    <w:p w14:paraId="25B4397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定期预算法与滚动预算法</w:t>
      </w:r>
    </w:p>
    <w:p w14:paraId="4ACD092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4CCC2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下列关于增量预算法和零基预算法的说法中，不正确的是（  ）。</w:t>
      </w:r>
    </w:p>
    <w:p w14:paraId="3D65C0E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增量预算法的前提条件是现有的业务活动是企业所必需的，原有的各项业务都是合理的</w:t>
      </w:r>
    </w:p>
    <w:p w14:paraId="27F2E5F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零基预算法适用于预算编制基础变化较大项目的预算编制</w:t>
      </w:r>
    </w:p>
    <w:p w14:paraId="7F57A29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增量预算法不利于调动各部门达成预算目标的积极性</w:t>
      </w:r>
    </w:p>
    <w:p w14:paraId="5E581EB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零基预算法能有效降低预算编制的工作量</w:t>
      </w:r>
    </w:p>
    <w:p w14:paraId="2FF9A63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06E5EDC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零基预算是在编制费用预算时，不考虑以往会计期间所发生的费用项目或费用数额，而是一切以零为出发点，从实际需要逐项审议预算期内各项费用的内容及开支标准是否合理，在综合平衡的基础上编制费用预算的一种方法。优点在于不受现有费用项目的限制、不受现行预算的束缚、能够调动各方面节约费用的积极性、有利于促使各基层单位精打细算，合理使用资金，真正发挥项目费用的作用。缺点在于预算工作量大。故选</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项。</w:t>
      </w:r>
    </w:p>
    <w:p w14:paraId="217A6B6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0BD48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某公司在编制成本费用预算时，利用成本性态模型（</w:t>
      </w:r>
      <w:r>
        <w:rPr>
          <w:rFonts w:hint="eastAsia" w:ascii="宋体" w:hAnsi="宋体" w:eastAsia="宋体" w:cs="宋体"/>
          <w:b w:val="0"/>
          <w:bCs/>
          <w:color w:val="000000" w:themeColor="text1"/>
          <w:sz w:val="21"/>
          <w:szCs w:val="21"/>
          <w:lang w:val="en-US" w:eastAsia="zh-CN"/>
        </w:rPr>
        <w:t>Y</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a+bX</w:t>
      </w:r>
      <w:r>
        <w:rPr>
          <w:rFonts w:hint="eastAsia" w:ascii="宋体" w:hAnsi="宋体" w:eastAsia="宋体" w:cs="宋体"/>
          <w:b w:val="0"/>
          <w:bCs/>
          <w:color w:val="000000" w:themeColor="text1"/>
          <w:sz w:val="21"/>
          <w:szCs w:val="21"/>
        </w:rPr>
        <w:t>），测算预算期内各种可能的业务量水平下的成本费用，这种预算编制方法是（  ）。</w:t>
      </w:r>
    </w:p>
    <w:p w14:paraId="474804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零基预算法</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ab/>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固定预算法</w:t>
      </w:r>
    </w:p>
    <w:p w14:paraId="15EBFF4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弹性预算法</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ab/>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滚动预算法</w:t>
      </w:r>
    </w:p>
    <w:p w14:paraId="2542500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29467F4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弹性预算法又称动态预算法，是在成本性态分析的基础上，依据业务量、成本和利润之间的联动关系，按照预算期内可能的一系列业务量（如生产量、销售量、工时等）水平编制系列预算的方法。利用总成本性态模型（</w:t>
      </w:r>
      <w:r>
        <w:rPr>
          <w:rFonts w:hint="eastAsia" w:ascii="宋体" w:hAnsi="宋体" w:eastAsia="宋体" w:cs="宋体"/>
          <w:b w:val="0"/>
          <w:bCs/>
          <w:color w:val="000000" w:themeColor="text1"/>
          <w:sz w:val="21"/>
          <w:szCs w:val="21"/>
          <w:lang w:val="en-US" w:eastAsia="zh-CN"/>
        </w:rPr>
        <w:t>Y</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a+bx</w:t>
      </w:r>
      <w:r>
        <w:rPr>
          <w:rFonts w:hint="eastAsia" w:ascii="宋体" w:hAnsi="宋体" w:eastAsia="宋体" w:cs="宋体"/>
          <w:b w:val="0"/>
          <w:bCs/>
          <w:color w:val="000000" w:themeColor="text1"/>
          <w:sz w:val="21"/>
          <w:szCs w:val="21"/>
        </w:rPr>
        <w:t>）对应的是弹性预算法中的公式法。故选</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项。</w:t>
      </w:r>
    </w:p>
    <w:p w14:paraId="215ED1E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EECA5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可以使预算连续和完整，并能克服定期预算缺点的预算方法是（  ）。</w:t>
      </w:r>
    </w:p>
    <w:p w14:paraId="0A55F9F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弹性预算</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零基预算       </w:t>
      </w:r>
    </w:p>
    <w:p w14:paraId="383D6CB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滚动预算</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固定预算</w:t>
      </w:r>
    </w:p>
    <w:p w14:paraId="78AB4DE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5BB768B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定期预算的缺点是具有滞后性和间断性。由于滚动预算随着预算的执行不断补充，逐期向后滚动，因此滚动预算能够使预算连续和完整。故选</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项。</w:t>
      </w:r>
    </w:p>
    <w:p w14:paraId="27B808E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B7F838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下列预算方法中，可能使预算期间与会计期间分离的预算方法是（  ）。</w:t>
      </w:r>
    </w:p>
    <w:p w14:paraId="5BEDD85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定期预算</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滚动预算        </w:t>
      </w:r>
    </w:p>
    <w:p w14:paraId="355A7F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零基预算</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弹性预算</w:t>
      </w:r>
    </w:p>
    <w:p w14:paraId="519804D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73A3D6E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滚动预算是指在编制预算时，将预算期间与会计期间脱离开，随着预算的执行不断地补充预算，逐期向后滚动，使预算期始终保持为一个固定长度的一种预算方法。故选</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项</w:t>
      </w:r>
    </w:p>
    <w:p w14:paraId="6089068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7777CA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3】</w:t>
      </w:r>
      <w:r>
        <w:rPr>
          <w:rFonts w:hint="eastAsia" w:ascii="宋体" w:hAnsi="宋体" w:eastAsia="宋体" w:cs="宋体"/>
          <w:b w:val="0"/>
          <w:bCs/>
          <w:color w:val="FF0000"/>
          <w:sz w:val="21"/>
          <w:szCs w:val="21"/>
        </w:rPr>
        <w:t>预算编制</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经营预算</w:t>
      </w:r>
    </w:p>
    <w:p w14:paraId="10853EA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5EE2CC2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公司编制下一年的生产预算，每季度末产成品存货按照下季度销量的</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予以安排，预计第二季度和第三季度的销售量分别为</w:t>
      </w:r>
      <w:r>
        <w:rPr>
          <w:rFonts w:hint="eastAsia" w:ascii="宋体" w:hAnsi="宋体" w:eastAsia="宋体" w:cs="宋体"/>
          <w:b w:val="0"/>
          <w:bCs/>
          <w:color w:val="000000" w:themeColor="text1"/>
          <w:sz w:val="21"/>
          <w:szCs w:val="21"/>
          <w:lang w:val="en-US" w:eastAsia="zh-CN"/>
        </w:rPr>
        <w:t>150</w:t>
      </w:r>
      <w:r>
        <w:rPr>
          <w:rFonts w:hint="eastAsia" w:ascii="宋体" w:hAnsi="宋体" w:eastAsia="宋体" w:cs="宋体"/>
          <w:b w:val="0"/>
          <w:bCs/>
          <w:color w:val="000000" w:themeColor="text1"/>
          <w:sz w:val="21"/>
          <w:szCs w:val="21"/>
        </w:rPr>
        <w:t>件和</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件，则第二季度的预计生产量为（  ）件。</w:t>
      </w:r>
    </w:p>
    <w:p w14:paraId="7B30902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A.190        B.140         C.160         D.170</w:t>
      </w:r>
    </w:p>
    <w:p w14:paraId="7ADC589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647A323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第二季度的预计生产量＝第二季度的销售量＋第二季度的期末存量－第一季度的期末存量＝</w:t>
      </w:r>
      <w:r>
        <w:rPr>
          <w:rFonts w:hint="eastAsia" w:ascii="宋体" w:hAnsi="宋体" w:eastAsia="宋体" w:cs="宋体"/>
          <w:b w:val="0"/>
          <w:bCs/>
          <w:color w:val="000000" w:themeColor="text1"/>
          <w:sz w:val="21"/>
          <w:szCs w:val="21"/>
          <w:lang w:val="en-US" w:eastAsia="zh-CN"/>
        </w:rPr>
        <w:t>150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150×20%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160</w:t>
      </w:r>
      <w:r>
        <w:rPr>
          <w:rFonts w:hint="eastAsia" w:ascii="宋体" w:hAnsi="宋体" w:eastAsia="宋体" w:cs="宋体"/>
          <w:b w:val="0"/>
          <w:bCs/>
          <w:color w:val="000000" w:themeColor="text1"/>
          <w:sz w:val="21"/>
          <w:szCs w:val="21"/>
        </w:rPr>
        <w:t>（件）</w:t>
      </w:r>
    </w:p>
    <w:p w14:paraId="6F167C8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0BE2B2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某企业</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年度预计生产某产品</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件，单位产品耗用材料</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千克，该材料期初存量为</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千克，预计期末存量为</w:t>
      </w:r>
      <w:r>
        <w:rPr>
          <w:rFonts w:hint="eastAsia" w:ascii="宋体" w:hAnsi="宋体" w:eastAsia="宋体" w:cs="宋体"/>
          <w:b w:val="0"/>
          <w:bCs/>
          <w:color w:val="000000" w:themeColor="text1"/>
          <w:sz w:val="21"/>
          <w:szCs w:val="21"/>
          <w:lang w:val="en-US" w:eastAsia="zh-CN"/>
        </w:rPr>
        <w:t>3000</w:t>
      </w:r>
      <w:r>
        <w:rPr>
          <w:rFonts w:hint="eastAsia" w:ascii="宋体" w:hAnsi="宋体" w:eastAsia="宋体" w:cs="宋体"/>
          <w:b w:val="0"/>
          <w:bCs/>
          <w:color w:val="000000" w:themeColor="text1"/>
          <w:sz w:val="21"/>
          <w:szCs w:val="21"/>
        </w:rPr>
        <w:t>千克，则全年预计采购量为（  ）千克。</w:t>
      </w:r>
    </w:p>
    <w:p w14:paraId="7C3668E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A.16000       B.17000       C.15000          D.18000</w:t>
      </w:r>
    </w:p>
    <w:p w14:paraId="4B6DC73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6190103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全年预计采购量＝预计生产需要量＋期末材料存量－期初材料存量＝预计生产量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单位产品消耗量＋期末材料存量－期初材料存量＝</w:t>
      </w:r>
      <w:r>
        <w:rPr>
          <w:rFonts w:hint="eastAsia" w:ascii="宋体" w:hAnsi="宋体" w:eastAsia="宋体" w:cs="宋体"/>
          <w:b w:val="0"/>
          <w:bCs/>
          <w:color w:val="000000" w:themeColor="text1"/>
          <w:sz w:val="21"/>
          <w:szCs w:val="21"/>
          <w:lang w:val="en-US" w:eastAsia="zh-CN"/>
        </w:rPr>
        <w:t>1000×15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17000</w:t>
      </w:r>
      <w:r>
        <w:rPr>
          <w:rFonts w:hint="eastAsia" w:ascii="宋体" w:hAnsi="宋体" w:eastAsia="宋体" w:cs="宋体"/>
          <w:b w:val="0"/>
          <w:bCs/>
          <w:color w:val="000000" w:themeColor="text1"/>
          <w:sz w:val="21"/>
          <w:szCs w:val="21"/>
        </w:rPr>
        <w:t>（千克）。</w:t>
      </w:r>
    </w:p>
    <w:p w14:paraId="7316B5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5AA4E0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全面预算体系中，编制产品成本预算的依据包括（  ）。</w:t>
      </w:r>
    </w:p>
    <w:p w14:paraId="3134428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制造费用预算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直接材料预算     </w:t>
      </w:r>
    </w:p>
    <w:p w14:paraId="7E7A06D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直接人工预算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生产预算</w:t>
      </w:r>
    </w:p>
    <w:p w14:paraId="6AEFCD7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ABCD</w:t>
      </w:r>
    </w:p>
    <w:p w14:paraId="67192C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产品成本预算是销售预算、生产预算、直接材料预算、直接人工预算和制造费用预算的汇总。</w:t>
      </w:r>
    </w:p>
    <w:p w14:paraId="274ACCE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7D569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制造业企业在编制利润表预算时，“销售成本”项目数据来源是（  ）。</w:t>
      </w:r>
    </w:p>
    <w:p w14:paraId="30E0C9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销售预算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生产预算     </w:t>
      </w:r>
    </w:p>
    <w:p w14:paraId="77E4CE7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直接材料预算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产品成本预算</w:t>
      </w:r>
    </w:p>
    <w:p w14:paraId="41A1636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7A8943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产品成本预算的内容包括单位成本、生产成本、期末存货成本和销货成本。</w:t>
      </w:r>
    </w:p>
    <w:p w14:paraId="4B69F57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E0803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某企业批发销售甲产品，某年</w:t>
      </w:r>
      <w:r>
        <w:rPr>
          <w:rFonts w:hint="eastAsia" w:ascii="宋体" w:hAnsi="宋体" w:eastAsia="宋体" w:cs="宋体"/>
          <w:b w:val="0"/>
          <w:bCs/>
          <w:color w:val="000000" w:themeColor="text1"/>
          <w:sz w:val="21"/>
          <w:szCs w:val="21"/>
          <w:lang w:val="en-US" w:eastAsia="zh-CN"/>
        </w:rPr>
        <w:t>7~10</w:t>
      </w:r>
      <w:r>
        <w:rPr>
          <w:rFonts w:hint="eastAsia" w:ascii="宋体" w:hAnsi="宋体" w:eastAsia="宋体" w:cs="宋体"/>
          <w:b w:val="0"/>
          <w:bCs/>
          <w:color w:val="000000" w:themeColor="text1"/>
          <w:sz w:val="21"/>
          <w:szCs w:val="21"/>
        </w:rPr>
        <w:t>月各月预计的销售量分别为</w:t>
      </w:r>
      <w:r>
        <w:rPr>
          <w:rFonts w:hint="eastAsia" w:ascii="宋体" w:hAnsi="宋体" w:eastAsia="宋体" w:cs="宋体"/>
          <w:b w:val="0"/>
          <w:bCs/>
          <w:color w:val="000000" w:themeColor="text1"/>
          <w:sz w:val="21"/>
          <w:szCs w:val="21"/>
          <w:lang w:val="en-US" w:eastAsia="zh-CN"/>
        </w:rPr>
        <w:t>1 000</w:t>
      </w:r>
      <w:r>
        <w:rPr>
          <w:rFonts w:hint="eastAsia" w:ascii="宋体" w:hAnsi="宋体" w:eastAsia="宋体" w:cs="宋体"/>
          <w:b w:val="0"/>
          <w:bCs/>
          <w:color w:val="000000" w:themeColor="text1"/>
          <w:sz w:val="21"/>
          <w:szCs w:val="21"/>
        </w:rPr>
        <w:t>件、</w:t>
      </w:r>
      <w:r>
        <w:rPr>
          <w:rFonts w:hint="eastAsia" w:ascii="宋体" w:hAnsi="宋体" w:eastAsia="宋体" w:cs="宋体"/>
          <w:b w:val="0"/>
          <w:bCs/>
          <w:color w:val="000000" w:themeColor="text1"/>
          <w:sz w:val="21"/>
          <w:szCs w:val="21"/>
          <w:lang w:val="en-US" w:eastAsia="zh-CN"/>
        </w:rPr>
        <w:t>1 200</w:t>
      </w:r>
      <w:r>
        <w:rPr>
          <w:rFonts w:hint="eastAsia" w:ascii="宋体" w:hAnsi="宋体" w:eastAsia="宋体" w:cs="宋体"/>
          <w:b w:val="0"/>
          <w:bCs/>
          <w:color w:val="000000" w:themeColor="text1"/>
          <w:sz w:val="21"/>
          <w:szCs w:val="21"/>
        </w:rPr>
        <w:t>件、</w:t>
      </w:r>
      <w:r>
        <w:rPr>
          <w:rFonts w:hint="eastAsia" w:ascii="宋体" w:hAnsi="宋体" w:eastAsia="宋体" w:cs="宋体"/>
          <w:b w:val="0"/>
          <w:bCs/>
          <w:color w:val="000000" w:themeColor="text1"/>
          <w:sz w:val="21"/>
          <w:szCs w:val="21"/>
          <w:lang w:val="en-US" w:eastAsia="zh-CN"/>
        </w:rPr>
        <w:t>1 100</w:t>
      </w:r>
      <w:r>
        <w:rPr>
          <w:rFonts w:hint="eastAsia" w:ascii="宋体" w:hAnsi="宋体" w:eastAsia="宋体" w:cs="宋体"/>
          <w:b w:val="0"/>
          <w:bCs/>
          <w:color w:val="000000" w:themeColor="text1"/>
          <w:sz w:val="21"/>
          <w:szCs w:val="21"/>
        </w:rPr>
        <w:t>件和</w:t>
      </w:r>
      <w:r>
        <w:rPr>
          <w:rFonts w:hint="eastAsia" w:ascii="宋体" w:hAnsi="宋体" w:eastAsia="宋体" w:cs="宋体"/>
          <w:b w:val="0"/>
          <w:bCs/>
          <w:color w:val="000000" w:themeColor="text1"/>
          <w:sz w:val="21"/>
          <w:szCs w:val="21"/>
          <w:lang w:val="en-US" w:eastAsia="zh-CN"/>
        </w:rPr>
        <w:t>1 500</w:t>
      </w:r>
      <w:r>
        <w:rPr>
          <w:rFonts w:hint="eastAsia" w:ascii="宋体" w:hAnsi="宋体" w:eastAsia="宋体" w:cs="宋体"/>
          <w:b w:val="0"/>
          <w:bCs/>
          <w:color w:val="000000" w:themeColor="text1"/>
          <w:sz w:val="21"/>
          <w:szCs w:val="21"/>
        </w:rPr>
        <w:t>件，企业计划每月月末商品存货为下月预计销售量的</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。下列各项计算中，正确的有（  ）。</w:t>
      </w:r>
    </w:p>
    <w:p w14:paraId="7AA9105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A.8</w:t>
      </w:r>
      <w:r>
        <w:rPr>
          <w:rFonts w:hint="eastAsia" w:ascii="宋体" w:hAnsi="宋体" w:eastAsia="宋体" w:cs="宋体"/>
          <w:b w:val="0"/>
          <w:bCs/>
          <w:color w:val="000000" w:themeColor="text1"/>
          <w:sz w:val="21"/>
          <w:szCs w:val="21"/>
        </w:rPr>
        <w:t>月期初存货为</w:t>
      </w:r>
      <w:r>
        <w:rPr>
          <w:rFonts w:hint="eastAsia" w:ascii="宋体" w:hAnsi="宋体" w:eastAsia="宋体" w:cs="宋体"/>
          <w:b w:val="0"/>
          <w:bCs/>
          <w:color w:val="000000" w:themeColor="text1"/>
          <w:sz w:val="21"/>
          <w:szCs w:val="21"/>
          <w:lang w:val="en-US" w:eastAsia="zh-CN"/>
        </w:rPr>
        <w:t>240</w:t>
      </w:r>
      <w:r>
        <w:rPr>
          <w:rFonts w:hint="eastAsia" w:ascii="宋体" w:hAnsi="宋体" w:eastAsia="宋体" w:cs="宋体"/>
          <w:b w:val="0"/>
          <w:bCs/>
          <w:color w:val="000000" w:themeColor="text1"/>
          <w:sz w:val="21"/>
          <w:szCs w:val="21"/>
        </w:rPr>
        <w:t xml:space="preserve">件              </w:t>
      </w:r>
      <w:r>
        <w:rPr>
          <w:rFonts w:hint="eastAsia" w:ascii="宋体" w:hAnsi="宋体" w:eastAsia="宋体" w:cs="宋体"/>
          <w:b w:val="0"/>
          <w:bCs/>
          <w:color w:val="000000" w:themeColor="text1"/>
          <w:sz w:val="21"/>
          <w:szCs w:val="21"/>
          <w:lang w:val="en-US" w:eastAsia="zh-CN"/>
        </w:rPr>
        <w:t>B.8</w:t>
      </w:r>
      <w:r>
        <w:rPr>
          <w:rFonts w:hint="eastAsia" w:ascii="宋体" w:hAnsi="宋体" w:eastAsia="宋体" w:cs="宋体"/>
          <w:b w:val="0"/>
          <w:bCs/>
          <w:color w:val="000000" w:themeColor="text1"/>
          <w:sz w:val="21"/>
          <w:szCs w:val="21"/>
        </w:rPr>
        <w:t>月采购量为</w:t>
      </w:r>
      <w:r>
        <w:rPr>
          <w:rFonts w:hint="eastAsia" w:ascii="宋体" w:hAnsi="宋体" w:eastAsia="宋体" w:cs="宋体"/>
          <w:b w:val="0"/>
          <w:bCs/>
          <w:color w:val="000000" w:themeColor="text1"/>
          <w:sz w:val="21"/>
          <w:szCs w:val="21"/>
          <w:lang w:val="en-US" w:eastAsia="zh-CN"/>
        </w:rPr>
        <w:t>1180</w:t>
      </w:r>
      <w:r>
        <w:rPr>
          <w:rFonts w:hint="eastAsia" w:ascii="宋体" w:hAnsi="宋体" w:eastAsia="宋体" w:cs="宋体"/>
          <w:b w:val="0"/>
          <w:bCs/>
          <w:color w:val="000000" w:themeColor="text1"/>
          <w:sz w:val="21"/>
          <w:szCs w:val="21"/>
        </w:rPr>
        <w:t>件</w:t>
      </w:r>
    </w:p>
    <w:p w14:paraId="4BBA204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第三季度采购量为</w:t>
      </w:r>
      <w:r>
        <w:rPr>
          <w:rFonts w:hint="eastAsia" w:ascii="宋体" w:hAnsi="宋体" w:eastAsia="宋体" w:cs="宋体"/>
          <w:b w:val="0"/>
          <w:bCs/>
          <w:color w:val="000000" w:themeColor="text1"/>
          <w:sz w:val="21"/>
          <w:szCs w:val="21"/>
          <w:lang w:val="en-US" w:eastAsia="zh-CN"/>
        </w:rPr>
        <w:t>3300</w:t>
      </w:r>
      <w:r>
        <w:rPr>
          <w:rFonts w:hint="eastAsia" w:ascii="宋体" w:hAnsi="宋体" w:eastAsia="宋体" w:cs="宋体"/>
          <w:b w:val="0"/>
          <w:bCs/>
          <w:color w:val="000000" w:themeColor="text1"/>
          <w:sz w:val="21"/>
          <w:szCs w:val="21"/>
        </w:rPr>
        <w:t xml:space="preserve">件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D.8</w:t>
      </w:r>
      <w:r>
        <w:rPr>
          <w:rFonts w:hint="eastAsia" w:ascii="宋体" w:hAnsi="宋体" w:eastAsia="宋体" w:cs="宋体"/>
          <w:b w:val="0"/>
          <w:bCs/>
          <w:color w:val="000000" w:themeColor="text1"/>
          <w:sz w:val="21"/>
          <w:szCs w:val="21"/>
        </w:rPr>
        <w:t>月期末存货为</w:t>
      </w:r>
      <w:r>
        <w:rPr>
          <w:rFonts w:hint="eastAsia" w:ascii="宋体" w:hAnsi="宋体" w:eastAsia="宋体" w:cs="宋体"/>
          <w:b w:val="0"/>
          <w:bCs/>
          <w:color w:val="000000" w:themeColor="text1"/>
          <w:sz w:val="21"/>
          <w:szCs w:val="21"/>
          <w:lang w:val="en-US" w:eastAsia="zh-CN"/>
        </w:rPr>
        <w:t>220</w:t>
      </w:r>
      <w:r>
        <w:rPr>
          <w:rFonts w:hint="eastAsia" w:ascii="宋体" w:hAnsi="宋体" w:eastAsia="宋体" w:cs="宋体"/>
          <w:b w:val="0"/>
          <w:bCs/>
          <w:color w:val="000000" w:themeColor="text1"/>
          <w:sz w:val="21"/>
          <w:szCs w:val="21"/>
        </w:rPr>
        <w:t>件</w:t>
      </w:r>
    </w:p>
    <w:p w14:paraId="431D46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ABD</w:t>
      </w:r>
    </w:p>
    <w:p w14:paraId="1BDB346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月期初存货量</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月期末存货量</w:t>
      </w:r>
      <w:r>
        <w:rPr>
          <w:rFonts w:hint="eastAsia" w:ascii="宋体" w:hAnsi="宋体" w:eastAsia="宋体" w:cs="宋体"/>
          <w:b w:val="0"/>
          <w:bCs/>
          <w:color w:val="000000" w:themeColor="text1"/>
          <w:sz w:val="21"/>
          <w:szCs w:val="21"/>
          <w:lang w:val="en-US" w:eastAsia="zh-CN"/>
        </w:rPr>
        <w:t xml:space="preserve">=1 200×20% =240 </w:t>
      </w:r>
      <w:r>
        <w:rPr>
          <w:rFonts w:hint="eastAsia" w:ascii="宋体" w:hAnsi="宋体" w:eastAsia="宋体" w:cs="宋体"/>
          <w:b w:val="0"/>
          <w:bCs/>
          <w:color w:val="000000" w:themeColor="text1"/>
          <w:sz w:val="21"/>
          <w:szCs w:val="21"/>
        </w:rPr>
        <w:t>（件）；</w:t>
      </w:r>
      <w:r>
        <w:rPr>
          <w:rFonts w:hint="eastAsia" w:ascii="宋体" w:hAnsi="宋体" w:eastAsia="宋体" w:cs="宋体"/>
          <w:b w:val="0"/>
          <w:bCs/>
          <w:color w:val="000000" w:themeColor="text1"/>
          <w:sz w:val="21"/>
          <w:szCs w:val="21"/>
          <w:lang w:val="en-US" w:eastAsia="zh-CN"/>
        </w:rPr>
        <w:t xml:space="preserve"> 8</w:t>
      </w:r>
      <w:r>
        <w:rPr>
          <w:rFonts w:hint="eastAsia" w:ascii="宋体" w:hAnsi="宋体" w:eastAsia="宋体" w:cs="宋体"/>
          <w:b w:val="0"/>
          <w:bCs/>
          <w:color w:val="000000" w:themeColor="text1"/>
          <w:sz w:val="21"/>
          <w:szCs w:val="21"/>
        </w:rPr>
        <w:t>月期末存货量</w:t>
      </w:r>
      <w:r>
        <w:rPr>
          <w:rFonts w:hint="eastAsia" w:ascii="宋体" w:hAnsi="宋体" w:eastAsia="宋体" w:cs="宋体"/>
          <w:b w:val="0"/>
          <w:bCs/>
          <w:color w:val="000000" w:themeColor="text1"/>
          <w:sz w:val="21"/>
          <w:szCs w:val="21"/>
          <w:lang w:val="en-US" w:eastAsia="zh-CN"/>
        </w:rPr>
        <w:t xml:space="preserve">=1 100×20% =220 </w:t>
      </w:r>
      <w:r>
        <w:rPr>
          <w:rFonts w:hint="eastAsia" w:ascii="宋体" w:hAnsi="宋体" w:eastAsia="宋体" w:cs="宋体"/>
          <w:b w:val="0"/>
          <w:bCs/>
          <w:color w:val="000000" w:themeColor="text1"/>
          <w:sz w:val="21"/>
          <w:szCs w:val="21"/>
        </w:rPr>
        <w:t>（件）；</w:t>
      </w:r>
      <w:r>
        <w:rPr>
          <w:rFonts w:hint="eastAsia" w:ascii="宋体" w:hAnsi="宋体" w:eastAsia="宋体" w:cs="宋体"/>
          <w:b w:val="0"/>
          <w:bCs/>
          <w:color w:val="000000" w:themeColor="text1"/>
          <w:sz w:val="21"/>
          <w:szCs w:val="21"/>
          <w:lang w:val="en-US" w:eastAsia="zh-CN"/>
        </w:rPr>
        <w:t xml:space="preserve"> 8</w:t>
      </w:r>
      <w:r>
        <w:rPr>
          <w:rFonts w:hint="eastAsia" w:ascii="宋体" w:hAnsi="宋体" w:eastAsia="宋体" w:cs="宋体"/>
          <w:b w:val="0"/>
          <w:bCs/>
          <w:color w:val="000000" w:themeColor="text1"/>
          <w:sz w:val="21"/>
          <w:szCs w:val="21"/>
        </w:rPr>
        <w:t>月采购量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本月销售量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月末存货量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月初存货量</w:t>
      </w:r>
      <w:r>
        <w:rPr>
          <w:rFonts w:hint="eastAsia" w:ascii="宋体" w:hAnsi="宋体" w:eastAsia="宋体" w:cs="宋体"/>
          <w:b w:val="0"/>
          <w:bCs/>
          <w:color w:val="000000" w:themeColor="text1"/>
          <w:sz w:val="21"/>
          <w:szCs w:val="21"/>
          <w:lang w:val="en-US" w:eastAsia="zh-CN"/>
        </w:rPr>
        <w:t xml:space="preserve">=1 200+220-240=1 180 </w:t>
      </w:r>
      <w:r>
        <w:rPr>
          <w:rFonts w:hint="eastAsia" w:ascii="宋体" w:hAnsi="宋体" w:eastAsia="宋体" w:cs="宋体"/>
          <w:b w:val="0"/>
          <w:bCs/>
          <w:color w:val="000000" w:themeColor="text1"/>
          <w:sz w:val="21"/>
          <w:szCs w:val="21"/>
        </w:rPr>
        <w:t>（件）；所以选项</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均正确；第三季度采购量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第三季度销售量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第三季度期末存货量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第三季度期初存货量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1000+1 200+1 100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+1 500×20% -1 000×20% =3 300 +300-200=3 400.</w:t>
      </w:r>
      <w:r>
        <w:rPr>
          <w:rFonts w:hint="eastAsia" w:ascii="宋体" w:hAnsi="宋体" w:eastAsia="宋体" w:cs="宋体"/>
          <w:b w:val="0"/>
          <w:bCs/>
          <w:color w:val="000000" w:themeColor="text1"/>
          <w:sz w:val="21"/>
          <w:szCs w:val="21"/>
        </w:rPr>
        <w:t>（件），所以选项</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不正确。</w:t>
      </w:r>
    </w:p>
    <w:p w14:paraId="13314AC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5235AC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4】</w:t>
      </w:r>
      <w:r>
        <w:rPr>
          <w:rFonts w:hint="eastAsia" w:ascii="宋体" w:hAnsi="宋体" w:eastAsia="宋体" w:cs="宋体"/>
          <w:b w:val="0"/>
          <w:bCs/>
          <w:color w:val="FF0000"/>
          <w:sz w:val="21"/>
          <w:szCs w:val="21"/>
        </w:rPr>
        <w:t>财务预算编制</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资金预算</w:t>
      </w:r>
    </w:p>
    <w:p w14:paraId="66EE140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B4D7C1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pict>
          <v:shape id="_x0000_s1030" o:spid="_x0000_s1030" o:spt="75" type="#_x0000_t75" style="position:absolute;left:0pt;margin-left:107.35pt;margin-top:0pt;height:136.95pt;width:283.85pt;mso-wrap-distance-left:9pt;mso-wrap-distance-right:9pt;z-index:-251653120;mso-width-relative:page;mso-height-relative:page;" filled="f" o:preferrelative="t" stroked="f" coordsize="21600,21600" wrapcoords="21592 -2 0 0 0 21600 21592 21602 8 21602 21600 21600 21600 0 8 -2 21592 -2">
            <v:path/>
            <v:fill on="f" focussize="0,0"/>
            <v:stroke on="f"/>
            <v:imagedata r:id="rId6" o:title=""/>
            <o:lock v:ext="edit" aspectratio="t"/>
            <w10:wrap type="tight"/>
          </v:shape>
        </w:pict>
      </w:r>
    </w:p>
    <w:p w14:paraId="6A2A820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7FD413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1E29A6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A0BBAB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49A8F7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6E64A65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54892E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B530DB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在编制资金预算时，计算某期现金余缺不需考虑的因素是（  ）。</w:t>
      </w:r>
    </w:p>
    <w:p w14:paraId="6928F99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期初现金余额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当期现金收入    </w:t>
      </w:r>
    </w:p>
    <w:p w14:paraId="3CE5360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当期现金支出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现金筹措与运用</w:t>
      </w:r>
    </w:p>
    <w:p w14:paraId="784CE22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 xml:space="preserve"> D</w:t>
      </w:r>
    </w:p>
    <w:p w14:paraId="6F8AA1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因为“某期现金余缺</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该期可运用现金合计</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该期现金支出</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期初现金余额</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当期现金收入</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该期现金支出”，所以本题答案为选项</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w:t>
      </w:r>
    </w:p>
    <w:p w14:paraId="66113F4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1D44D9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资金预算由可供使用现金、现金支出、现金余缺、现金筹揩与运用四部分构成。下列项目，不能列示在“现金支出”部分的是（  ）</w:t>
      </w:r>
    </w:p>
    <w:p w14:paraId="0BE4DA2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所得税费用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购买设备支出     </w:t>
      </w:r>
    </w:p>
    <w:p w14:paraId="1A08781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借款利息费用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股利分配</w:t>
      </w:r>
    </w:p>
    <w:p w14:paraId="2B1A568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 xml:space="preserve"> C</w:t>
      </w:r>
    </w:p>
    <w:p w14:paraId="0519FD3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现金支出“部分包括预算期的各项现金支出。包括“直接材料”“直接人工”“ 制造费用”“销售及管理费用”“购买设备”等，还包括所得税费用、股利分配等现金支出，借款利息费用在“现金筹措与运用”部分列示。所以本题答案为选项</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w:t>
      </w:r>
    </w:p>
    <w:p w14:paraId="1185674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5957FB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某企业编制第四季度资金预算，现金余缺部分列示金额为</w:t>
      </w:r>
      <w:r>
        <w:rPr>
          <w:rFonts w:hint="eastAsia" w:ascii="宋体" w:hAnsi="宋体" w:eastAsia="宋体" w:cs="宋体"/>
          <w:b w:val="0"/>
          <w:bCs/>
          <w:color w:val="000000" w:themeColor="text1"/>
          <w:sz w:val="21"/>
          <w:szCs w:val="21"/>
          <w:lang w:val="en-US" w:eastAsia="zh-CN"/>
        </w:rPr>
        <w:t>-18500</w:t>
      </w:r>
      <w:r>
        <w:rPr>
          <w:rFonts w:hint="eastAsia" w:ascii="宋体" w:hAnsi="宋体" w:eastAsia="宋体" w:cs="宋体"/>
          <w:b w:val="0"/>
          <w:bCs/>
          <w:color w:val="000000" w:themeColor="text1"/>
          <w:sz w:val="21"/>
          <w:szCs w:val="21"/>
        </w:rPr>
        <w:t>元，现金筹措与运用部分列示归还长期借款利息</w:t>
      </w:r>
      <w:r>
        <w:rPr>
          <w:rFonts w:hint="eastAsia" w:ascii="宋体" w:hAnsi="宋体" w:eastAsia="宋体" w:cs="宋体"/>
          <w:b w:val="0"/>
          <w:bCs/>
          <w:color w:val="000000" w:themeColor="text1"/>
          <w:sz w:val="21"/>
          <w:szCs w:val="21"/>
          <w:lang w:val="en-US" w:eastAsia="zh-CN"/>
        </w:rPr>
        <w:t>500</w:t>
      </w:r>
      <w:r>
        <w:rPr>
          <w:rFonts w:hint="eastAsia" w:ascii="宋体" w:hAnsi="宋体" w:eastAsia="宋体" w:cs="宋体"/>
          <w:b w:val="0"/>
          <w:bCs/>
          <w:color w:val="000000" w:themeColor="text1"/>
          <w:sz w:val="21"/>
          <w:szCs w:val="21"/>
        </w:rPr>
        <w:t>元。企业需要保留的现金余额为</w:t>
      </w:r>
      <w:r>
        <w:rPr>
          <w:rFonts w:hint="eastAsia" w:ascii="宋体" w:hAnsi="宋体" w:eastAsia="宋体" w:cs="宋体"/>
          <w:b w:val="0"/>
          <w:bCs/>
          <w:color w:val="000000" w:themeColor="text1"/>
          <w:sz w:val="21"/>
          <w:szCs w:val="21"/>
          <w:lang w:val="en-US" w:eastAsia="zh-CN"/>
        </w:rPr>
        <w:t>10000</w:t>
      </w:r>
      <w:r>
        <w:rPr>
          <w:rFonts w:hint="eastAsia" w:ascii="宋体" w:hAnsi="宋体" w:eastAsia="宋体" w:cs="宋体"/>
          <w:b w:val="0"/>
          <w:bCs/>
          <w:color w:val="000000" w:themeColor="text1"/>
          <w:sz w:val="21"/>
          <w:szCs w:val="21"/>
        </w:rPr>
        <w:t>元，若现金不足需借入短期借款，短期借款年利率为</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，新增借款发生在季度期初，偿还借款本金发生在季度期末，先偿还短期借款；借款利息按季度平均计提，并在季度期末偿还。银行借款的金额要求是</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元的整数倍，那么企业第四季度的借款额为（  ）元。</w:t>
      </w:r>
    </w:p>
    <w:p w14:paraId="15F2CEC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A.30000      B.29000      C.32000         D.31000</w:t>
      </w:r>
    </w:p>
    <w:p w14:paraId="4649B8A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2A0B8F6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 xml:space="preserve">企业第四季度最低借款额计算：  </w:t>
      </w:r>
      <w:r>
        <w:rPr>
          <w:rFonts w:hint="eastAsia" w:ascii="宋体" w:hAnsi="宋体" w:eastAsia="宋体" w:cs="宋体"/>
          <w:b w:val="0"/>
          <w:bCs/>
          <w:color w:val="000000" w:themeColor="text1"/>
          <w:sz w:val="21"/>
          <w:szCs w:val="21"/>
          <w:lang w:val="en-US" w:eastAsia="zh-CN"/>
        </w:rPr>
        <w:t>10000=-18500-500+</w:t>
      </w:r>
      <w:r>
        <w:rPr>
          <w:rFonts w:hint="eastAsia" w:ascii="宋体" w:hAnsi="宋体" w:eastAsia="宋体" w:cs="宋体"/>
          <w:b w:val="0"/>
          <w:bCs/>
          <w:color w:val="000000" w:themeColor="text1"/>
          <w:sz w:val="21"/>
          <w:szCs w:val="21"/>
        </w:rPr>
        <w:t>借款额</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借款额*</w:t>
      </w:r>
      <w:r>
        <w:rPr>
          <w:rFonts w:hint="eastAsia" w:ascii="宋体" w:hAnsi="宋体" w:eastAsia="宋体" w:cs="宋体"/>
          <w:b w:val="0"/>
          <w:bCs/>
          <w:color w:val="000000" w:themeColor="text1"/>
          <w:sz w:val="21"/>
          <w:szCs w:val="21"/>
          <w:lang w:val="en-US" w:eastAsia="zh-CN"/>
        </w:rPr>
        <w:t>8%/4</w:t>
      </w:r>
    </w:p>
    <w:p w14:paraId="2713033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最低借款额</w:t>
      </w:r>
      <w:r>
        <w:rPr>
          <w:rFonts w:hint="eastAsia" w:ascii="宋体" w:hAnsi="宋体" w:eastAsia="宋体" w:cs="宋体"/>
          <w:b w:val="0"/>
          <w:bCs/>
          <w:color w:val="000000" w:themeColor="text1"/>
          <w:sz w:val="21"/>
          <w:szCs w:val="21"/>
          <w:lang w:val="en-US" w:eastAsia="zh-CN"/>
        </w:rPr>
        <w:t xml:space="preserve">=29 591.84 </w:t>
      </w:r>
      <w:r>
        <w:rPr>
          <w:rFonts w:hint="eastAsia" w:ascii="宋体" w:hAnsi="宋体" w:eastAsia="宋体" w:cs="宋体"/>
          <w:b w:val="0"/>
          <w:bCs/>
          <w:color w:val="000000" w:themeColor="text1"/>
          <w:sz w:val="21"/>
          <w:szCs w:val="21"/>
        </w:rPr>
        <w:t>（元），由于借款金额是</w:t>
      </w:r>
      <w:r>
        <w:rPr>
          <w:rFonts w:hint="eastAsia" w:ascii="宋体" w:hAnsi="宋体" w:eastAsia="宋体" w:cs="宋体"/>
          <w:b w:val="0"/>
          <w:bCs/>
          <w:color w:val="000000" w:themeColor="text1"/>
          <w:sz w:val="21"/>
          <w:szCs w:val="21"/>
          <w:lang w:val="en-US" w:eastAsia="zh-CN"/>
        </w:rPr>
        <w:t>1 000</w:t>
      </w:r>
      <w:r>
        <w:rPr>
          <w:rFonts w:hint="eastAsia" w:ascii="宋体" w:hAnsi="宋体" w:eastAsia="宋体" w:cs="宋体"/>
          <w:b w:val="0"/>
          <w:bCs/>
          <w:color w:val="000000" w:themeColor="text1"/>
          <w:sz w:val="21"/>
          <w:szCs w:val="21"/>
        </w:rPr>
        <w:t>元的整数倍，所以借款额为</w:t>
      </w:r>
      <w:r>
        <w:rPr>
          <w:rFonts w:hint="eastAsia" w:ascii="宋体" w:hAnsi="宋体" w:eastAsia="宋体" w:cs="宋体"/>
          <w:b w:val="0"/>
          <w:bCs/>
          <w:color w:val="000000" w:themeColor="text1"/>
          <w:sz w:val="21"/>
          <w:szCs w:val="21"/>
          <w:lang w:val="en-US" w:eastAsia="zh-CN"/>
        </w:rPr>
        <w:t>30 000</w:t>
      </w:r>
      <w:r>
        <w:rPr>
          <w:rFonts w:hint="eastAsia" w:ascii="宋体" w:hAnsi="宋体" w:eastAsia="宋体" w:cs="宋体"/>
          <w:b w:val="0"/>
          <w:bCs/>
          <w:color w:val="000000" w:themeColor="text1"/>
          <w:sz w:val="21"/>
          <w:szCs w:val="21"/>
        </w:rPr>
        <w:t>元。</w:t>
      </w:r>
    </w:p>
    <w:p w14:paraId="7F2EFD9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BA6D6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15•</w:t>
      </w:r>
      <w:r>
        <w:rPr>
          <w:rFonts w:hint="eastAsia" w:ascii="宋体" w:hAnsi="宋体" w:eastAsia="宋体" w:cs="宋体"/>
          <w:b w:val="0"/>
          <w:bCs/>
          <w:color w:val="FF0000"/>
          <w:sz w:val="21"/>
          <w:szCs w:val="21"/>
        </w:rPr>
        <w:t>综合题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甲企业是某公司下属的一个独立分厂，该企业仅生产并销售</w:t>
      </w:r>
      <w:r>
        <w:rPr>
          <w:rFonts w:hint="eastAsia" w:ascii="宋体" w:hAnsi="宋体" w:eastAsia="宋体" w:cs="宋体"/>
          <w:b w:val="0"/>
          <w:bCs/>
          <w:color w:val="000000" w:themeColor="text1"/>
          <w:sz w:val="21"/>
          <w:szCs w:val="21"/>
          <w:lang w:val="en-US" w:eastAsia="zh-CN"/>
        </w:rPr>
        <w:t>W</w:t>
      </w:r>
      <w:r>
        <w:rPr>
          <w:rFonts w:hint="eastAsia" w:ascii="宋体" w:hAnsi="宋体" w:eastAsia="宋体" w:cs="宋体"/>
          <w:b w:val="0"/>
          <w:bCs/>
          <w:color w:val="000000" w:themeColor="text1"/>
          <w:sz w:val="21"/>
          <w:szCs w:val="21"/>
        </w:rPr>
        <w:t>产品，</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年有关预算与考核分析资料如下：</w:t>
      </w:r>
    </w:p>
    <w:p w14:paraId="098F1C8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资料一：</w:t>
      </w:r>
      <w:r>
        <w:rPr>
          <w:rFonts w:hint="eastAsia" w:ascii="宋体" w:hAnsi="宋体" w:eastAsia="宋体" w:cs="宋体"/>
          <w:b w:val="0"/>
          <w:bCs/>
          <w:color w:val="000000" w:themeColor="text1"/>
          <w:sz w:val="21"/>
          <w:szCs w:val="21"/>
          <w:lang w:val="en-US" w:eastAsia="zh-CN"/>
        </w:rPr>
        <w:t>W</w:t>
      </w:r>
      <w:r>
        <w:rPr>
          <w:rFonts w:hint="eastAsia" w:ascii="宋体" w:hAnsi="宋体" w:eastAsia="宋体" w:cs="宋体"/>
          <w:b w:val="0"/>
          <w:bCs/>
          <w:color w:val="000000" w:themeColor="text1"/>
          <w:sz w:val="21"/>
          <w:szCs w:val="21"/>
        </w:rPr>
        <w:t>产品的预计产销量相同，</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年第一至第四季度的预计产销量分别为</w:t>
      </w:r>
      <w:r>
        <w:rPr>
          <w:rFonts w:hint="eastAsia" w:ascii="宋体" w:hAnsi="宋体" w:eastAsia="宋体" w:cs="宋体"/>
          <w:b w:val="0"/>
          <w:bCs/>
          <w:color w:val="000000" w:themeColor="text1"/>
          <w:sz w:val="21"/>
          <w:szCs w:val="21"/>
          <w:lang w:val="en-US" w:eastAsia="zh-CN"/>
        </w:rPr>
        <w:t>100</w:t>
      </w:r>
      <w:r>
        <w:rPr>
          <w:rFonts w:hint="eastAsia" w:ascii="宋体" w:hAnsi="宋体" w:eastAsia="宋体" w:cs="宋体"/>
          <w:b w:val="0"/>
          <w:bCs/>
          <w:color w:val="000000" w:themeColor="text1"/>
          <w:sz w:val="21"/>
          <w:szCs w:val="21"/>
        </w:rPr>
        <w:t>件、</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件、</w:t>
      </w:r>
      <w:r>
        <w:rPr>
          <w:rFonts w:hint="eastAsia" w:ascii="宋体" w:hAnsi="宋体" w:eastAsia="宋体" w:cs="宋体"/>
          <w:b w:val="0"/>
          <w:bCs/>
          <w:color w:val="000000" w:themeColor="text1"/>
          <w:sz w:val="21"/>
          <w:szCs w:val="21"/>
          <w:lang w:val="en-US" w:eastAsia="zh-CN"/>
        </w:rPr>
        <w:t>300</w:t>
      </w:r>
      <w:r>
        <w:rPr>
          <w:rFonts w:hint="eastAsia" w:ascii="宋体" w:hAnsi="宋体" w:eastAsia="宋体" w:cs="宋体"/>
          <w:b w:val="0"/>
          <w:bCs/>
          <w:color w:val="000000" w:themeColor="text1"/>
          <w:sz w:val="21"/>
          <w:szCs w:val="21"/>
        </w:rPr>
        <w:t>件和</w:t>
      </w:r>
      <w:r>
        <w:rPr>
          <w:rFonts w:hint="eastAsia" w:ascii="宋体" w:hAnsi="宋体" w:eastAsia="宋体" w:cs="宋体"/>
          <w:b w:val="0"/>
          <w:bCs/>
          <w:color w:val="000000" w:themeColor="text1"/>
          <w:sz w:val="21"/>
          <w:szCs w:val="21"/>
          <w:lang w:val="en-US" w:eastAsia="zh-CN"/>
        </w:rPr>
        <w:t>400</w:t>
      </w:r>
      <w:r>
        <w:rPr>
          <w:rFonts w:hint="eastAsia" w:ascii="宋体" w:hAnsi="宋体" w:eastAsia="宋体" w:cs="宋体"/>
          <w:b w:val="0"/>
          <w:bCs/>
          <w:color w:val="000000" w:themeColor="text1"/>
          <w:sz w:val="21"/>
          <w:szCs w:val="21"/>
        </w:rPr>
        <w:t>件，预计产品销售单价为</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元</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件。预计销售收入中，有</w:t>
      </w:r>
      <w:r>
        <w:rPr>
          <w:rFonts w:hint="eastAsia" w:ascii="宋体" w:hAnsi="宋体" w:eastAsia="宋体" w:cs="宋体"/>
          <w:b w:val="0"/>
          <w:bCs/>
          <w:color w:val="000000" w:themeColor="text1"/>
          <w:sz w:val="21"/>
          <w:szCs w:val="21"/>
          <w:lang w:val="en-US" w:eastAsia="zh-CN"/>
        </w:rPr>
        <w:t>60%</w:t>
      </w:r>
      <w:r>
        <w:rPr>
          <w:rFonts w:hint="eastAsia" w:ascii="宋体" w:hAnsi="宋体" w:eastAsia="宋体" w:cs="宋体"/>
          <w:b w:val="0"/>
          <w:bCs/>
          <w:color w:val="000000" w:themeColor="text1"/>
          <w:sz w:val="21"/>
          <w:szCs w:val="21"/>
        </w:rPr>
        <w:t>在本季度收到现金，</w:t>
      </w:r>
      <w:r>
        <w:rPr>
          <w:rFonts w:hint="eastAsia" w:ascii="宋体" w:hAnsi="宋体" w:eastAsia="宋体" w:cs="宋体"/>
          <w:b w:val="0"/>
          <w:bCs/>
          <w:color w:val="000000" w:themeColor="text1"/>
          <w:sz w:val="21"/>
          <w:szCs w:val="21"/>
          <w:lang w:val="en-US" w:eastAsia="zh-CN"/>
        </w:rPr>
        <w:t>40%</w:t>
      </w:r>
      <w:r>
        <w:rPr>
          <w:rFonts w:hint="eastAsia" w:ascii="宋体" w:hAnsi="宋体" w:eastAsia="宋体" w:cs="宋体"/>
          <w:b w:val="0"/>
          <w:bCs/>
          <w:color w:val="000000" w:themeColor="text1"/>
          <w:sz w:val="21"/>
          <w:szCs w:val="21"/>
        </w:rPr>
        <w:t>在下一季度收到现金。</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年年末应收账款余额为</w:t>
      </w:r>
      <w:r>
        <w:rPr>
          <w:rFonts w:hint="eastAsia" w:ascii="宋体" w:hAnsi="宋体" w:eastAsia="宋体" w:cs="宋体"/>
          <w:b w:val="0"/>
          <w:bCs/>
          <w:color w:val="000000" w:themeColor="text1"/>
          <w:sz w:val="21"/>
          <w:szCs w:val="21"/>
          <w:lang w:val="en-US" w:eastAsia="zh-CN"/>
        </w:rPr>
        <w:t>80000</w:t>
      </w:r>
      <w:r>
        <w:rPr>
          <w:rFonts w:hint="eastAsia" w:ascii="宋体" w:hAnsi="宋体" w:eastAsia="宋体" w:cs="宋体"/>
          <w:b w:val="0"/>
          <w:bCs/>
          <w:color w:val="000000" w:themeColor="text1"/>
          <w:sz w:val="21"/>
          <w:szCs w:val="21"/>
        </w:rPr>
        <w:t>元。不考虑增值税及其他因素的影响。</w:t>
      </w:r>
    </w:p>
    <w:p w14:paraId="41D4B13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资料二：</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年年初材料存货量为</w:t>
      </w:r>
      <w:r>
        <w:rPr>
          <w:rFonts w:hint="eastAsia" w:ascii="宋体" w:hAnsi="宋体" w:eastAsia="宋体" w:cs="宋体"/>
          <w:b w:val="0"/>
          <w:bCs/>
          <w:color w:val="000000" w:themeColor="text1"/>
          <w:sz w:val="21"/>
          <w:szCs w:val="21"/>
          <w:lang w:val="en-US" w:eastAsia="zh-CN"/>
        </w:rPr>
        <w:t>500</w:t>
      </w:r>
      <w:r>
        <w:rPr>
          <w:rFonts w:hint="eastAsia" w:ascii="宋体" w:hAnsi="宋体" w:eastAsia="宋体" w:cs="宋体"/>
          <w:b w:val="0"/>
          <w:bCs/>
          <w:color w:val="000000" w:themeColor="text1"/>
          <w:sz w:val="21"/>
          <w:szCs w:val="21"/>
        </w:rPr>
        <w:t>千克，每季度末材料存货量按下一季度生产需用量的</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确定。单位产品用料标准为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千克</w:t>
      </w:r>
      <w:r>
        <w:rPr>
          <w:rFonts w:hint="eastAsia" w:ascii="宋体" w:hAnsi="宋体" w:eastAsia="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件，单位材料价格标准为</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元</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千克。材料采购款有</w:t>
      </w:r>
      <w:r>
        <w:rPr>
          <w:rFonts w:hint="eastAsia" w:ascii="宋体" w:hAnsi="宋体" w:eastAsia="宋体" w:cs="宋体"/>
          <w:b w:val="0"/>
          <w:bCs/>
          <w:color w:val="000000" w:themeColor="text1"/>
          <w:sz w:val="21"/>
          <w:szCs w:val="21"/>
          <w:lang w:val="en-US" w:eastAsia="zh-CN"/>
        </w:rPr>
        <w:t>50%</w:t>
      </w:r>
      <w:r>
        <w:rPr>
          <w:rFonts w:hint="eastAsia" w:ascii="宋体" w:hAnsi="宋体" w:eastAsia="宋体" w:cs="宋体"/>
          <w:b w:val="0"/>
          <w:bCs/>
          <w:color w:val="000000" w:themeColor="text1"/>
          <w:sz w:val="21"/>
          <w:szCs w:val="21"/>
        </w:rPr>
        <w:t>在本季度支付现金，另外</w:t>
      </w:r>
      <w:r>
        <w:rPr>
          <w:rFonts w:hint="eastAsia" w:ascii="宋体" w:hAnsi="宋体" w:eastAsia="宋体" w:cs="宋体"/>
          <w:b w:val="0"/>
          <w:bCs/>
          <w:color w:val="000000" w:themeColor="text1"/>
          <w:sz w:val="21"/>
          <w:szCs w:val="21"/>
          <w:lang w:val="en-US" w:eastAsia="zh-CN"/>
        </w:rPr>
        <w:t>50%</w:t>
      </w:r>
      <w:r>
        <w:rPr>
          <w:rFonts w:hint="eastAsia" w:ascii="宋体" w:hAnsi="宋体" w:eastAsia="宋体" w:cs="宋体"/>
          <w:b w:val="0"/>
          <w:bCs/>
          <w:color w:val="000000" w:themeColor="text1"/>
          <w:sz w:val="21"/>
          <w:szCs w:val="21"/>
        </w:rPr>
        <w:t>在下一季度支付。</w:t>
      </w:r>
    </w:p>
    <w:p w14:paraId="609B386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资料三：企业在每季度末的理想现金余额是</w:t>
      </w:r>
      <w:r>
        <w:rPr>
          <w:rFonts w:hint="eastAsia" w:ascii="宋体" w:hAnsi="宋体" w:eastAsia="宋体" w:cs="宋体"/>
          <w:b w:val="0"/>
          <w:bCs/>
          <w:color w:val="000000" w:themeColor="text1"/>
          <w:sz w:val="21"/>
          <w:szCs w:val="21"/>
          <w:lang w:val="en-US" w:eastAsia="zh-CN"/>
        </w:rPr>
        <w:t>50000</w:t>
      </w:r>
      <w:r>
        <w:rPr>
          <w:rFonts w:hint="eastAsia" w:ascii="宋体" w:hAnsi="宋体" w:eastAsia="宋体" w:cs="宋体"/>
          <w:b w:val="0"/>
          <w:bCs/>
          <w:color w:val="000000" w:themeColor="text1"/>
          <w:sz w:val="21"/>
          <w:szCs w:val="21"/>
        </w:rPr>
        <w:t>元，且不得低于</w:t>
      </w:r>
      <w:r>
        <w:rPr>
          <w:rFonts w:hint="eastAsia" w:ascii="宋体" w:hAnsi="宋体" w:eastAsia="宋体" w:cs="宋体"/>
          <w:b w:val="0"/>
          <w:bCs/>
          <w:color w:val="000000" w:themeColor="text1"/>
          <w:sz w:val="21"/>
          <w:szCs w:val="21"/>
          <w:lang w:val="en-US" w:eastAsia="zh-CN"/>
        </w:rPr>
        <w:t>50000</w:t>
      </w:r>
      <w:r>
        <w:rPr>
          <w:rFonts w:hint="eastAsia" w:ascii="宋体" w:hAnsi="宋体" w:eastAsia="宋体" w:cs="宋体"/>
          <w:b w:val="0"/>
          <w:bCs/>
          <w:color w:val="000000" w:themeColor="text1"/>
          <w:sz w:val="21"/>
          <w:szCs w:val="21"/>
        </w:rPr>
        <w:t>元。如果当季度现金不足，则向银行取得短期借款；如果当季度现金溢余，则偿还银行短期借款。短期借款的年利率为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，按季度偿付利息。借款和还款的数额须为</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元的整数倍。假设新增借款发生在季度初，归还借款发生在季度末。</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年第一季度，在未考虑银行借款情况下的现金余额（即现金余缺）为</w:t>
      </w:r>
      <w:r>
        <w:rPr>
          <w:rFonts w:hint="eastAsia" w:ascii="宋体" w:hAnsi="宋体" w:eastAsia="宋体" w:cs="宋体"/>
          <w:b w:val="0"/>
          <w:bCs/>
          <w:color w:val="000000" w:themeColor="text1"/>
          <w:sz w:val="21"/>
          <w:szCs w:val="21"/>
          <w:lang w:val="en-US" w:eastAsia="zh-CN"/>
        </w:rPr>
        <w:t xml:space="preserve">26700 </w:t>
      </w:r>
      <w:r>
        <w:rPr>
          <w:rFonts w:hint="eastAsia" w:ascii="宋体" w:hAnsi="宋体" w:eastAsia="宋体" w:cs="宋体"/>
          <w:b w:val="0"/>
          <w:bCs/>
          <w:color w:val="000000" w:themeColor="text1"/>
          <w:sz w:val="21"/>
          <w:szCs w:val="21"/>
        </w:rPr>
        <w:t>元。假设</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年初，企业没有借款。</w:t>
      </w:r>
    </w:p>
    <w:p w14:paraId="0FBCC80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）根据资料一，计算：①</w:t>
      </w:r>
      <w:r>
        <w:rPr>
          <w:rFonts w:hint="eastAsia" w:ascii="宋体" w:hAnsi="宋体" w:eastAsia="宋体" w:cs="宋体"/>
          <w:b w:val="0"/>
          <w:bCs/>
          <w:color w:val="000000" w:themeColor="text1"/>
          <w:sz w:val="21"/>
          <w:szCs w:val="21"/>
          <w:lang w:val="en-US" w:eastAsia="zh-CN"/>
        </w:rPr>
        <w:t>W</w:t>
      </w:r>
      <w:r>
        <w:rPr>
          <w:rFonts w:hint="eastAsia" w:ascii="宋体" w:hAnsi="宋体" w:eastAsia="宋体" w:cs="宋体"/>
          <w:b w:val="0"/>
          <w:bCs/>
          <w:color w:val="000000" w:themeColor="text1"/>
          <w:sz w:val="21"/>
          <w:szCs w:val="21"/>
        </w:rPr>
        <w:t>产品的第一季度现金收入；②资产负债表预算中应收账款的年末数。</w:t>
      </w:r>
    </w:p>
    <w:p w14:paraId="7642383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）根据资料一和资料二，计算：①第一季度预计材料期末存货量；②第二季度预计材料采购量；③第三季度预计材料采购金额。</w:t>
      </w:r>
    </w:p>
    <w:p w14:paraId="0BA02A0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）根据资料三，计算第一季度现金预算中：①取得短期借款金额；②短期借款利息金额；③期末现金余额。</w:t>
      </w:r>
    </w:p>
    <w:p w14:paraId="4BA9112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答案：</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）①</w:t>
      </w:r>
      <w:r>
        <w:rPr>
          <w:rFonts w:hint="eastAsia" w:ascii="宋体" w:hAnsi="宋体" w:eastAsia="宋体" w:cs="宋体"/>
          <w:b w:val="0"/>
          <w:bCs/>
          <w:color w:val="000000" w:themeColor="text1"/>
          <w:sz w:val="21"/>
          <w:szCs w:val="21"/>
          <w:lang w:val="en-US" w:eastAsia="zh-CN"/>
        </w:rPr>
        <w:t>W</w:t>
      </w:r>
      <w:r>
        <w:rPr>
          <w:rFonts w:hint="eastAsia" w:ascii="宋体" w:hAnsi="宋体" w:eastAsia="宋体" w:cs="宋体"/>
          <w:b w:val="0"/>
          <w:bCs/>
          <w:color w:val="000000" w:themeColor="text1"/>
          <w:sz w:val="21"/>
          <w:szCs w:val="21"/>
        </w:rPr>
        <w:t>产品的第一季度现金收入</w:t>
      </w:r>
      <w:r>
        <w:rPr>
          <w:rFonts w:hint="eastAsia" w:ascii="宋体" w:hAnsi="宋体" w:eastAsia="宋体" w:cs="宋体"/>
          <w:b w:val="0"/>
          <w:bCs/>
          <w:color w:val="000000" w:themeColor="text1"/>
          <w:sz w:val="21"/>
          <w:szCs w:val="21"/>
          <w:lang w:val="en-US" w:eastAsia="zh-CN"/>
        </w:rPr>
        <w:t>=80000+100×1000×60%=140000</w:t>
      </w:r>
      <w:r>
        <w:rPr>
          <w:rFonts w:hint="eastAsia" w:ascii="宋体" w:hAnsi="宋体" w:eastAsia="宋体" w:cs="宋体"/>
          <w:b w:val="0"/>
          <w:bCs/>
          <w:color w:val="000000" w:themeColor="text1"/>
          <w:sz w:val="21"/>
          <w:szCs w:val="21"/>
        </w:rPr>
        <w:t>（元）</w:t>
      </w:r>
    </w:p>
    <w:p w14:paraId="26475E5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②资产负债表预算中应收账款的年末数</w:t>
      </w:r>
      <w:r>
        <w:rPr>
          <w:rFonts w:hint="eastAsia" w:ascii="宋体" w:hAnsi="宋体" w:eastAsia="宋体" w:cs="宋体"/>
          <w:b w:val="0"/>
          <w:bCs/>
          <w:color w:val="000000" w:themeColor="text1"/>
          <w:sz w:val="21"/>
          <w:szCs w:val="21"/>
          <w:lang w:val="en-US" w:eastAsia="zh-CN"/>
        </w:rPr>
        <w:t>=400×1000×40%=160000</w:t>
      </w:r>
      <w:r>
        <w:rPr>
          <w:rFonts w:hint="eastAsia" w:ascii="宋体" w:hAnsi="宋体" w:eastAsia="宋体" w:cs="宋体"/>
          <w:b w:val="0"/>
          <w:bCs/>
          <w:color w:val="000000" w:themeColor="text1"/>
          <w:sz w:val="21"/>
          <w:szCs w:val="21"/>
        </w:rPr>
        <w:t>（元）</w:t>
      </w:r>
    </w:p>
    <w:p w14:paraId="61074AD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）①第一季度预计材料期末存货量</w:t>
      </w:r>
      <w:r>
        <w:rPr>
          <w:rFonts w:hint="eastAsia" w:ascii="宋体" w:hAnsi="宋体" w:eastAsia="宋体" w:cs="宋体"/>
          <w:b w:val="0"/>
          <w:bCs/>
          <w:color w:val="000000" w:themeColor="text1"/>
          <w:sz w:val="21"/>
          <w:szCs w:val="21"/>
          <w:lang w:val="en-US" w:eastAsia="zh-CN"/>
        </w:rPr>
        <w:t>=200×10%×10=200</w:t>
      </w:r>
      <w:r>
        <w:rPr>
          <w:rFonts w:hint="eastAsia" w:ascii="宋体" w:hAnsi="宋体" w:eastAsia="宋体" w:cs="宋体"/>
          <w:b w:val="0"/>
          <w:bCs/>
          <w:color w:val="000000" w:themeColor="text1"/>
          <w:sz w:val="21"/>
          <w:szCs w:val="21"/>
        </w:rPr>
        <w:t>（千克）</w:t>
      </w:r>
    </w:p>
    <w:p w14:paraId="13F72AC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②第二季度预计材料采购量</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200+300×10%-20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×10=2100</w:t>
      </w:r>
      <w:r>
        <w:rPr>
          <w:rFonts w:hint="eastAsia" w:ascii="宋体" w:hAnsi="宋体" w:eastAsia="宋体" w:cs="宋体"/>
          <w:b w:val="0"/>
          <w:bCs/>
          <w:color w:val="000000" w:themeColor="text1"/>
          <w:sz w:val="21"/>
          <w:szCs w:val="21"/>
        </w:rPr>
        <w:t>（千克）</w:t>
      </w:r>
    </w:p>
    <w:p w14:paraId="0A76FA7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③第三季度预计材料采购金额</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300+400×10%-300×10%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×10×5=15500</w:t>
      </w:r>
      <w:r>
        <w:rPr>
          <w:rFonts w:hint="eastAsia" w:ascii="宋体" w:hAnsi="宋体" w:eastAsia="宋体" w:cs="宋体"/>
          <w:b w:val="0"/>
          <w:bCs/>
          <w:color w:val="000000" w:themeColor="text1"/>
          <w:sz w:val="21"/>
          <w:szCs w:val="21"/>
        </w:rPr>
        <w:t>（元）</w:t>
      </w:r>
    </w:p>
    <w:p w14:paraId="791796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）①设取得短期借款金额为</w:t>
      </w:r>
      <w:r>
        <w:rPr>
          <w:rFonts w:hint="eastAsia" w:ascii="宋体" w:hAnsi="宋体" w:eastAsia="宋体" w:cs="宋体"/>
          <w:b w:val="0"/>
          <w:bCs/>
          <w:color w:val="000000" w:themeColor="text1"/>
          <w:sz w:val="21"/>
          <w:szCs w:val="21"/>
          <w:lang w:val="en-US" w:eastAsia="zh-CN"/>
        </w:rPr>
        <w:t>X</w:t>
      </w:r>
      <w:r>
        <w:rPr>
          <w:rFonts w:hint="eastAsia" w:ascii="宋体" w:hAnsi="宋体" w:eastAsia="宋体" w:cs="宋体"/>
          <w:b w:val="0"/>
          <w:bCs/>
          <w:color w:val="000000" w:themeColor="text1"/>
          <w:sz w:val="21"/>
          <w:szCs w:val="21"/>
        </w:rPr>
        <w:t>元：</w:t>
      </w:r>
      <w:r>
        <w:rPr>
          <w:rFonts w:hint="eastAsia" w:ascii="宋体" w:hAnsi="宋体" w:eastAsia="宋体" w:cs="宋体"/>
          <w:b w:val="0"/>
          <w:bCs/>
          <w:color w:val="000000" w:themeColor="text1"/>
          <w:sz w:val="21"/>
          <w:szCs w:val="21"/>
          <w:lang w:val="en-US" w:eastAsia="zh-CN"/>
        </w:rPr>
        <w:t>26700+X-X×10%/12×3≥50000</w:t>
      </w:r>
    </w:p>
    <w:p w14:paraId="5359761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X≥23897.44</w:t>
      </w:r>
      <w:r>
        <w:rPr>
          <w:rFonts w:hint="eastAsia" w:ascii="宋体" w:hAnsi="宋体" w:eastAsia="宋体" w:cs="宋体"/>
          <w:b w:val="0"/>
          <w:bCs/>
          <w:color w:val="000000" w:themeColor="text1"/>
          <w:sz w:val="21"/>
          <w:szCs w:val="21"/>
        </w:rPr>
        <w:t>（元）</w:t>
      </w:r>
    </w:p>
    <w:p w14:paraId="79D3F58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因为借款和还款数额须为</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元的整数倍，所以，取得短期借款金额</w:t>
      </w:r>
      <w:r>
        <w:rPr>
          <w:rFonts w:hint="eastAsia" w:ascii="宋体" w:hAnsi="宋体" w:eastAsia="宋体" w:cs="宋体"/>
          <w:b w:val="0"/>
          <w:bCs/>
          <w:color w:val="000000" w:themeColor="text1"/>
          <w:sz w:val="21"/>
          <w:szCs w:val="21"/>
          <w:lang w:val="en-US" w:eastAsia="zh-CN"/>
        </w:rPr>
        <w:t>=24000</w:t>
      </w:r>
      <w:r>
        <w:rPr>
          <w:rFonts w:hint="eastAsia" w:ascii="宋体" w:hAnsi="宋体" w:eastAsia="宋体" w:cs="宋体"/>
          <w:b w:val="0"/>
          <w:bCs/>
          <w:color w:val="000000" w:themeColor="text1"/>
          <w:sz w:val="21"/>
          <w:szCs w:val="21"/>
        </w:rPr>
        <w:t>（元）</w:t>
      </w:r>
    </w:p>
    <w:p w14:paraId="5BB820B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②短期借款利息金额</w:t>
      </w:r>
      <w:r>
        <w:rPr>
          <w:rFonts w:hint="eastAsia" w:ascii="宋体" w:hAnsi="宋体" w:eastAsia="宋体" w:cs="宋体"/>
          <w:b w:val="0"/>
          <w:bCs/>
          <w:color w:val="000000" w:themeColor="text1"/>
          <w:sz w:val="21"/>
          <w:szCs w:val="21"/>
          <w:lang w:val="en-US" w:eastAsia="zh-CN"/>
        </w:rPr>
        <w:t>=24000×10%/12×3=600</w:t>
      </w:r>
      <w:r>
        <w:rPr>
          <w:rFonts w:hint="eastAsia" w:ascii="宋体" w:hAnsi="宋体" w:eastAsia="宋体" w:cs="宋体"/>
          <w:b w:val="0"/>
          <w:bCs/>
          <w:color w:val="000000" w:themeColor="text1"/>
          <w:sz w:val="21"/>
          <w:szCs w:val="21"/>
        </w:rPr>
        <w:t>（元）</w:t>
      </w:r>
    </w:p>
    <w:p w14:paraId="300E039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③期末现金余额</w:t>
      </w:r>
      <w:r>
        <w:rPr>
          <w:rFonts w:hint="eastAsia" w:ascii="宋体" w:hAnsi="宋体" w:eastAsia="宋体" w:cs="宋体"/>
          <w:b w:val="0"/>
          <w:bCs/>
          <w:color w:val="000000" w:themeColor="text1"/>
          <w:sz w:val="21"/>
          <w:szCs w:val="21"/>
          <w:lang w:val="en-US" w:eastAsia="zh-CN"/>
        </w:rPr>
        <w:t>=26700+24000-600=50100</w:t>
      </w:r>
      <w:r>
        <w:rPr>
          <w:rFonts w:hint="eastAsia" w:ascii="宋体" w:hAnsi="宋体" w:eastAsia="宋体" w:cs="宋体"/>
          <w:b w:val="0"/>
          <w:bCs/>
          <w:color w:val="000000" w:themeColor="text1"/>
          <w:sz w:val="21"/>
          <w:szCs w:val="21"/>
        </w:rPr>
        <w:t>（元）</w:t>
      </w:r>
    </w:p>
    <w:p w14:paraId="52023CB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508EB8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B111FB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28FFCA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D9B319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pict>
          <v:shape id="_x0000_s1028" o:spid="_x0000_s1028" o:spt="75" type="#_x0000_t75" style="position:absolute;left:0pt;margin-left:137.05pt;margin-top:14.35pt;height:36.2pt;width:111.15pt;z-index:251661312;mso-width-relative:page;mso-height-relative:page;" filled="f" o:preferrelative="t" stroked="f" coordsize="21600,21600">
            <v:path/>
            <v:fill on="f" focussize="0,0"/>
            <v:stroke on="f"/>
            <v:imagedata r:id="rId7" o:title=""/>
            <o:lock v:ext="edit" aspectratio="t"/>
          </v:shape>
        </w:pict>
      </w: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51BAC34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借款的实际年利率为：</w:t>
      </w:r>
    </w:p>
    <w:p w14:paraId="5501BF7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EB20C0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546868F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甲公司投资一项证券资产，每年年末都能按照</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的名义利率获取相应的现金。假设通货膨胀率为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，则该证券资产的实际利率为（  ）。</w:t>
      </w:r>
    </w:p>
    <w:p w14:paraId="2AE799B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A.3.88%                   B.3.92%                </w:t>
      </w:r>
    </w:p>
    <w:p w14:paraId="1DCAF6C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C.4.00%                   D.5.88%</w:t>
      </w:r>
    </w:p>
    <w:p w14:paraId="19E1F2C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1D5BC4E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根据实际利率＝（</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名义利率）</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通货膨胀率）</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的换算关系，可得：</w:t>
      </w:r>
    </w:p>
    <w:p w14:paraId="337695D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证券资产的实际利率＝（</w:t>
      </w:r>
      <w:r>
        <w:rPr>
          <w:rFonts w:hint="eastAsia" w:ascii="宋体" w:hAnsi="宋体" w:eastAsia="宋体" w:cs="宋体"/>
          <w:b w:val="0"/>
          <w:bCs/>
          <w:color w:val="000000" w:themeColor="text1"/>
          <w:sz w:val="21"/>
          <w:szCs w:val="21"/>
          <w:lang w:val="en-US" w:eastAsia="zh-CN"/>
        </w:rPr>
        <w:t>1+6%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3.92%</w:t>
      </w:r>
    </w:p>
    <w:p w14:paraId="540F267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7EFDBD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rPr>
      </w:pPr>
      <w:r>
        <w:pict>
          <v:shape id="_x0000_s1029" o:spid="_x0000_s1029" o:spt="75" type="#_x0000_t75" style="position:absolute;left:0pt;margin-left:63.15pt;margin-top:18.2pt;height:189.55pt;width:372.25pt;mso-wrap-distance-left:9pt;mso-wrap-distance-right:9pt;z-index:-251654144;mso-width-relative:page;mso-height-relative:page;" filled="f" o:preferrelative="t" stroked="f" coordsize="21600,21600" wrapcoords="21592 -2 0 0 0 21600 21592 21602 8 21602 21600 21600 21600 0 8 -2 21592 -2">
            <v:path/>
            <v:fill on="f" focussize="0,0"/>
            <v:stroke on="f"/>
            <v:imagedata r:id="rId8" o:title=""/>
            <o:lock v:ext="edit" aspectratio="t"/>
            <w10:wrap type="tight"/>
          </v:shape>
        </w:pic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3】</w:t>
      </w:r>
      <w:r>
        <w:rPr>
          <w:rFonts w:hint="eastAsia" w:ascii="宋体" w:hAnsi="宋体" w:eastAsia="宋体" w:cs="宋体"/>
          <w:b w:val="0"/>
          <w:bCs/>
          <w:color w:val="FF0000"/>
          <w:sz w:val="21"/>
          <w:szCs w:val="21"/>
        </w:rPr>
        <w:t>收益与风险</w:t>
      </w:r>
    </w:p>
    <w:p w14:paraId="5EF3097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FD6248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542D432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523914F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677C641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92B3A2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848667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6BE223D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F96494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CE167E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B57C4C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如果</w:t>
      </w:r>
      <w:r>
        <w:rPr>
          <w:rFonts w:hint="eastAsia" w:ascii="宋体" w:hAnsi="宋体" w:eastAsia="宋体" w:cs="宋体"/>
          <w:b w:val="0"/>
          <w:bCs/>
          <w:color w:val="000000" w:themeColor="text1"/>
          <w:sz w:val="21"/>
          <w:szCs w:val="21"/>
          <w:lang w:val="en-US" w:eastAsia="zh-CN"/>
        </w:rPr>
        <w:t>A. B</w:t>
      </w:r>
      <w:r>
        <w:rPr>
          <w:rFonts w:hint="eastAsia" w:ascii="宋体" w:hAnsi="宋体" w:eastAsia="宋体" w:cs="宋体"/>
          <w:b w:val="0"/>
          <w:bCs/>
          <w:color w:val="000000" w:themeColor="text1"/>
          <w:sz w:val="21"/>
          <w:szCs w:val="21"/>
        </w:rPr>
        <w:t>两种资产的相关系数为</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的标准差为</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的标准差为</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，在等比例投资的情况下，两项资产组合的标准差等于（  ）。</w:t>
      </w:r>
    </w:p>
    <w:p w14:paraId="58B8D8C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A.8%              B.11%        </w:t>
      </w:r>
    </w:p>
    <w:p w14:paraId="61383DC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C. 10%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 4%</w:t>
      </w:r>
    </w:p>
    <w:p w14:paraId="57CB5C2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1908DA8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两项资产组合的标准差</w:t>
      </w:r>
      <w:r>
        <w:rPr>
          <w:rFonts w:hint="eastAsia" w:ascii="宋体" w:hAnsi="宋体" w:eastAsia="宋体" w:cs="宋体"/>
          <w:b w:val="0"/>
          <w:bCs/>
          <w:color w:val="000000" w:themeColor="text1"/>
          <w:sz w:val="21"/>
          <w:szCs w:val="21"/>
          <w:lang w:val="en-US" w:eastAsia="zh-CN"/>
        </w:rPr>
        <w:t>=50%×15% -50%×7% =4%</w:t>
      </w:r>
      <w:r>
        <w:rPr>
          <w:rFonts w:hint="eastAsia" w:ascii="宋体" w:hAnsi="宋体" w:eastAsia="宋体" w:cs="宋体"/>
          <w:b w:val="0"/>
          <w:bCs/>
          <w:color w:val="000000" w:themeColor="text1"/>
          <w:sz w:val="21"/>
          <w:szCs w:val="21"/>
        </w:rPr>
        <w:t>。</w:t>
      </w:r>
    </w:p>
    <w:p w14:paraId="7453B72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81D735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甲投资组合由证券</w:t>
      </w:r>
      <w:r>
        <w:rPr>
          <w:rFonts w:hint="eastAsia" w:ascii="宋体" w:hAnsi="宋体" w:eastAsia="宋体" w:cs="宋体"/>
          <w:b w:val="0"/>
          <w:bCs/>
          <w:color w:val="000000" w:themeColor="text1"/>
          <w:sz w:val="21"/>
          <w:szCs w:val="21"/>
          <w:lang w:val="en-US" w:eastAsia="zh-CN"/>
        </w:rPr>
        <w:t>X</w:t>
      </w:r>
      <w:r>
        <w:rPr>
          <w:rFonts w:hint="eastAsia" w:ascii="宋体" w:hAnsi="宋体" w:eastAsia="宋体" w:cs="宋体"/>
          <w:b w:val="0"/>
          <w:bCs/>
          <w:color w:val="000000" w:themeColor="text1"/>
          <w:sz w:val="21"/>
          <w:szCs w:val="21"/>
        </w:rPr>
        <w:t>和证券</w:t>
      </w:r>
      <w:r>
        <w:rPr>
          <w:rFonts w:hint="eastAsia" w:ascii="宋体" w:hAnsi="宋体" w:eastAsia="宋体" w:cs="宋体"/>
          <w:b w:val="0"/>
          <w:bCs/>
          <w:color w:val="000000" w:themeColor="text1"/>
          <w:sz w:val="21"/>
          <w:szCs w:val="21"/>
          <w:lang w:val="en-US" w:eastAsia="zh-CN"/>
        </w:rPr>
        <w:t>Y</w:t>
      </w:r>
      <w:r>
        <w:rPr>
          <w:rFonts w:hint="eastAsia" w:ascii="宋体" w:hAnsi="宋体" w:eastAsia="宋体" w:cs="宋体"/>
          <w:b w:val="0"/>
          <w:bCs/>
          <w:color w:val="000000" w:themeColor="text1"/>
          <w:sz w:val="21"/>
          <w:szCs w:val="21"/>
        </w:rPr>
        <w:t>各占</w:t>
      </w:r>
      <w:r>
        <w:rPr>
          <w:rFonts w:hint="eastAsia" w:ascii="宋体" w:hAnsi="宋体" w:eastAsia="宋体" w:cs="宋体"/>
          <w:b w:val="0"/>
          <w:bCs/>
          <w:color w:val="000000" w:themeColor="text1"/>
          <w:sz w:val="21"/>
          <w:szCs w:val="21"/>
          <w:lang w:val="en-US" w:eastAsia="zh-CN"/>
        </w:rPr>
        <w:t>50%</w:t>
      </w:r>
      <w:r>
        <w:rPr>
          <w:rFonts w:hint="eastAsia" w:ascii="宋体" w:hAnsi="宋体" w:eastAsia="宋体" w:cs="宋体"/>
          <w:b w:val="0"/>
          <w:bCs/>
          <w:color w:val="000000" w:themeColor="text1"/>
          <w:sz w:val="21"/>
          <w:szCs w:val="21"/>
        </w:rPr>
        <w:t>组成。下列说法中，正确的有（  ）。</w:t>
      </w:r>
    </w:p>
    <w:p w14:paraId="3DD762E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甲的期望报酬率</w:t>
      </w:r>
      <w:r>
        <w:rPr>
          <w:rFonts w:hint="eastAsia" w:ascii="宋体" w:hAnsi="宋体" w:eastAsia="宋体" w:cs="宋体"/>
          <w:b w:val="0"/>
          <w:bCs/>
          <w:color w:val="000000" w:themeColor="text1"/>
          <w:sz w:val="21"/>
          <w:szCs w:val="21"/>
          <w:lang w:val="en-US" w:eastAsia="zh-CN"/>
        </w:rPr>
        <w:t>=X</w:t>
      </w:r>
      <w:r>
        <w:rPr>
          <w:rFonts w:hint="eastAsia" w:ascii="宋体" w:hAnsi="宋体" w:eastAsia="宋体" w:cs="宋体"/>
          <w:b w:val="0"/>
          <w:bCs/>
          <w:color w:val="000000" w:themeColor="text1"/>
          <w:sz w:val="21"/>
          <w:szCs w:val="21"/>
        </w:rPr>
        <w:t>的期望报酬率</w:t>
      </w:r>
      <w:r>
        <w:rPr>
          <w:rFonts w:hint="eastAsia" w:ascii="宋体" w:hAnsi="宋体" w:eastAsia="宋体" w:cs="宋体"/>
          <w:b w:val="0"/>
          <w:bCs/>
          <w:color w:val="000000" w:themeColor="text1"/>
          <w:sz w:val="21"/>
          <w:szCs w:val="21"/>
          <w:lang w:val="en-US" w:eastAsia="zh-CN"/>
        </w:rPr>
        <w:t>x50%+Y</w:t>
      </w:r>
      <w:r>
        <w:rPr>
          <w:rFonts w:hint="eastAsia" w:ascii="宋体" w:hAnsi="宋体" w:eastAsia="宋体" w:cs="宋体"/>
          <w:b w:val="0"/>
          <w:bCs/>
          <w:color w:val="000000" w:themeColor="text1"/>
          <w:sz w:val="21"/>
          <w:szCs w:val="21"/>
        </w:rPr>
        <w:t>的期望报酬率</w:t>
      </w:r>
      <w:r>
        <w:rPr>
          <w:rFonts w:hint="eastAsia" w:ascii="宋体" w:hAnsi="宋体" w:eastAsia="宋体" w:cs="宋体"/>
          <w:b w:val="0"/>
          <w:bCs/>
          <w:color w:val="000000" w:themeColor="text1"/>
          <w:sz w:val="21"/>
          <w:szCs w:val="21"/>
          <w:lang w:val="en-US" w:eastAsia="zh-CN"/>
        </w:rPr>
        <w:t>x50%</w:t>
      </w:r>
    </w:p>
    <w:p w14:paraId="7A0CC30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甲期望报酬率的标准差</w:t>
      </w:r>
      <w:r>
        <w:rPr>
          <w:rFonts w:hint="eastAsia" w:ascii="宋体" w:hAnsi="宋体" w:eastAsia="宋体" w:cs="宋体"/>
          <w:b w:val="0"/>
          <w:bCs/>
          <w:color w:val="000000" w:themeColor="text1"/>
          <w:sz w:val="21"/>
          <w:szCs w:val="21"/>
          <w:lang w:val="en-US" w:eastAsia="zh-CN"/>
        </w:rPr>
        <w:t>= X</w:t>
      </w:r>
      <w:r>
        <w:rPr>
          <w:rFonts w:hint="eastAsia" w:ascii="宋体" w:hAnsi="宋体" w:eastAsia="宋体" w:cs="宋体"/>
          <w:b w:val="0"/>
          <w:bCs/>
          <w:color w:val="000000" w:themeColor="text1"/>
          <w:sz w:val="21"/>
          <w:szCs w:val="21"/>
        </w:rPr>
        <w:t>期望报酬率的标准差</w:t>
      </w:r>
      <w:r>
        <w:rPr>
          <w:rFonts w:hint="eastAsia" w:ascii="宋体" w:hAnsi="宋体" w:eastAsia="宋体" w:cs="宋体"/>
          <w:b w:val="0"/>
          <w:bCs/>
          <w:color w:val="000000" w:themeColor="text1"/>
          <w:sz w:val="21"/>
          <w:szCs w:val="21"/>
          <w:lang w:val="en-US" w:eastAsia="zh-CN"/>
        </w:rPr>
        <w:t>x50% + Y</w:t>
      </w:r>
      <w:r>
        <w:rPr>
          <w:rFonts w:hint="eastAsia" w:ascii="宋体" w:hAnsi="宋体" w:eastAsia="宋体" w:cs="宋体"/>
          <w:b w:val="0"/>
          <w:bCs/>
          <w:color w:val="000000" w:themeColor="text1"/>
          <w:sz w:val="21"/>
          <w:szCs w:val="21"/>
        </w:rPr>
        <w:t>期望报酬率的标准差</w:t>
      </w:r>
      <w:r>
        <w:rPr>
          <w:rFonts w:hint="eastAsia" w:ascii="宋体" w:hAnsi="宋体" w:eastAsia="宋体" w:cs="宋体"/>
          <w:b w:val="0"/>
          <w:bCs/>
          <w:color w:val="000000" w:themeColor="text1"/>
          <w:sz w:val="21"/>
          <w:szCs w:val="21"/>
          <w:lang w:val="en-US" w:eastAsia="zh-CN"/>
        </w:rPr>
        <w:t>x50%</w:t>
      </w:r>
    </w:p>
    <w:p w14:paraId="0372167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甲期望报酬率的标准差率</w:t>
      </w:r>
      <w:r>
        <w:rPr>
          <w:rFonts w:hint="eastAsia" w:ascii="宋体" w:hAnsi="宋体" w:eastAsia="宋体" w:cs="宋体"/>
          <w:b w:val="0"/>
          <w:bCs/>
          <w:color w:val="000000" w:themeColor="text1"/>
          <w:sz w:val="21"/>
          <w:szCs w:val="21"/>
          <w:lang w:val="en-US" w:eastAsia="zh-CN"/>
        </w:rPr>
        <w:t>=X</w:t>
      </w:r>
      <w:r>
        <w:rPr>
          <w:rFonts w:hint="eastAsia" w:ascii="宋体" w:hAnsi="宋体" w:eastAsia="宋体" w:cs="宋体"/>
          <w:b w:val="0"/>
          <w:bCs/>
          <w:color w:val="000000" w:themeColor="text1"/>
          <w:sz w:val="21"/>
          <w:szCs w:val="21"/>
        </w:rPr>
        <w:t>期望报酬率的标准差率</w:t>
      </w:r>
      <w:r>
        <w:rPr>
          <w:rFonts w:hint="eastAsia" w:ascii="宋体" w:hAnsi="宋体" w:eastAsia="宋体" w:cs="宋体"/>
          <w:b w:val="0"/>
          <w:bCs/>
          <w:color w:val="000000" w:themeColor="text1"/>
          <w:sz w:val="21"/>
          <w:szCs w:val="21"/>
          <w:lang w:val="en-US" w:eastAsia="zh-CN"/>
        </w:rPr>
        <w:t>x50%+Y</w:t>
      </w:r>
      <w:r>
        <w:rPr>
          <w:rFonts w:hint="eastAsia" w:ascii="宋体" w:hAnsi="宋体" w:eastAsia="宋体" w:cs="宋体"/>
          <w:b w:val="0"/>
          <w:bCs/>
          <w:color w:val="000000" w:themeColor="text1"/>
          <w:sz w:val="21"/>
          <w:szCs w:val="21"/>
        </w:rPr>
        <w:t>期望报酬率的标准差率</w:t>
      </w:r>
      <w:r>
        <w:rPr>
          <w:rFonts w:hint="eastAsia" w:ascii="宋体" w:hAnsi="宋体" w:eastAsia="宋体" w:cs="宋体"/>
          <w:b w:val="0"/>
          <w:bCs/>
          <w:color w:val="000000" w:themeColor="text1"/>
          <w:sz w:val="21"/>
          <w:szCs w:val="21"/>
          <w:lang w:val="en-US" w:eastAsia="zh-CN"/>
        </w:rPr>
        <w:t>x50%</w:t>
      </w:r>
    </w:p>
    <w:p w14:paraId="4D0156E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甲的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w:t>
      </w:r>
      <w:r>
        <w:rPr>
          <w:rFonts w:hint="eastAsia" w:ascii="宋体" w:hAnsi="宋体" w:eastAsia="宋体" w:cs="宋体"/>
          <w:b w:val="0"/>
          <w:bCs/>
          <w:color w:val="000000" w:themeColor="text1"/>
          <w:sz w:val="21"/>
          <w:szCs w:val="21"/>
          <w:lang w:val="en-US" w:eastAsia="zh-CN"/>
        </w:rPr>
        <w:t>=X</w:t>
      </w:r>
      <w:r>
        <w:rPr>
          <w:rFonts w:hint="eastAsia" w:ascii="宋体" w:hAnsi="宋体" w:eastAsia="宋体" w:cs="宋体"/>
          <w:b w:val="0"/>
          <w:bCs/>
          <w:color w:val="000000" w:themeColor="text1"/>
          <w:sz w:val="21"/>
          <w:szCs w:val="21"/>
        </w:rPr>
        <w:t>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w:t>
      </w:r>
      <w:r>
        <w:rPr>
          <w:rFonts w:hint="eastAsia" w:ascii="宋体" w:hAnsi="宋体" w:eastAsia="宋体" w:cs="宋体"/>
          <w:b w:val="0"/>
          <w:bCs/>
          <w:color w:val="000000" w:themeColor="text1"/>
          <w:sz w:val="21"/>
          <w:szCs w:val="21"/>
          <w:lang w:val="en-US" w:eastAsia="zh-CN"/>
        </w:rPr>
        <w:t>x50% +Y</w:t>
      </w:r>
      <w:r>
        <w:rPr>
          <w:rFonts w:hint="eastAsia" w:ascii="宋体" w:hAnsi="宋体" w:eastAsia="宋体" w:cs="宋体"/>
          <w:b w:val="0"/>
          <w:bCs/>
          <w:color w:val="000000" w:themeColor="text1"/>
          <w:sz w:val="21"/>
          <w:szCs w:val="21"/>
        </w:rPr>
        <w:t>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w:t>
      </w:r>
      <w:r>
        <w:rPr>
          <w:rFonts w:hint="eastAsia" w:ascii="宋体" w:hAnsi="宋体" w:eastAsia="宋体" w:cs="宋体"/>
          <w:b w:val="0"/>
          <w:bCs/>
          <w:color w:val="000000" w:themeColor="text1"/>
          <w:sz w:val="21"/>
          <w:szCs w:val="21"/>
          <w:lang w:val="en-US" w:eastAsia="zh-CN"/>
        </w:rPr>
        <w:t>x50%</w:t>
      </w:r>
    </w:p>
    <w:p w14:paraId="5B74FF5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AD</w:t>
      </w:r>
    </w:p>
    <w:p w14:paraId="7AE1FE5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投资组合理论认为，若干种证券组成的投资组合，其收益是这些证券收益的加权平均数，但是其风险不是这些证券风险的加权平均风险，投资组合能降低风险，因此选项</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正确，选项</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错误。标准差率是标准差与期望值之比，因此选项</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错误；投资组合的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系数等于组合各证券</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系数的加权平均数，因此选项</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正确。</w:t>
      </w:r>
    </w:p>
    <w:p w14:paraId="4C10C35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8B272E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4】</w:t>
      </w:r>
      <w:r>
        <w:rPr>
          <w:rFonts w:hint="eastAsia" w:ascii="宋体" w:hAnsi="宋体" w:eastAsia="宋体" w:cs="宋体"/>
          <w:b w:val="0"/>
          <w:bCs/>
          <w:color w:val="FF0000"/>
          <w:sz w:val="21"/>
          <w:szCs w:val="21"/>
        </w:rPr>
        <w:t>资本资产定价模型及应用</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62"/>
        <w:gridCol w:w="9680"/>
      </w:tblGrid>
      <w:tr w14:paraId="5FFE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52" w:hRule="atLeast"/>
        </w:trPr>
        <w:tc>
          <w:tcPr>
            <w:tcW w:w="409" w:type="pct"/>
            <w:shd w:val="clear" w:color="auto" w:fill="auto"/>
            <w:tcMar>
              <w:top w:w="72" w:type="dxa"/>
              <w:left w:w="144" w:type="dxa"/>
              <w:bottom w:w="72" w:type="dxa"/>
              <w:right w:w="144" w:type="dxa"/>
            </w:tcMar>
            <w:vAlign w:val="top"/>
          </w:tcPr>
          <w:p w14:paraId="3795BFA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0C3ABF2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022208C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r>
              <w:rPr>
                <w:rFonts w:hint="eastAsia" w:ascii="宋体" w:hAnsi="宋体" w:eastAsia="宋体" w:cs="宋体"/>
                <w:i w:val="0"/>
                <w:iCs w:val="0"/>
                <w:color w:val="000000" w:themeColor="text1"/>
                <w:kern w:val="24"/>
                <w:sz w:val="21"/>
                <w:szCs w:val="21"/>
                <w:u w:val="none"/>
              </w:rPr>
              <w:t>计算</w:t>
            </w:r>
          </w:p>
          <w:p w14:paraId="4C54C50D">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公式</w:t>
            </w:r>
          </w:p>
        </w:tc>
        <w:tc>
          <w:tcPr>
            <w:tcW w:w="4590" w:type="pct"/>
            <w:shd w:val="clear" w:color="auto" w:fill="auto"/>
            <w:tcMar>
              <w:top w:w="72" w:type="dxa"/>
              <w:left w:w="144" w:type="dxa"/>
              <w:bottom w:w="72" w:type="dxa"/>
              <w:right w:w="144" w:type="dxa"/>
            </w:tcMar>
            <w:vAlign w:val="top"/>
          </w:tcPr>
          <w:p w14:paraId="2A53CE0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 xml:space="preserve">R = Rf + β*（Rm − Rf） </w:t>
            </w:r>
          </w:p>
          <w:p w14:paraId="6DD1D01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1.Rf无风险收益率</w:t>
            </w:r>
          </w:p>
          <w:p w14:paraId="12F4884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 β×（Rm－Rf）某个股票的风险收益率</w:t>
            </w:r>
          </w:p>
          <w:p w14:paraId="4D2216BE">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 Rm表示市场组合收益率，还可以称为平均风险资产的必要收益率、市场组合的必要收益率等等。</w:t>
            </w:r>
          </w:p>
          <w:p w14:paraId="324CE5EA">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 （Rm－Rf）称为市场风险溢酬，也可以称为市场组合的风险收益率或股票市场的风险收益率、平均风险的风险收益率。</w:t>
            </w:r>
          </w:p>
        </w:tc>
      </w:tr>
      <w:tr w14:paraId="05E1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trPr>
        <w:tc>
          <w:tcPr>
            <w:tcW w:w="409" w:type="pct"/>
            <w:shd w:val="clear" w:color="auto" w:fill="auto"/>
            <w:tcMar>
              <w:top w:w="72" w:type="dxa"/>
              <w:left w:w="144" w:type="dxa"/>
              <w:bottom w:w="72" w:type="dxa"/>
              <w:right w:w="144" w:type="dxa"/>
            </w:tcMar>
            <w:vAlign w:val="top"/>
          </w:tcPr>
          <w:p w14:paraId="663B6CAF">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应用</w:t>
            </w:r>
          </w:p>
        </w:tc>
        <w:tc>
          <w:tcPr>
            <w:tcW w:w="4590" w:type="pct"/>
            <w:shd w:val="clear" w:color="auto" w:fill="auto"/>
            <w:tcMar>
              <w:top w:w="72" w:type="dxa"/>
              <w:left w:w="144" w:type="dxa"/>
              <w:bottom w:w="72" w:type="dxa"/>
              <w:right w:w="144" w:type="dxa"/>
            </w:tcMar>
            <w:vAlign w:val="top"/>
          </w:tcPr>
          <w:p w14:paraId="1AA47B0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股票价值的估计、股票必要收益率的计算</w:t>
            </w:r>
          </w:p>
        </w:tc>
      </w:tr>
    </w:tbl>
    <w:p w14:paraId="5EAC60E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2E7D90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下列关于</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系数的表述中，错误的是（  ）。</w:t>
      </w:r>
    </w:p>
    <w:p w14:paraId="135D5BA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无风险资产的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系数等于</w:t>
      </w:r>
      <w:r>
        <w:rPr>
          <w:rFonts w:hint="eastAsia" w:ascii="宋体" w:hAnsi="宋体" w:eastAsia="宋体" w:cs="宋体"/>
          <w:b w:val="0"/>
          <w:bCs/>
          <w:color w:val="000000" w:themeColor="text1"/>
          <w:sz w:val="21"/>
          <w:szCs w:val="21"/>
          <w:lang w:val="en-US" w:eastAsia="zh-CN"/>
        </w:rPr>
        <w:t>0</w:t>
      </w:r>
    </w:p>
    <w:p w14:paraId="37218C2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证券投资组合的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系数不会高于组合中风险最高的资产的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w:t>
      </w:r>
    </w:p>
    <w:p w14:paraId="7380FB9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证券投资组合的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系数不会低于组合中风险最低的资产的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w:t>
      </w:r>
    </w:p>
    <w:p w14:paraId="6667145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如果某资产</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系数大于</w:t>
      </w:r>
      <w:r>
        <w:rPr>
          <w:rFonts w:hint="eastAsia" w:ascii="宋体" w:hAnsi="宋体" w:eastAsia="宋体" w:cs="宋体"/>
          <w:b w:val="0"/>
          <w:bCs/>
          <w:color w:val="000000" w:themeColor="text1"/>
          <w:sz w:val="21"/>
          <w:szCs w:val="21"/>
          <w:lang w:val="en-US" w:eastAsia="zh-CN"/>
        </w:rPr>
        <w:t>0</w:t>
      </w:r>
      <w:r>
        <w:rPr>
          <w:rFonts w:hint="eastAsia" w:ascii="宋体" w:hAnsi="宋体" w:eastAsia="宋体" w:cs="宋体"/>
          <w:b w:val="0"/>
          <w:bCs/>
          <w:color w:val="000000" w:themeColor="text1"/>
          <w:sz w:val="21"/>
          <w:szCs w:val="21"/>
        </w:rPr>
        <w:t>，说明该资产收益率变动幅度大于市场组合收益率变动幅度</w:t>
      </w:r>
    </w:p>
    <w:p w14:paraId="774141C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78893B6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如果某资产</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系数大于</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，说明该资产收益率变动幅度大于市场组合收益率变动幅度，资产</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系数大于</w:t>
      </w:r>
      <w:r>
        <w:rPr>
          <w:rFonts w:hint="eastAsia" w:ascii="宋体" w:hAnsi="宋体" w:eastAsia="宋体" w:cs="宋体"/>
          <w:b w:val="0"/>
          <w:bCs/>
          <w:color w:val="000000" w:themeColor="text1"/>
          <w:sz w:val="21"/>
          <w:szCs w:val="21"/>
          <w:lang w:val="en-US" w:eastAsia="zh-CN"/>
        </w:rPr>
        <w:t>0</w:t>
      </w:r>
      <w:r>
        <w:rPr>
          <w:rFonts w:hint="eastAsia" w:ascii="宋体" w:hAnsi="宋体" w:eastAsia="宋体" w:cs="宋体"/>
          <w:b w:val="0"/>
          <w:bCs/>
          <w:color w:val="000000" w:themeColor="text1"/>
          <w:sz w:val="21"/>
          <w:szCs w:val="21"/>
        </w:rPr>
        <w:t>，只说明收益率与市场平均收益率的变化方向一致。</w:t>
      </w:r>
    </w:p>
    <w:p w14:paraId="0F2FA99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D58B36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股票估价</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乙公司拟用</w:t>
      </w:r>
      <w:r>
        <w:rPr>
          <w:rFonts w:hint="eastAsia" w:ascii="宋体" w:hAnsi="宋体" w:eastAsia="宋体" w:cs="宋体"/>
          <w:b w:val="0"/>
          <w:bCs/>
          <w:color w:val="000000" w:themeColor="text1"/>
          <w:sz w:val="21"/>
          <w:szCs w:val="21"/>
          <w:lang w:val="en-US" w:eastAsia="zh-CN"/>
        </w:rPr>
        <w:t>2 000</w:t>
      </w:r>
      <w:r>
        <w:rPr>
          <w:rFonts w:hint="eastAsia" w:ascii="宋体" w:hAnsi="宋体" w:eastAsia="宋体" w:cs="宋体"/>
          <w:b w:val="0"/>
          <w:bCs/>
          <w:color w:val="000000" w:themeColor="text1"/>
          <w:sz w:val="21"/>
          <w:szCs w:val="21"/>
        </w:rPr>
        <w:t>万元进行证券投资，并准备长期持有。其中，</w:t>
      </w:r>
      <w:r>
        <w:rPr>
          <w:rFonts w:hint="eastAsia" w:ascii="宋体" w:hAnsi="宋体" w:eastAsia="宋体" w:cs="宋体"/>
          <w:b w:val="0"/>
          <w:bCs/>
          <w:color w:val="000000" w:themeColor="text1"/>
          <w:sz w:val="21"/>
          <w:szCs w:val="21"/>
          <w:lang w:val="en-US" w:eastAsia="zh-CN"/>
        </w:rPr>
        <w:t>1200</w:t>
      </w:r>
      <w:r>
        <w:rPr>
          <w:rFonts w:hint="eastAsia" w:ascii="宋体" w:hAnsi="宋体" w:eastAsia="宋体" w:cs="宋体"/>
          <w:b w:val="0"/>
          <w:bCs/>
          <w:color w:val="000000" w:themeColor="text1"/>
          <w:sz w:val="21"/>
          <w:szCs w:val="21"/>
        </w:rPr>
        <w:t>万元购买</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w:t>
      </w:r>
      <w:r>
        <w:rPr>
          <w:rFonts w:hint="eastAsia" w:ascii="宋体" w:hAnsi="宋体" w:eastAsia="宋体" w:cs="宋体"/>
          <w:b w:val="0"/>
          <w:bCs/>
          <w:color w:val="000000" w:themeColor="text1"/>
          <w:sz w:val="21"/>
          <w:szCs w:val="21"/>
          <w:lang w:val="en-US" w:eastAsia="zh-CN"/>
        </w:rPr>
        <w:t>800</w:t>
      </w:r>
      <w:r>
        <w:rPr>
          <w:rFonts w:hint="eastAsia" w:ascii="宋体" w:hAnsi="宋体" w:eastAsia="宋体" w:cs="宋体"/>
          <w:b w:val="0"/>
          <w:bCs/>
          <w:color w:val="000000" w:themeColor="text1"/>
          <w:sz w:val="21"/>
          <w:szCs w:val="21"/>
        </w:rPr>
        <w:t>万元购买</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公司债券，有关资料如下</w:t>
      </w:r>
      <w:r>
        <w:rPr>
          <w:rFonts w:hint="eastAsia" w:ascii="宋体" w:hAnsi="宋体" w:eastAsia="宋体" w:cs="宋体"/>
          <w:b w:val="0"/>
          <w:bCs/>
          <w:color w:val="000000" w:themeColor="text1"/>
          <w:sz w:val="21"/>
          <w:szCs w:val="21"/>
          <w:lang w:val="en-US" w:eastAsia="zh-CN"/>
        </w:rPr>
        <w:t>:</w:t>
      </w:r>
    </w:p>
    <w:p w14:paraId="3C0D973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）目前无风险收益率为</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，市场平均收益率为</w:t>
      </w:r>
      <w:r>
        <w:rPr>
          <w:rFonts w:hint="eastAsia" w:ascii="宋体" w:hAnsi="宋体" w:eastAsia="宋体" w:cs="宋体"/>
          <w:b w:val="0"/>
          <w:bCs/>
          <w:color w:val="000000" w:themeColor="text1"/>
          <w:sz w:val="21"/>
          <w:szCs w:val="21"/>
          <w:lang w:val="en-US" w:eastAsia="zh-CN"/>
        </w:rPr>
        <w:t>16%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系数为</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w:t>
      </w:r>
    </w:p>
    <w:p w14:paraId="7795337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公司当前每股市价为</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元。预计未来每年的每股股利均为</w:t>
      </w:r>
      <w:r>
        <w:rPr>
          <w:rFonts w:hint="eastAsia" w:ascii="宋体" w:hAnsi="宋体" w:eastAsia="宋体" w:cs="宋体"/>
          <w:b w:val="0"/>
          <w:bCs/>
          <w:color w:val="000000" w:themeColor="text1"/>
          <w:sz w:val="21"/>
          <w:szCs w:val="21"/>
          <w:lang w:val="en-US" w:eastAsia="zh-CN"/>
        </w:rPr>
        <w:t xml:space="preserve">2.7 </w:t>
      </w:r>
      <w:r>
        <w:rPr>
          <w:rFonts w:hint="eastAsia" w:ascii="宋体" w:hAnsi="宋体" w:eastAsia="宋体" w:cs="宋体"/>
          <w:b w:val="0"/>
          <w:bCs/>
          <w:color w:val="000000" w:themeColor="text1"/>
          <w:sz w:val="21"/>
          <w:szCs w:val="21"/>
        </w:rPr>
        <w:t>元。</w:t>
      </w:r>
    </w:p>
    <w:p w14:paraId="1668891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公司债券的必要收益率为</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w:t>
      </w:r>
    </w:p>
    <w:p w14:paraId="4E04876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w:t>
      </w:r>
    </w:p>
    <w:p w14:paraId="25AC0DA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）利用资本资产定价模型计算</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公司股票的必要收益率。</w:t>
      </w:r>
    </w:p>
    <w:p w14:paraId="33D8984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）计算</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公司股票的价值，并据以判断</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公司股票是否值得购买。</w:t>
      </w:r>
    </w:p>
    <w:p w14:paraId="4C683A1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）计算乙公司证券投资组合的必要收益率。</w:t>
      </w:r>
    </w:p>
    <w:p w14:paraId="6C21B1C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案例解析</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公司股票的必要收益率</w:t>
      </w:r>
      <w:r>
        <w:rPr>
          <w:rFonts w:hint="eastAsia" w:ascii="宋体" w:hAnsi="宋体" w:eastAsia="宋体" w:cs="宋体"/>
          <w:b w:val="0"/>
          <w:bCs/>
          <w:color w:val="000000" w:themeColor="text1"/>
          <w:sz w:val="21"/>
          <w:szCs w:val="21"/>
          <w:lang w:val="en-US" w:eastAsia="zh-CN"/>
        </w:rPr>
        <w:t>=6%+1.2×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16%-6%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p>
    <w:p w14:paraId="4610B35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公司股票的价值</w:t>
      </w:r>
      <w:r>
        <w:rPr>
          <w:rFonts w:hint="eastAsia" w:ascii="宋体" w:hAnsi="宋体" w:eastAsia="宋体" w:cs="宋体"/>
          <w:b w:val="0"/>
          <w:bCs/>
          <w:color w:val="000000" w:themeColor="text1"/>
          <w:sz w:val="21"/>
          <w:szCs w:val="21"/>
          <w:lang w:val="en-US" w:eastAsia="zh-CN"/>
        </w:rPr>
        <w:t>=2.7/18%=15</w:t>
      </w:r>
      <w:r>
        <w:rPr>
          <w:rFonts w:hint="eastAsia" w:ascii="宋体" w:hAnsi="宋体" w:eastAsia="宋体" w:cs="宋体"/>
          <w:b w:val="0"/>
          <w:bCs/>
          <w:color w:val="000000" w:themeColor="text1"/>
          <w:sz w:val="21"/>
          <w:szCs w:val="21"/>
        </w:rPr>
        <w:t>（元） 因为市价低于价值，所以值得购买。</w:t>
      </w:r>
    </w:p>
    <w:p w14:paraId="6B3E3BB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）乙公司证券投资组合的必要收益率</w:t>
      </w:r>
      <w:r>
        <w:rPr>
          <w:rFonts w:hint="eastAsia" w:ascii="宋体" w:hAnsi="宋体" w:eastAsia="宋体" w:cs="宋体"/>
          <w:b w:val="0"/>
          <w:bCs/>
          <w:color w:val="000000" w:themeColor="text1"/>
          <w:sz w:val="21"/>
          <w:szCs w:val="21"/>
          <w:lang w:val="en-US" w:eastAsia="zh-CN"/>
        </w:rPr>
        <w:t>=1200/2000×18%+800/2000×7%=13.6%</w:t>
      </w:r>
    </w:p>
    <w:p w14:paraId="6B5B1D0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或：组合的必要收益率</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1200×18%+800×7%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÷2000=13.60%</w:t>
      </w:r>
    </w:p>
    <w:p w14:paraId="11661A5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AF2201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5】</w:t>
      </w:r>
      <w:r>
        <w:rPr>
          <w:rFonts w:hint="eastAsia" w:ascii="宋体" w:hAnsi="宋体" w:eastAsia="宋体" w:cs="宋体"/>
          <w:b w:val="0"/>
          <w:bCs/>
          <w:color w:val="FF0000"/>
          <w:sz w:val="21"/>
          <w:szCs w:val="21"/>
        </w:rPr>
        <w:t>成本性态分析</w:t>
      </w:r>
    </w:p>
    <w:p w14:paraId="174ACBB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一、固定成本、变动成本（重点：分类的辨析）</w:t>
      </w:r>
    </w:p>
    <w:p w14:paraId="75C5093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二、混合成本</w:t>
      </w:r>
    </w:p>
    <w:p w14:paraId="3E9E90C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混合成本分类：半变动成本、半固定成本、延期变动成本、曲线变动成本）</w:t>
      </w:r>
    </w:p>
    <w:p w14:paraId="7EF33C8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混合成本分解 （重点：高低点法、回归分析法</w:t>
      </w:r>
    </w:p>
    <w:p w14:paraId="51D7921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F3A4CF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下列各项中属于变动成本的包括（  ）。</w:t>
      </w:r>
    </w:p>
    <w:p w14:paraId="4843701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直接人工</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p>
    <w:p w14:paraId="4A27975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直接材料         </w:t>
      </w:r>
    </w:p>
    <w:p w14:paraId="2378EFE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外部加工费    </w:t>
      </w:r>
      <w:r>
        <w:rPr>
          <w:rFonts w:hint="eastAsia" w:ascii="宋体" w:hAnsi="宋体" w:eastAsia="宋体" w:cs="宋体"/>
          <w:b w:val="0"/>
          <w:bCs/>
          <w:color w:val="000000" w:themeColor="text1"/>
          <w:sz w:val="21"/>
          <w:szCs w:val="21"/>
        </w:rPr>
        <w:tab/>
      </w:r>
    </w:p>
    <w:p w14:paraId="4D06E7A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广告费</w:t>
      </w:r>
    </w:p>
    <w:p w14:paraId="1F5087B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ABC</w:t>
      </w:r>
    </w:p>
    <w:p w14:paraId="065102B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直接材料、直接人工和加工费均属于变动成本，广告费属于固定成本。故选</w:t>
      </w:r>
      <w:r>
        <w:rPr>
          <w:rFonts w:hint="eastAsia" w:ascii="宋体" w:hAnsi="宋体" w:eastAsia="宋体" w:cs="宋体"/>
          <w:b w:val="0"/>
          <w:bCs/>
          <w:color w:val="000000" w:themeColor="text1"/>
          <w:sz w:val="21"/>
          <w:szCs w:val="21"/>
          <w:lang w:val="en-US" w:eastAsia="zh-CN"/>
        </w:rPr>
        <w:t>ABC</w:t>
      </w:r>
      <w:r>
        <w:rPr>
          <w:rFonts w:hint="eastAsia" w:ascii="宋体" w:hAnsi="宋体" w:eastAsia="宋体" w:cs="宋体"/>
          <w:b w:val="0"/>
          <w:bCs/>
          <w:color w:val="000000" w:themeColor="text1"/>
          <w:sz w:val="21"/>
          <w:szCs w:val="21"/>
        </w:rPr>
        <w:t>项</w:t>
      </w:r>
    </w:p>
    <w:p w14:paraId="62EA546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19A7C5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下列有关成本的特点表述正确的有（  ）</w:t>
      </w:r>
    </w:p>
    <w:p w14:paraId="647D3A8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 xml:space="preserve">A. </w:t>
      </w:r>
      <w:r>
        <w:rPr>
          <w:rFonts w:hint="eastAsia" w:ascii="宋体" w:hAnsi="宋体" w:eastAsia="宋体" w:cs="宋体"/>
          <w:b w:val="0"/>
          <w:bCs/>
          <w:color w:val="000000" w:themeColor="text1"/>
          <w:sz w:val="21"/>
          <w:szCs w:val="21"/>
        </w:rPr>
        <w:t>在相关范围内，固定成本总额随业务量呈反比例变动</w:t>
      </w:r>
    </w:p>
    <w:p w14:paraId="41E8ACC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在相关范围内，单位固定成本随业务量呈反方向变动</w:t>
      </w:r>
    </w:p>
    <w:p w14:paraId="4924B23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在相关范围内，固定成本总额不变</w:t>
      </w:r>
    </w:p>
    <w:p w14:paraId="61BE5D1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在相关范围内，单位变动成本随业务量呈正比例变动</w:t>
      </w:r>
    </w:p>
    <w:p w14:paraId="1DBFE1B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 xml:space="preserve"> BC</w:t>
      </w:r>
    </w:p>
    <w:p w14:paraId="667E1CB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在相关范围内，固定成本总额不变，单位固定成本随业务量呈反方向变动；变动成本总额随业务量呈正比例变动，单位变动成本不变。</w:t>
      </w:r>
    </w:p>
    <w:p w14:paraId="79446E3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C4A7A8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某公司对营销人员新金支付采取每月支付固定月工资，此外每推销一件产品提成</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元的奖励，这种人工成本属于（  ） 。</w:t>
      </w:r>
    </w:p>
    <w:p w14:paraId="7FB69FE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半变动成本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半固定成本        </w:t>
      </w:r>
    </w:p>
    <w:p w14:paraId="7E6BA3F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延期变动成本       </w:t>
      </w:r>
      <w:r>
        <w:rPr>
          <w:rFonts w:hint="eastAsia" w:ascii="宋体" w:hAnsi="宋体" w:eastAsia="宋体" w:cs="宋体"/>
          <w:b w:val="0"/>
          <w:bCs/>
          <w:color w:val="000000" w:themeColor="text1"/>
          <w:sz w:val="21"/>
          <w:szCs w:val="21"/>
          <w:lang w:val="en-US" w:eastAsia="zh-CN"/>
        </w:rPr>
        <w:t xml:space="preserve">D. </w:t>
      </w:r>
      <w:r>
        <w:rPr>
          <w:rFonts w:hint="eastAsia" w:ascii="宋体" w:hAnsi="宋体" w:eastAsia="宋体" w:cs="宋体"/>
          <w:b w:val="0"/>
          <w:bCs/>
          <w:color w:val="000000" w:themeColor="text1"/>
          <w:sz w:val="21"/>
          <w:szCs w:val="21"/>
        </w:rPr>
        <w:t>曲线成本</w:t>
      </w:r>
    </w:p>
    <w:p w14:paraId="0F231CD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73C6615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半变动成本是指在初始技术的基础上随产量正比例变动的成本。</w:t>
      </w:r>
    </w:p>
    <w:p w14:paraId="0A4CA73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CC078E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w:t>
      </w:r>
      <w:r>
        <w:rPr>
          <w:rFonts w:hint="eastAsia" w:ascii="宋体" w:hAnsi="宋体" w:eastAsia="宋体" w:cs="宋体"/>
          <w:b w:val="0"/>
          <w:bCs/>
          <w:color w:val="000000" w:themeColor="text1"/>
          <w:sz w:val="21"/>
          <w:szCs w:val="21"/>
          <w:lang w:val="en-US" w:eastAsia="zh-CN"/>
        </w:rPr>
        <w:t>2x20</w:t>
      </w:r>
      <w:r>
        <w:rPr>
          <w:rFonts w:hint="eastAsia" w:ascii="宋体" w:hAnsi="宋体" w:eastAsia="宋体" w:cs="宋体"/>
          <w:b w:val="0"/>
          <w:bCs/>
          <w:color w:val="000000" w:themeColor="text1"/>
          <w:sz w:val="21"/>
          <w:szCs w:val="21"/>
        </w:rPr>
        <w:t>年至</w:t>
      </w:r>
      <w:r>
        <w:rPr>
          <w:rFonts w:hint="eastAsia" w:ascii="宋体" w:hAnsi="宋体" w:eastAsia="宋体" w:cs="宋体"/>
          <w:b w:val="0"/>
          <w:bCs/>
          <w:color w:val="000000" w:themeColor="text1"/>
          <w:sz w:val="21"/>
          <w:szCs w:val="21"/>
          <w:lang w:val="en-US" w:eastAsia="zh-CN"/>
        </w:rPr>
        <w:t>2x23</w:t>
      </w:r>
      <w:r>
        <w:rPr>
          <w:rFonts w:hint="eastAsia" w:ascii="宋体" w:hAnsi="宋体" w:eastAsia="宋体" w:cs="宋体"/>
          <w:b w:val="0"/>
          <w:bCs/>
          <w:color w:val="000000" w:themeColor="text1"/>
          <w:sz w:val="21"/>
          <w:szCs w:val="21"/>
        </w:rPr>
        <w:t>年度业务量（直接人工万小时）和维修成本（万元）的历史数据分别为（</w:t>
      </w:r>
      <w:r>
        <w:rPr>
          <w:rFonts w:hint="eastAsia" w:ascii="宋体" w:hAnsi="宋体" w:eastAsia="宋体" w:cs="宋体"/>
          <w:b w:val="0"/>
          <w:bCs/>
          <w:color w:val="000000" w:themeColor="text1"/>
          <w:sz w:val="21"/>
          <w:szCs w:val="21"/>
          <w:lang w:val="en-US" w:eastAsia="zh-CN"/>
        </w:rPr>
        <w:t>800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1 000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1 100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21</w:t>
      </w:r>
      <w:r>
        <w:rPr>
          <w:rFonts w:hint="eastAsia" w:ascii="宋体" w:hAnsi="宋体" w:eastAsia="宋体" w:cs="宋体"/>
          <w:b w:val="0"/>
          <w:bCs/>
          <w:color w:val="000000" w:themeColor="text1"/>
          <w:sz w:val="21"/>
          <w:szCs w:val="21"/>
        </w:rPr>
        <w:t>），运用高低点法分解混合成本时，应采用的两组数据是（  ）。</w:t>
      </w:r>
    </w:p>
    <w:p w14:paraId="6798550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w:t>
      </w:r>
      <w:r>
        <w:rPr>
          <w:rFonts w:hint="eastAsia" w:ascii="宋体" w:hAnsi="宋体" w:eastAsia="宋体" w:cs="宋体"/>
          <w:b w:val="0"/>
          <w:bCs/>
          <w:color w:val="000000" w:themeColor="text1"/>
          <w:sz w:val="21"/>
          <w:szCs w:val="21"/>
        </w:rPr>
        <w:t>）和（</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w:t>
      </w:r>
    </w:p>
    <w:p w14:paraId="2FD4CEF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B. </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w:t>
      </w:r>
      <w:r>
        <w:rPr>
          <w:rFonts w:hint="eastAsia" w:ascii="宋体" w:hAnsi="宋体" w:eastAsia="宋体" w:cs="宋体"/>
          <w:b w:val="0"/>
          <w:bCs/>
          <w:color w:val="000000" w:themeColor="text1"/>
          <w:sz w:val="21"/>
          <w:szCs w:val="21"/>
        </w:rPr>
        <w:t>）和（</w:t>
      </w:r>
      <w:r>
        <w:rPr>
          <w:rFonts w:hint="eastAsia" w:ascii="宋体" w:hAnsi="宋体" w:eastAsia="宋体" w:cs="宋体"/>
          <w:b w:val="0"/>
          <w:bCs/>
          <w:color w:val="000000" w:themeColor="text1"/>
          <w:sz w:val="21"/>
          <w:szCs w:val="21"/>
          <w:lang w:val="en-US" w:eastAsia="zh-CN"/>
        </w:rPr>
        <w:t>1 100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w:t>
      </w:r>
    </w:p>
    <w:p w14:paraId="4E4BC61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C. </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）和（</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w:t>
      </w:r>
    </w:p>
    <w:p w14:paraId="03DCE8E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D. </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w:t>
      </w:r>
      <w:r>
        <w:rPr>
          <w:rFonts w:hint="eastAsia" w:ascii="宋体" w:hAnsi="宋体" w:eastAsia="宋体" w:cs="宋体"/>
          <w:b w:val="0"/>
          <w:bCs/>
          <w:color w:val="000000" w:themeColor="text1"/>
          <w:sz w:val="21"/>
          <w:szCs w:val="21"/>
        </w:rPr>
        <w:t>）和（</w:t>
      </w:r>
      <w:r>
        <w:rPr>
          <w:rFonts w:hint="eastAsia" w:ascii="宋体" w:hAnsi="宋体" w:eastAsia="宋体" w:cs="宋体"/>
          <w:b w:val="0"/>
          <w:bCs/>
          <w:color w:val="000000" w:themeColor="text1"/>
          <w:sz w:val="21"/>
          <w:szCs w:val="21"/>
          <w:lang w:val="en-US" w:eastAsia="zh-CN"/>
        </w:rPr>
        <w:t>1100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21</w:t>
      </w:r>
      <w:r>
        <w:rPr>
          <w:rFonts w:hint="eastAsia" w:ascii="宋体" w:hAnsi="宋体" w:eastAsia="宋体" w:cs="宋体"/>
          <w:b w:val="0"/>
          <w:bCs/>
          <w:color w:val="000000" w:themeColor="text1"/>
          <w:sz w:val="21"/>
          <w:szCs w:val="21"/>
        </w:rPr>
        <w:t>）</w:t>
      </w:r>
    </w:p>
    <w:p w14:paraId="3B969DA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70BFA0A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采用高低点法来分解混合成本时，应该采用业务量的最大值和最小值作为最高点和最低点，故应该选择（</w:t>
      </w:r>
      <w:r>
        <w:rPr>
          <w:rFonts w:hint="eastAsia" w:ascii="宋体" w:hAnsi="宋体" w:eastAsia="宋体" w:cs="宋体"/>
          <w:b w:val="0"/>
          <w:bCs/>
          <w:color w:val="000000" w:themeColor="text1"/>
          <w:sz w:val="21"/>
          <w:szCs w:val="21"/>
          <w:lang w:val="en-US" w:eastAsia="zh-CN"/>
        </w:rPr>
        <w:t>760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和（</w:t>
      </w:r>
      <w:r>
        <w:rPr>
          <w:rFonts w:hint="eastAsia" w:ascii="宋体" w:hAnsi="宋体" w:eastAsia="宋体" w:cs="宋体"/>
          <w:b w:val="0"/>
          <w:bCs/>
          <w:color w:val="000000" w:themeColor="text1"/>
          <w:sz w:val="21"/>
          <w:szCs w:val="21"/>
          <w:lang w:val="en-US" w:eastAsia="zh-CN"/>
        </w:rPr>
        <w:t>1 100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21</w:t>
      </w:r>
      <w:r>
        <w:rPr>
          <w:rFonts w:hint="eastAsia" w:ascii="宋体" w:hAnsi="宋体" w:eastAsia="宋体" w:cs="宋体"/>
          <w:b w:val="0"/>
          <w:bCs/>
          <w:color w:val="000000" w:themeColor="text1"/>
          <w:sz w:val="21"/>
          <w:szCs w:val="21"/>
        </w:rPr>
        <w:t>），选项</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正确。</w:t>
      </w:r>
    </w:p>
    <w:p w14:paraId="15189BF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A412D4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21D7E5D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376D8AD4">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第四章 筹资管理（上）</w:t>
      </w:r>
    </w:p>
    <w:p w14:paraId="64A87E3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DE7EAC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本章属于重点章节，考分</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分左右，考点如下：</w:t>
      </w:r>
    </w:p>
    <w:p w14:paraId="26DF92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（一）企业筹资管理概述</w:t>
      </w:r>
    </w:p>
    <w:p w14:paraId="656A634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（二）债务筹资</w:t>
      </w:r>
    </w:p>
    <w:p w14:paraId="2582771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（三）股权筹资</w:t>
      </w:r>
    </w:p>
    <w:p w14:paraId="077600B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（四）衍生工具筹资</w:t>
      </w:r>
    </w:p>
    <w:p w14:paraId="01CDA6D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（五）筹资实务创新</w:t>
      </w:r>
    </w:p>
    <w:p w14:paraId="6A6DC23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74F26A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1】</w:t>
      </w:r>
      <w:r>
        <w:rPr>
          <w:rFonts w:hint="eastAsia" w:ascii="宋体" w:hAnsi="宋体" w:eastAsia="宋体" w:cs="宋体"/>
          <w:b w:val="0"/>
          <w:bCs/>
          <w:color w:val="FF0000"/>
          <w:sz w:val="21"/>
          <w:szCs w:val="21"/>
        </w:rPr>
        <w:t>企业筹资的动机</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49"/>
        <w:gridCol w:w="8721"/>
      </w:tblGrid>
      <w:tr w14:paraId="78E5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835" w:type="pct"/>
            <w:shd w:val="clear" w:color="auto" w:fill="auto"/>
            <w:tcMar>
              <w:top w:w="72" w:type="dxa"/>
              <w:left w:w="108" w:type="dxa"/>
              <w:bottom w:w="72" w:type="dxa"/>
              <w:right w:w="108" w:type="dxa"/>
            </w:tcMar>
            <w:vAlign w:val="top"/>
          </w:tcPr>
          <w:p w14:paraId="7AA1A1F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创立性筹资动机</w:t>
            </w:r>
          </w:p>
        </w:tc>
        <w:tc>
          <w:tcPr>
            <w:tcW w:w="4164" w:type="pct"/>
            <w:shd w:val="clear" w:color="auto" w:fill="auto"/>
            <w:tcMar>
              <w:top w:w="72" w:type="dxa"/>
              <w:left w:w="108" w:type="dxa"/>
              <w:bottom w:w="72" w:type="dxa"/>
              <w:right w:w="108" w:type="dxa"/>
            </w:tcMar>
            <w:vAlign w:val="top"/>
          </w:tcPr>
          <w:p w14:paraId="3651FE9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企业设立时，为取得资本金并形成开展经营活动的基本条件而产生的筹资动机。</w:t>
            </w:r>
          </w:p>
        </w:tc>
      </w:tr>
      <w:tr w14:paraId="798B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5" w:type="pct"/>
            <w:shd w:val="clear" w:color="auto" w:fill="auto"/>
            <w:tcMar>
              <w:top w:w="72" w:type="dxa"/>
              <w:left w:w="108" w:type="dxa"/>
              <w:bottom w:w="72" w:type="dxa"/>
              <w:right w:w="108" w:type="dxa"/>
            </w:tcMar>
            <w:vAlign w:val="top"/>
          </w:tcPr>
          <w:p w14:paraId="0C5478D4">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支付性筹资动机</w:t>
            </w:r>
          </w:p>
        </w:tc>
        <w:tc>
          <w:tcPr>
            <w:tcW w:w="4164" w:type="pct"/>
            <w:shd w:val="clear" w:color="auto" w:fill="auto"/>
            <w:tcMar>
              <w:top w:w="72" w:type="dxa"/>
              <w:left w:w="108" w:type="dxa"/>
              <w:bottom w:w="72" w:type="dxa"/>
              <w:right w:w="108" w:type="dxa"/>
            </w:tcMar>
            <w:vAlign w:val="top"/>
          </w:tcPr>
          <w:p w14:paraId="2B7F57F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为满足经营业务活动的正常波动所形成的支付需要而产生的筹资动机</w:t>
            </w:r>
          </w:p>
        </w:tc>
      </w:tr>
      <w:tr w14:paraId="20A8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835" w:type="pct"/>
            <w:shd w:val="clear" w:color="auto" w:fill="auto"/>
            <w:tcMar>
              <w:top w:w="72" w:type="dxa"/>
              <w:left w:w="108" w:type="dxa"/>
              <w:bottom w:w="72" w:type="dxa"/>
              <w:right w:w="108" w:type="dxa"/>
            </w:tcMar>
            <w:vAlign w:val="top"/>
          </w:tcPr>
          <w:p w14:paraId="4792B812">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扩张性筹资动机</w:t>
            </w:r>
          </w:p>
        </w:tc>
        <w:tc>
          <w:tcPr>
            <w:tcW w:w="4164" w:type="pct"/>
            <w:shd w:val="clear" w:color="auto" w:fill="auto"/>
            <w:tcMar>
              <w:top w:w="72" w:type="dxa"/>
              <w:left w:w="108" w:type="dxa"/>
              <w:bottom w:w="72" w:type="dxa"/>
              <w:right w:w="108" w:type="dxa"/>
            </w:tcMar>
            <w:vAlign w:val="top"/>
          </w:tcPr>
          <w:p w14:paraId="6BE2283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企业因扩大经营规模或对外投资需要而产生的筹资动机。</w:t>
            </w:r>
          </w:p>
        </w:tc>
      </w:tr>
      <w:tr w14:paraId="0773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5" w:type="pct"/>
            <w:shd w:val="clear" w:color="auto" w:fill="auto"/>
            <w:tcMar>
              <w:top w:w="72" w:type="dxa"/>
              <w:left w:w="108" w:type="dxa"/>
              <w:bottom w:w="72" w:type="dxa"/>
              <w:right w:w="108" w:type="dxa"/>
            </w:tcMar>
            <w:vAlign w:val="top"/>
          </w:tcPr>
          <w:p w14:paraId="211E7A0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12AEF05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调整性筹资动机</w:t>
            </w:r>
          </w:p>
        </w:tc>
        <w:tc>
          <w:tcPr>
            <w:tcW w:w="4164" w:type="pct"/>
            <w:shd w:val="clear" w:color="auto" w:fill="auto"/>
            <w:tcMar>
              <w:top w:w="72" w:type="dxa"/>
              <w:left w:w="108" w:type="dxa"/>
              <w:bottom w:w="72" w:type="dxa"/>
              <w:right w:w="108" w:type="dxa"/>
            </w:tcMar>
            <w:vAlign w:val="top"/>
          </w:tcPr>
          <w:p w14:paraId="40EF5972">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企业因调整资本结构而产生的筹资动机。</w:t>
            </w:r>
          </w:p>
          <w:p w14:paraId="3120D544">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调整目的：（1）优化资本结构，合理利用财务杠杆效应；</w:t>
            </w:r>
          </w:p>
          <w:p w14:paraId="257CA919">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 xml:space="preserve">         </w:t>
            </w:r>
            <w:r>
              <w:rPr>
                <w:rFonts w:hint="eastAsia" w:ascii="宋体" w:hAnsi="宋体" w:cs="宋体"/>
                <w:i w:val="0"/>
                <w:iCs w:val="0"/>
                <w:color w:val="000000" w:themeColor="text1"/>
                <w:kern w:val="24"/>
                <w:sz w:val="21"/>
                <w:szCs w:val="21"/>
                <w:u w:val="none"/>
                <w:lang w:val="en-US" w:eastAsia="zh-CN"/>
              </w:rPr>
              <w:t xml:space="preserve"> </w:t>
            </w:r>
            <w:r>
              <w:rPr>
                <w:rFonts w:hint="eastAsia" w:ascii="宋体" w:hAnsi="宋体" w:eastAsia="宋体" w:cs="宋体"/>
                <w:i w:val="0"/>
                <w:iCs w:val="0"/>
                <w:color w:val="000000" w:themeColor="text1"/>
                <w:kern w:val="24"/>
                <w:sz w:val="21"/>
                <w:szCs w:val="21"/>
                <w:u w:val="none"/>
              </w:rPr>
              <w:t>（2）偿还到期债务，债务结构内部调整。</w:t>
            </w:r>
          </w:p>
        </w:tc>
      </w:tr>
      <w:tr w14:paraId="27F0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5" w:type="pct"/>
            <w:shd w:val="clear" w:color="auto" w:fill="auto"/>
            <w:tcMar>
              <w:top w:w="72" w:type="dxa"/>
              <w:left w:w="108" w:type="dxa"/>
              <w:bottom w:w="72" w:type="dxa"/>
              <w:right w:w="108" w:type="dxa"/>
            </w:tcMar>
            <w:vAlign w:val="top"/>
          </w:tcPr>
          <w:p w14:paraId="2A8AFCE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混合性</w:t>
            </w:r>
          </w:p>
        </w:tc>
        <w:tc>
          <w:tcPr>
            <w:tcW w:w="4164" w:type="pct"/>
            <w:shd w:val="clear" w:color="auto" w:fill="auto"/>
            <w:tcMar>
              <w:top w:w="72" w:type="dxa"/>
              <w:left w:w="108" w:type="dxa"/>
              <w:bottom w:w="72" w:type="dxa"/>
              <w:right w:w="108" w:type="dxa"/>
            </w:tcMar>
            <w:vAlign w:val="top"/>
          </w:tcPr>
          <w:p w14:paraId="1B52B25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基于企业规模扩张和调整资本结构两种目的，兼具扩张性筹资动机和调整性筹资动机的特性，同时增加了企业的资产总额和资本总额，也导致企业的资产结构和资本结构同时变化。</w:t>
            </w:r>
          </w:p>
        </w:tc>
      </w:tr>
    </w:tbl>
    <w:p w14:paraId="650680FA">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提示</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银行借款的提前支付是支付性筹资动机；而偿还到期债务是调整性筹资动机。</w:t>
      </w:r>
    </w:p>
    <w:p w14:paraId="2AD376A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93B9B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企业因发放现金股利的需要而进行筹资的动机属于（  ）。</w:t>
      </w:r>
    </w:p>
    <w:p w14:paraId="2990003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扩张性筹资动机</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支付性筹资动机</w:t>
      </w:r>
    </w:p>
    <w:p w14:paraId="63C8998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创立性筹资动机</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调整性筹资动机</w:t>
      </w:r>
    </w:p>
    <w:p w14:paraId="13CEB6F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32CE5BB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支付性筹资动机，是指为了满足经营业务活动的正常波动所形成的支付需要而产生的筹资动机。在企业开展经营活动过程中，经常会出现超出维持正常经营活动资金需求的季节性、临时性的交易支付需要，如原材料购买的大额支付、员工工资的集中发放、银行借款的提前偿还、股东股利的发放等。故选</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项。</w:t>
      </w:r>
    </w:p>
    <w:p w14:paraId="5D3C9CA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B2B63D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当一些债务即将到期时，企业虽然有足够的偿债能力，但为了保持现有的资本结构，仍然举新债还旧债。这种筹资的动机是（  ）。</w:t>
      </w:r>
    </w:p>
    <w:p w14:paraId="6F986DE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扩张性筹资动机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支付性筹资动机   </w:t>
      </w:r>
    </w:p>
    <w:p w14:paraId="4F4B29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调整性筹资动机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创立性筹资动机</w:t>
      </w:r>
    </w:p>
    <w:p w14:paraId="18CA708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1A6F469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调整性筹资动机，是指企业因调整资本结构而产生的筹资动机。当一些债务即将到期，企业虽然有足够的偿债能力，但为了保持现有的资本结构，仍然举借新债以偿还旧债，这是为了调整资本结构。</w:t>
      </w:r>
    </w:p>
    <w:p w14:paraId="78ACE6D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68CCF0C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2】</w:t>
      </w:r>
      <w:r>
        <w:rPr>
          <w:rFonts w:hint="eastAsia" w:ascii="宋体" w:hAnsi="宋体" w:eastAsia="宋体" w:cs="宋体"/>
          <w:b w:val="0"/>
          <w:bCs/>
          <w:color w:val="FF0000"/>
          <w:sz w:val="21"/>
          <w:szCs w:val="21"/>
        </w:rPr>
        <w:t>筹资方式及分类</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419"/>
        <w:gridCol w:w="8051"/>
      </w:tblGrid>
      <w:tr w14:paraId="1882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7" w:hRule="atLeast"/>
        </w:trPr>
        <w:tc>
          <w:tcPr>
            <w:tcW w:w="1155" w:type="pct"/>
            <w:shd w:val="clear" w:color="auto" w:fill="auto"/>
            <w:tcMar>
              <w:top w:w="72" w:type="dxa"/>
              <w:left w:w="108" w:type="dxa"/>
              <w:bottom w:w="72" w:type="dxa"/>
              <w:right w:w="108" w:type="dxa"/>
            </w:tcMar>
            <w:vAlign w:val="top"/>
          </w:tcPr>
          <w:p w14:paraId="6C73635D">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筹资类型</w:t>
            </w:r>
          </w:p>
        </w:tc>
        <w:tc>
          <w:tcPr>
            <w:tcW w:w="3844" w:type="pct"/>
            <w:shd w:val="clear" w:color="auto" w:fill="auto"/>
            <w:tcMar>
              <w:top w:w="72" w:type="dxa"/>
              <w:left w:w="108" w:type="dxa"/>
              <w:bottom w:w="72" w:type="dxa"/>
              <w:right w:w="108" w:type="dxa"/>
            </w:tcMar>
            <w:vAlign w:val="top"/>
          </w:tcPr>
          <w:p w14:paraId="7409EF0D">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筹资方式</w:t>
            </w:r>
          </w:p>
        </w:tc>
      </w:tr>
      <w:tr w14:paraId="4BC3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1" w:hRule="atLeast"/>
        </w:trPr>
        <w:tc>
          <w:tcPr>
            <w:tcW w:w="1155" w:type="pct"/>
            <w:shd w:val="clear" w:color="auto" w:fill="auto"/>
            <w:tcMar>
              <w:top w:w="72" w:type="dxa"/>
              <w:left w:w="108" w:type="dxa"/>
              <w:bottom w:w="72" w:type="dxa"/>
              <w:right w:w="108" w:type="dxa"/>
            </w:tcMar>
            <w:vAlign w:val="top"/>
          </w:tcPr>
          <w:p w14:paraId="0EC8FF8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股权筹资</w:t>
            </w:r>
          </w:p>
        </w:tc>
        <w:tc>
          <w:tcPr>
            <w:tcW w:w="3844" w:type="pct"/>
            <w:shd w:val="clear" w:color="auto" w:fill="auto"/>
            <w:tcMar>
              <w:top w:w="72" w:type="dxa"/>
              <w:left w:w="108" w:type="dxa"/>
              <w:bottom w:w="72" w:type="dxa"/>
              <w:right w:w="108" w:type="dxa"/>
            </w:tcMar>
            <w:vAlign w:val="top"/>
          </w:tcPr>
          <w:p w14:paraId="7A723652">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吸收直接投资、发行股票、留存收益</w:t>
            </w:r>
          </w:p>
        </w:tc>
      </w:tr>
      <w:tr w14:paraId="2495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1" w:hRule="atLeast"/>
        </w:trPr>
        <w:tc>
          <w:tcPr>
            <w:tcW w:w="1155" w:type="pct"/>
            <w:shd w:val="clear" w:color="auto" w:fill="auto"/>
            <w:tcMar>
              <w:top w:w="72" w:type="dxa"/>
              <w:left w:w="108" w:type="dxa"/>
              <w:bottom w:w="72" w:type="dxa"/>
              <w:right w:w="108" w:type="dxa"/>
            </w:tcMar>
            <w:vAlign w:val="top"/>
          </w:tcPr>
          <w:p w14:paraId="7F1C701B">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债务筹资</w:t>
            </w:r>
          </w:p>
        </w:tc>
        <w:tc>
          <w:tcPr>
            <w:tcW w:w="3844" w:type="pct"/>
            <w:shd w:val="clear" w:color="auto" w:fill="auto"/>
            <w:tcMar>
              <w:top w:w="72" w:type="dxa"/>
              <w:left w:w="108" w:type="dxa"/>
              <w:bottom w:w="72" w:type="dxa"/>
              <w:right w:w="108" w:type="dxa"/>
            </w:tcMar>
            <w:vAlign w:val="top"/>
          </w:tcPr>
          <w:p w14:paraId="5A978469">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向金融机构借款、租赁、商业信用</w:t>
            </w:r>
          </w:p>
        </w:tc>
      </w:tr>
      <w:tr w14:paraId="521F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1" w:hRule="atLeast"/>
        </w:trPr>
        <w:tc>
          <w:tcPr>
            <w:tcW w:w="1155" w:type="pct"/>
            <w:shd w:val="clear" w:color="auto" w:fill="auto"/>
            <w:tcMar>
              <w:top w:w="72" w:type="dxa"/>
              <w:left w:w="108" w:type="dxa"/>
              <w:bottom w:w="72" w:type="dxa"/>
              <w:right w:w="108" w:type="dxa"/>
            </w:tcMar>
            <w:vAlign w:val="top"/>
          </w:tcPr>
          <w:p w14:paraId="3666A36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混合筹资</w:t>
            </w:r>
          </w:p>
        </w:tc>
        <w:tc>
          <w:tcPr>
            <w:tcW w:w="3844" w:type="pct"/>
            <w:shd w:val="clear" w:color="auto" w:fill="auto"/>
            <w:tcMar>
              <w:top w:w="72" w:type="dxa"/>
              <w:left w:w="108" w:type="dxa"/>
              <w:bottom w:w="72" w:type="dxa"/>
              <w:right w:w="108" w:type="dxa"/>
            </w:tcMar>
            <w:vAlign w:val="top"/>
          </w:tcPr>
          <w:p w14:paraId="7DDB7C0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可转债、优先股</w:t>
            </w:r>
          </w:p>
        </w:tc>
      </w:tr>
    </w:tbl>
    <w:p w14:paraId="6B3FF49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940"/>
        <w:gridCol w:w="1399"/>
        <w:gridCol w:w="5131"/>
      </w:tblGrid>
      <w:tr w14:paraId="6156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881" w:type="pct"/>
            <w:vMerge w:val="restart"/>
            <w:shd w:val="clear" w:color="auto" w:fill="auto"/>
            <w:tcMar>
              <w:top w:w="72" w:type="dxa"/>
              <w:left w:w="108" w:type="dxa"/>
              <w:bottom w:w="72" w:type="dxa"/>
              <w:right w:w="108" w:type="dxa"/>
            </w:tcMar>
            <w:vAlign w:val="center"/>
          </w:tcPr>
          <w:p w14:paraId="2DB0E1F6">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是否借助金融机构为媒介来获取资金</w:t>
            </w:r>
          </w:p>
        </w:tc>
        <w:tc>
          <w:tcPr>
            <w:tcW w:w="668" w:type="pct"/>
            <w:shd w:val="clear" w:color="auto" w:fill="auto"/>
            <w:tcMar>
              <w:top w:w="72" w:type="dxa"/>
              <w:left w:w="108" w:type="dxa"/>
              <w:bottom w:w="72" w:type="dxa"/>
              <w:right w:w="108" w:type="dxa"/>
            </w:tcMar>
            <w:vAlign w:val="center"/>
          </w:tcPr>
          <w:p w14:paraId="3A5A3DA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间接筹资</w:t>
            </w:r>
          </w:p>
        </w:tc>
        <w:tc>
          <w:tcPr>
            <w:tcW w:w="2450" w:type="pct"/>
            <w:shd w:val="clear" w:color="auto" w:fill="auto"/>
            <w:tcMar>
              <w:top w:w="72" w:type="dxa"/>
              <w:left w:w="108" w:type="dxa"/>
              <w:bottom w:w="72" w:type="dxa"/>
              <w:right w:w="108" w:type="dxa"/>
            </w:tcMar>
            <w:vAlign w:val="center"/>
          </w:tcPr>
          <w:p w14:paraId="4D1AA3A0">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银行借款、租赁</w:t>
            </w:r>
          </w:p>
        </w:tc>
      </w:tr>
      <w:tr w14:paraId="5FD4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881" w:type="pct"/>
            <w:vMerge w:val="continue"/>
            <w:shd w:val="clear" w:color="auto" w:fill="auto"/>
            <w:tcMar>
              <w:top w:w="72" w:type="dxa"/>
              <w:left w:w="108" w:type="dxa"/>
              <w:bottom w:w="72" w:type="dxa"/>
              <w:right w:w="108" w:type="dxa"/>
            </w:tcMar>
            <w:vAlign w:val="center"/>
          </w:tcPr>
          <w:p w14:paraId="238E1EF5">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668" w:type="pct"/>
            <w:shd w:val="clear" w:color="auto" w:fill="auto"/>
            <w:tcMar>
              <w:top w:w="72" w:type="dxa"/>
              <w:left w:w="108" w:type="dxa"/>
              <w:bottom w:w="72" w:type="dxa"/>
              <w:right w:w="108" w:type="dxa"/>
            </w:tcMar>
            <w:vAlign w:val="center"/>
          </w:tcPr>
          <w:p w14:paraId="4E6A392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直接筹资</w:t>
            </w:r>
          </w:p>
        </w:tc>
        <w:tc>
          <w:tcPr>
            <w:tcW w:w="2450" w:type="pct"/>
            <w:shd w:val="clear" w:color="auto" w:fill="auto"/>
            <w:tcMar>
              <w:top w:w="72" w:type="dxa"/>
              <w:left w:w="108" w:type="dxa"/>
              <w:bottom w:w="72" w:type="dxa"/>
              <w:right w:w="108" w:type="dxa"/>
            </w:tcMar>
            <w:vAlign w:val="center"/>
          </w:tcPr>
          <w:p w14:paraId="3575F6D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发行股票、发行债券、吸收直接投资</w:t>
            </w:r>
          </w:p>
        </w:tc>
      </w:tr>
    </w:tbl>
    <w:p w14:paraId="2346424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D32073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属于直接筹资的有（  ）。</w:t>
      </w:r>
    </w:p>
    <w:p w14:paraId="3D25493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银行借款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发行债券        </w:t>
      </w:r>
    </w:p>
    <w:p w14:paraId="1E5AB3B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发行股票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融资租赁</w:t>
      </w:r>
    </w:p>
    <w:p w14:paraId="70D676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BC</w:t>
      </w:r>
    </w:p>
    <w:p w14:paraId="364BE20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直接筹资是企业直接与资金供应者协商融通资金的筹资活动。直接筹资不需要通过金融机构来筹措资金，是企业直接从社会取得资金的方式。直接筹资方式主要有发行股票、发行债券、吸收直接投资等。选项</w:t>
      </w:r>
      <w:r>
        <w:rPr>
          <w:rFonts w:hint="eastAsia" w:ascii="宋体" w:hAnsi="宋体" w:eastAsia="宋体" w:cs="宋体"/>
          <w:b w:val="0"/>
          <w:bCs/>
          <w:color w:val="000000" w:themeColor="text1"/>
          <w:sz w:val="21"/>
          <w:szCs w:val="21"/>
          <w:lang w:val="en-US" w:eastAsia="zh-CN"/>
        </w:rPr>
        <w:t>AD</w:t>
      </w:r>
      <w:r>
        <w:rPr>
          <w:rFonts w:hint="eastAsia" w:ascii="宋体" w:hAnsi="宋体" w:eastAsia="宋体" w:cs="宋体"/>
          <w:b w:val="0"/>
          <w:bCs/>
          <w:color w:val="000000" w:themeColor="text1"/>
          <w:sz w:val="21"/>
          <w:szCs w:val="21"/>
        </w:rPr>
        <w:t>属于间接筹资。</w:t>
      </w:r>
    </w:p>
    <w:p w14:paraId="732BDBA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54DADF4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下列筹资方式中，属于间接筹资的有（  ）。</w:t>
      </w:r>
    </w:p>
    <w:p w14:paraId="2673E0C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银行借款</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融资租赁</w:t>
      </w:r>
    </w:p>
    <w:p w14:paraId="3DC658C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发行公司债券</w:t>
      </w:r>
      <w:r>
        <w:rPr>
          <w:rFonts w:hint="eastAsia" w:ascii="宋体" w:hAnsi="宋体" w:eastAsia="宋体" w:cs="宋体"/>
          <w:b w:val="0"/>
          <w:bCs/>
          <w:color w:val="000000" w:themeColor="text1"/>
          <w:sz w:val="21"/>
          <w:szCs w:val="21"/>
        </w:rPr>
        <w:tab/>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发行股票</w:t>
      </w:r>
    </w:p>
    <w:p w14:paraId="6A57E32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w:t>
      </w:r>
    </w:p>
    <w:p w14:paraId="49F64E9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按是否通过中介机构，将筹资方式分为间接筹资和直接筹资。间接筹资是企业借助银行等金融机构来融通资本进行筹资活动，基本方式是银行借款、信托贷款、融资租赁等筹资方式。直接投资是企业不借助银行等金融机构，直接与贷款所有者协商融通资本的筹资活动，主要有投入资本、发行股票、发行债券和商业信用等筹资方式。</w:t>
      </w:r>
      <w:r>
        <w:rPr>
          <w:rFonts w:hint="eastAsia" w:ascii="宋体" w:hAnsi="宋体" w:eastAsia="宋体" w:cs="宋体"/>
          <w:b w:val="0"/>
          <w:bCs/>
          <w:color w:val="000000" w:themeColor="text1"/>
          <w:sz w:val="21"/>
          <w:szCs w:val="21"/>
          <w:lang w:val="en-US" w:eastAsia="zh-CN"/>
        </w:rPr>
        <w:t>AB</w:t>
      </w:r>
      <w:r>
        <w:rPr>
          <w:rFonts w:hint="eastAsia" w:ascii="宋体" w:hAnsi="宋体" w:eastAsia="宋体" w:cs="宋体"/>
          <w:b w:val="0"/>
          <w:bCs/>
          <w:color w:val="000000" w:themeColor="text1"/>
          <w:sz w:val="21"/>
          <w:szCs w:val="21"/>
        </w:rPr>
        <w:t>项，属于间接筹资方式；</w:t>
      </w:r>
      <w:r>
        <w:rPr>
          <w:rFonts w:hint="eastAsia" w:ascii="宋体" w:hAnsi="宋体" w:eastAsia="宋体" w:cs="宋体"/>
          <w:b w:val="0"/>
          <w:bCs/>
          <w:color w:val="000000" w:themeColor="text1"/>
          <w:sz w:val="21"/>
          <w:szCs w:val="21"/>
          <w:lang w:val="en-US" w:eastAsia="zh-CN"/>
        </w:rPr>
        <w:t>CD</w:t>
      </w:r>
      <w:r>
        <w:rPr>
          <w:rFonts w:hint="eastAsia" w:ascii="宋体" w:hAnsi="宋体" w:eastAsia="宋体" w:cs="宋体"/>
          <w:b w:val="0"/>
          <w:bCs/>
          <w:color w:val="000000" w:themeColor="text1"/>
          <w:sz w:val="21"/>
          <w:szCs w:val="21"/>
        </w:rPr>
        <w:t>项，属于直接筹资方式。故选</w:t>
      </w:r>
      <w:r>
        <w:rPr>
          <w:rFonts w:hint="eastAsia" w:ascii="宋体" w:hAnsi="宋体" w:eastAsia="宋体" w:cs="宋体"/>
          <w:b w:val="0"/>
          <w:bCs/>
          <w:color w:val="000000" w:themeColor="text1"/>
          <w:sz w:val="21"/>
          <w:szCs w:val="21"/>
          <w:lang w:val="en-US" w:eastAsia="zh-CN"/>
        </w:rPr>
        <w:t>AB</w:t>
      </w:r>
      <w:r>
        <w:rPr>
          <w:rFonts w:hint="eastAsia" w:ascii="宋体" w:hAnsi="宋体" w:eastAsia="宋体" w:cs="宋体"/>
          <w:b w:val="0"/>
          <w:bCs/>
          <w:color w:val="000000" w:themeColor="text1"/>
          <w:sz w:val="21"/>
          <w:szCs w:val="21"/>
        </w:rPr>
        <w:t>项。</w:t>
      </w:r>
    </w:p>
    <w:p w14:paraId="23D5EB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78615E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根据财务管理理论，按是否以金融机构为媒介获取社会资金，可将筹资分为（  ）。</w:t>
      </w:r>
    </w:p>
    <w:p w14:paraId="495624A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直接筹资和间接筹资</w:t>
      </w:r>
      <w:r>
        <w:rPr>
          <w:rFonts w:hint="eastAsia" w:ascii="宋体" w:hAnsi="宋体" w:eastAsia="宋体" w:cs="宋体"/>
          <w:b w:val="0"/>
          <w:bCs/>
          <w:color w:val="000000" w:themeColor="text1"/>
          <w:sz w:val="21"/>
          <w:szCs w:val="21"/>
        </w:rPr>
        <w:tab/>
      </w:r>
    </w:p>
    <w:p w14:paraId="7D0ECED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内部筹资和外部筹资</w:t>
      </w:r>
    </w:p>
    <w:p w14:paraId="7EE176E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股权筹资、债务筹资和衍生工具筹资</w:t>
      </w:r>
      <w:r>
        <w:rPr>
          <w:rFonts w:hint="eastAsia" w:ascii="宋体" w:hAnsi="宋体" w:eastAsia="宋体" w:cs="宋体"/>
          <w:b w:val="0"/>
          <w:bCs/>
          <w:color w:val="000000" w:themeColor="text1"/>
          <w:sz w:val="21"/>
          <w:szCs w:val="21"/>
        </w:rPr>
        <w:tab/>
      </w:r>
    </w:p>
    <w:p w14:paraId="177FA6D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短期筹资和长期筹资</w:t>
      </w:r>
    </w:p>
    <w:p w14:paraId="03544D4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0119DC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项，按是否以金融机构为媒介获取社会资金，可将筹资分为直接筹资和间接筹资</w:t>
      </w:r>
    </w:p>
    <w:p w14:paraId="79C4EB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项，按资金的来源，可将筹资分为内部筹资和外部筹资；</w:t>
      </w:r>
    </w:p>
    <w:p w14:paraId="47084B9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项，按取得资金的权益特性不同，可将筹资分为股权筹资、债务筹资和衍生工具筹资；</w:t>
      </w:r>
    </w:p>
    <w:p w14:paraId="7270EED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项，按资金期限的长短，可将筹资分为短期筹资和长期筹资。</w:t>
      </w:r>
    </w:p>
    <w:p w14:paraId="602CEF7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48D3737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下列各项中属于债务筹资方式的有（  ）。</w:t>
      </w:r>
    </w:p>
    <w:p w14:paraId="464BC91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商业信用  </w:t>
      </w:r>
    </w:p>
    <w:p w14:paraId="7A6B2AB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租赁   </w:t>
      </w:r>
    </w:p>
    <w:p w14:paraId="3B37C0D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优先股      </w:t>
      </w:r>
    </w:p>
    <w:p w14:paraId="590418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普通股</w:t>
      </w:r>
    </w:p>
    <w:p w14:paraId="425AC5A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w:t>
      </w:r>
    </w:p>
    <w:p w14:paraId="6B7F3C4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 xml:space="preserve">选项 </w:t>
      </w:r>
      <w:r>
        <w:rPr>
          <w:rFonts w:hint="eastAsia" w:ascii="宋体" w:hAnsi="宋体" w:eastAsia="宋体" w:cs="宋体"/>
          <w:b w:val="0"/>
          <w:bCs/>
          <w:color w:val="000000" w:themeColor="text1"/>
          <w:sz w:val="21"/>
          <w:szCs w:val="21"/>
          <w:lang w:val="en-US" w:eastAsia="zh-CN"/>
        </w:rPr>
        <w:t xml:space="preserve">C </w:t>
      </w:r>
      <w:r>
        <w:rPr>
          <w:rFonts w:hint="eastAsia" w:ascii="宋体" w:hAnsi="宋体" w:eastAsia="宋体" w:cs="宋体"/>
          <w:b w:val="0"/>
          <w:bCs/>
          <w:color w:val="000000" w:themeColor="text1"/>
          <w:sz w:val="21"/>
          <w:szCs w:val="21"/>
        </w:rPr>
        <w:t xml:space="preserve">属于衍生工具筹资；选项 </w:t>
      </w:r>
      <w:r>
        <w:rPr>
          <w:rFonts w:hint="eastAsia" w:ascii="宋体" w:hAnsi="宋体" w:eastAsia="宋体" w:cs="宋体"/>
          <w:b w:val="0"/>
          <w:bCs/>
          <w:color w:val="000000" w:themeColor="text1"/>
          <w:sz w:val="21"/>
          <w:szCs w:val="21"/>
          <w:lang w:val="en-US" w:eastAsia="zh-CN"/>
        </w:rPr>
        <w:t xml:space="preserve">D </w:t>
      </w:r>
      <w:r>
        <w:rPr>
          <w:rFonts w:hint="eastAsia" w:ascii="宋体" w:hAnsi="宋体" w:eastAsia="宋体" w:cs="宋体"/>
          <w:b w:val="0"/>
          <w:bCs/>
          <w:color w:val="000000" w:themeColor="text1"/>
          <w:sz w:val="21"/>
          <w:szCs w:val="21"/>
        </w:rPr>
        <w:t>属于股权筹资。</w:t>
      </w:r>
    </w:p>
    <w:p w14:paraId="643032E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EB373B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下列筹资方式中，既可以筹集长期资金，也可以融通短期资金的是（  ）</w:t>
      </w:r>
    </w:p>
    <w:p w14:paraId="63069B2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发行股票   </w:t>
      </w:r>
    </w:p>
    <w:p w14:paraId="60EC491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利用商业信用  </w:t>
      </w:r>
    </w:p>
    <w:p w14:paraId="0C39726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吸收直接投资   </w:t>
      </w:r>
    </w:p>
    <w:p w14:paraId="75E9130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向金融机构借款</w:t>
      </w:r>
    </w:p>
    <w:p w14:paraId="542EBA9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54FD708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银行借款是指企业向银行或其他非金融机构借入的、需要还本付息的款项，包括偿还期限超过</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年的长期借款和不足</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年的短期借款，所以选项</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是答案。</w:t>
      </w:r>
    </w:p>
    <w:p w14:paraId="7307775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50E3BF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3】</w:t>
      </w:r>
      <w:r>
        <w:rPr>
          <w:rFonts w:hint="eastAsia" w:ascii="宋体" w:hAnsi="宋体" w:eastAsia="宋体" w:cs="宋体"/>
          <w:b w:val="0"/>
          <w:bCs/>
          <w:color w:val="FF0000"/>
          <w:sz w:val="21"/>
          <w:szCs w:val="21"/>
        </w:rPr>
        <w:t>债务筹资</w:t>
      </w:r>
    </w:p>
    <w:p w14:paraId="539D2AA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银行借款保护性条款及银行借款优缺点</w:t>
      </w:r>
    </w:p>
    <w:p w14:paraId="3C38A3D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发行公司债券的偿还和优缺点</w:t>
      </w:r>
    </w:p>
    <w:p w14:paraId="0DB76D6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租赁的基本形式、租金计算及租赁的优缺点</w:t>
      </w:r>
    </w:p>
    <w:p w14:paraId="69A9CAC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债务筹资的优缺点</w:t>
      </w:r>
    </w:p>
    <w:p w14:paraId="461E157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银行借款保护性条款及银行借款优缺点</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316"/>
        <w:gridCol w:w="8154"/>
      </w:tblGrid>
      <w:tr w14:paraId="1A85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06" w:type="pct"/>
            <w:shd w:val="clear" w:color="auto" w:fill="auto"/>
            <w:tcMar>
              <w:top w:w="72" w:type="dxa"/>
              <w:left w:w="108" w:type="dxa"/>
              <w:bottom w:w="72" w:type="dxa"/>
              <w:right w:w="108" w:type="dxa"/>
            </w:tcMar>
            <w:vAlign w:val="top"/>
          </w:tcPr>
          <w:p w14:paraId="5621B76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例行性保护条款</w:t>
            </w:r>
          </w:p>
        </w:tc>
        <w:tc>
          <w:tcPr>
            <w:tcW w:w="3893" w:type="pct"/>
            <w:shd w:val="clear" w:color="auto" w:fill="auto"/>
            <w:tcMar>
              <w:top w:w="72" w:type="dxa"/>
              <w:left w:w="108" w:type="dxa"/>
              <w:bottom w:w="72" w:type="dxa"/>
              <w:right w:w="108" w:type="dxa"/>
            </w:tcMar>
            <w:vAlign w:val="top"/>
          </w:tcPr>
          <w:p w14:paraId="0F987C3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大多借款合同都会出现</w:t>
            </w:r>
          </w:p>
        </w:tc>
      </w:tr>
      <w:tr w14:paraId="35D4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06" w:type="pct"/>
            <w:shd w:val="clear" w:color="auto" w:fill="auto"/>
            <w:tcMar>
              <w:top w:w="72" w:type="dxa"/>
              <w:left w:w="108" w:type="dxa"/>
              <w:bottom w:w="72" w:type="dxa"/>
              <w:right w:w="108" w:type="dxa"/>
            </w:tcMar>
            <w:vAlign w:val="top"/>
          </w:tcPr>
          <w:p w14:paraId="0BBE7FF6">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一般性保护条款</w:t>
            </w:r>
          </w:p>
        </w:tc>
        <w:tc>
          <w:tcPr>
            <w:tcW w:w="3893" w:type="pct"/>
            <w:shd w:val="clear" w:color="auto" w:fill="auto"/>
            <w:tcMar>
              <w:top w:w="72" w:type="dxa"/>
              <w:left w:w="108" w:type="dxa"/>
              <w:bottom w:w="72" w:type="dxa"/>
              <w:right w:w="108" w:type="dxa"/>
            </w:tcMar>
            <w:vAlign w:val="top"/>
          </w:tcPr>
          <w:p w14:paraId="17B9F22F">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（1）保持资产的流动性</w:t>
            </w:r>
          </w:p>
          <w:p w14:paraId="3473B93D">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（2）限制非经营性支出、资本支出的规模、长期投资、再举债规模</w:t>
            </w:r>
          </w:p>
        </w:tc>
      </w:tr>
      <w:tr w14:paraId="32AA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06" w:type="pct"/>
            <w:shd w:val="clear" w:color="auto" w:fill="auto"/>
            <w:tcMar>
              <w:top w:w="72" w:type="dxa"/>
              <w:left w:w="108" w:type="dxa"/>
              <w:bottom w:w="72" w:type="dxa"/>
              <w:right w:w="108" w:type="dxa"/>
            </w:tcMar>
            <w:vAlign w:val="top"/>
          </w:tcPr>
          <w:p w14:paraId="02C88AF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14A067D9">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特殊性保护条款</w:t>
            </w:r>
          </w:p>
        </w:tc>
        <w:tc>
          <w:tcPr>
            <w:tcW w:w="3893" w:type="pct"/>
            <w:shd w:val="clear" w:color="auto" w:fill="auto"/>
            <w:tcMar>
              <w:top w:w="72" w:type="dxa"/>
              <w:left w:w="108" w:type="dxa"/>
              <w:bottom w:w="72" w:type="dxa"/>
              <w:right w:w="108" w:type="dxa"/>
            </w:tcMar>
            <w:vAlign w:val="top"/>
          </w:tcPr>
          <w:p w14:paraId="50921E3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（1）要求公司的主要领导人购买人身保险；</w:t>
            </w:r>
          </w:p>
          <w:p w14:paraId="07AC3F6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（2）借款的用途不得改变；</w:t>
            </w:r>
          </w:p>
          <w:p w14:paraId="50E1E4B5">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（3）违约惩罚条款</w:t>
            </w:r>
          </w:p>
        </w:tc>
      </w:tr>
    </w:tbl>
    <w:p w14:paraId="60703E78">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lang w:val="en-US" w:eastAsia="zh-CN"/>
        </w:rPr>
      </w:pP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316"/>
        <w:gridCol w:w="8154"/>
      </w:tblGrid>
      <w:tr w14:paraId="51BC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06" w:type="pct"/>
            <w:shd w:val="clear" w:color="auto" w:fill="auto"/>
            <w:tcMar>
              <w:top w:w="72" w:type="dxa"/>
              <w:left w:w="108" w:type="dxa"/>
              <w:bottom w:w="72" w:type="dxa"/>
              <w:right w:w="108" w:type="dxa"/>
            </w:tcMar>
            <w:vAlign w:val="center"/>
          </w:tcPr>
          <w:p w14:paraId="0AB7C978">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优点</w:t>
            </w:r>
          </w:p>
        </w:tc>
        <w:tc>
          <w:tcPr>
            <w:tcW w:w="3893" w:type="pct"/>
            <w:shd w:val="clear" w:color="auto" w:fill="auto"/>
            <w:tcMar>
              <w:top w:w="72" w:type="dxa"/>
              <w:left w:w="108" w:type="dxa"/>
              <w:bottom w:w="72" w:type="dxa"/>
              <w:right w:w="108" w:type="dxa"/>
            </w:tcMar>
            <w:vAlign w:val="top"/>
          </w:tcPr>
          <w:p w14:paraId="4CE8C739">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筹资速度快；资本成本较低；筹资弹性较大</w:t>
            </w:r>
          </w:p>
        </w:tc>
      </w:tr>
      <w:tr w14:paraId="44B7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06" w:type="pct"/>
            <w:shd w:val="clear" w:color="auto" w:fill="auto"/>
            <w:tcMar>
              <w:top w:w="72" w:type="dxa"/>
              <w:left w:w="108" w:type="dxa"/>
              <w:bottom w:w="72" w:type="dxa"/>
              <w:right w:w="108" w:type="dxa"/>
            </w:tcMar>
            <w:vAlign w:val="center"/>
          </w:tcPr>
          <w:p w14:paraId="4E3B9A3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缺点</w:t>
            </w:r>
          </w:p>
        </w:tc>
        <w:tc>
          <w:tcPr>
            <w:tcW w:w="3893" w:type="pct"/>
            <w:shd w:val="clear" w:color="auto" w:fill="auto"/>
            <w:tcMar>
              <w:top w:w="72" w:type="dxa"/>
              <w:left w:w="108" w:type="dxa"/>
              <w:bottom w:w="72" w:type="dxa"/>
              <w:right w:w="108" w:type="dxa"/>
            </w:tcMar>
            <w:vAlign w:val="top"/>
          </w:tcPr>
          <w:p w14:paraId="738F5860">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限制条款多；筹资数额有限</w:t>
            </w:r>
          </w:p>
        </w:tc>
      </w:tr>
    </w:tbl>
    <w:p w14:paraId="30A29BAE">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发行公司债券的偿还和优缺点</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128"/>
        <w:gridCol w:w="8342"/>
      </w:tblGrid>
      <w:tr w14:paraId="0B0B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016" w:type="pct"/>
            <w:shd w:val="clear" w:color="auto" w:fill="auto"/>
            <w:tcMar>
              <w:top w:w="72" w:type="dxa"/>
              <w:left w:w="108" w:type="dxa"/>
              <w:bottom w:w="72" w:type="dxa"/>
              <w:right w:w="108" w:type="dxa"/>
            </w:tcMar>
            <w:vAlign w:val="center"/>
          </w:tcPr>
          <w:p w14:paraId="41ED3640">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债券偿还</w:t>
            </w:r>
          </w:p>
        </w:tc>
        <w:tc>
          <w:tcPr>
            <w:tcW w:w="3983" w:type="pct"/>
            <w:shd w:val="clear" w:color="auto" w:fill="auto"/>
            <w:tcMar>
              <w:top w:w="72" w:type="dxa"/>
              <w:left w:w="108" w:type="dxa"/>
              <w:bottom w:w="72" w:type="dxa"/>
              <w:right w:w="108" w:type="dxa"/>
            </w:tcMar>
            <w:vAlign w:val="top"/>
          </w:tcPr>
          <w:p w14:paraId="38DE0E5B">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提前偿还、到期分批偿还和到期一次偿还。</w:t>
            </w:r>
          </w:p>
        </w:tc>
      </w:tr>
      <w:tr w14:paraId="16CF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016" w:type="pct"/>
            <w:vMerge w:val="restart"/>
            <w:shd w:val="clear" w:color="auto" w:fill="auto"/>
            <w:tcMar>
              <w:top w:w="72" w:type="dxa"/>
              <w:left w:w="108" w:type="dxa"/>
              <w:bottom w:w="72" w:type="dxa"/>
              <w:right w:w="108" w:type="dxa"/>
            </w:tcMar>
            <w:vAlign w:val="center"/>
          </w:tcPr>
          <w:p w14:paraId="6C27B4CF">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优点</w:t>
            </w:r>
          </w:p>
        </w:tc>
        <w:tc>
          <w:tcPr>
            <w:tcW w:w="3983" w:type="pct"/>
            <w:shd w:val="clear" w:color="auto" w:fill="auto"/>
            <w:tcMar>
              <w:top w:w="72" w:type="dxa"/>
              <w:left w:w="108" w:type="dxa"/>
              <w:bottom w:w="72" w:type="dxa"/>
              <w:right w:w="108" w:type="dxa"/>
            </w:tcMar>
            <w:vAlign w:val="top"/>
          </w:tcPr>
          <w:p w14:paraId="40ABE5B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1.一次筹资数额大，与银行借款相比</w:t>
            </w:r>
          </w:p>
        </w:tc>
      </w:tr>
      <w:tr w14:paraId="6F2E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16" w:type="pct"/>
            <w:vMerge w:val="continue"/>
            <w:shd w:val="clear" w:color="auto" w:fill="auto"/>
            <w:tcMar>
              <w:top w:w="72" w:type="dxa"/>
              <w:left w:w="108" w:type="dxa"/>
              <w:bottom w:w="72" w:type="dxa"/>
              <w:right w:w="108" w:type="dxa"/>
            </w:tcMar>
            <w:vAlign w:val="center"/>
          </w:tcPr>
          <w:p w14:paraId="754E1B01">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3983" w:type="pct"/>
            <w:shd w:val="clear" w:color="auto" w:fill="auto"/>
            <w:tcMar>
              <w:top w:w="72" w:type="dxa"/>
              <w:left w:w="108" w:type="dxa"/>
              <w:bottom w:w="72" w:type="dxa"/>
              <w:right w:w="108" w:type="dxa"/>
            </w:tcMar>
            <w:vAlign w:val="top"/>
          </w:tcPr>
          <w:p w14:paraId="38A7A045">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2.筹集资金使用限制条件少，与银行借款相比</w:t>
            </w:r>
          </w:p>
        </w:tc>
      </w:tr>
      <w:tr w14:paraId="5F34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16" w:type="pct"/>
            <w:vMerge w:val="continue"/>
            <w:shd w:val="clear" w:color="auto" w:fill="auto"/>
            <w:tcMar>
              <w:top w:w="72" w:type="dxa"/>
              <w:left w:w="108" w:type="dxa"/>
              <w:bottom w:w="72" w:type="dxa"/>
              <w:right w:w="108" w:type="dxa"/>
            </w:tcMar>
            <w:vAlign w:val="center"/>
          </w:tcPr>
          <w:p w14:paraId="54A11EF4">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3983" w:type="pct"/>
            <w:shd w:val="clear" w:color="auto" w:fill="auto"/>
            <w:tcMar>
              <w:top w:w="72" w:type="dxa"/>
              <w:left w:w="108" w:type="dxa"/>
              <w:bottom w:w="72" w:type="dxa"/>
              <w:right w:w="108" w:type="dxa"/>
            </w:tcMar>
            <w:vAlign w:val="top"/>
          </w:tcPr>
          <w:p w14:paraId="06006EE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3.提高公司的社会声誉</w:t>
            </w:r>
          </w:p>
        </w:tc>
      </w:tr>
      <w:tr w14:paraId="5BAE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016" w:type="pct"/>
            <w:shd w:val="clear" w:color="auto" w:fill="auto"/>
            <w:tcMar>
              <w:top w:w="72" w:type="dxa"/>
              <w:left w:w="108" w:type="dxa"/>
              <w:bottom w:w="72" w:type="dxa"/>
              <w:right w:w="108" w:type="dxa"/>
            </w:tcMar>
            <w:vAlign w:val="top"/>
          </w:tcPr>
          <w:p w14:paraId="3473C90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缺点</w:t>
            </w:r>
          </w:p>
        </w:tc>
        <w:tc>
          <w:tcPr>
            <w:tcW w:w="3983" w:type="pct"/>
            <w:shd w:val="clear" w:color="auto" w:fill="auto"/>
            <w:tcMar>
              <w:top w:w="72" w:type="dxa"/>
              <w:left w:w="108" w:type="dxa"/>
              <w:bottom w:w="72" w:type="dxa"/>
              <w:right w:w="108" w:type="dxa"/>
            </w:tcMar>
            <w:vAlign w:val="top"/>
          </w:tcPr>
          <w:p w14:paraId="592FF300">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资本成本负担较高，与银行借款相比</w:t>
            </w:r>
          </w:p>
        </w:tc>
      </w:tr>
    </w:tbl>
    <w:p w14:paraId="1635B969">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租赁的基本形式、租金计算及租赁的优缺点</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94"/>
        <w:gridCol w:w="8876"/>
      </w:tblGrid>
      <w:tr w14:paraId="4CC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61" w:type="pct"/>
            <w:shd w:val="clear" w:color="auto" w:fill="auto"/>
            <w:tcMar>
              <w:top w:w="72" w:type="dxa"/>
              <w:left w:w="108" w:type="dxa"/>
              <w:bottom w:w="72" w:type="dxa"/>
              <w:right w:w="108" w:type="dxa"/>
            </w:tcMar>
            <w:vAlign w:val="top"/>
          </w:tcPr>
          <w:p w14:paraId="0188552B">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租赁基本形式</w:t>
            </w:r>
          </w:p>
        </w:tc>
        <w:tc>
          <w:tcPr>
            <w:tcW w:w="4238" w:type="pct"/>
            <w:shd w:val="clear" w:color="auto" w:fill="auto"/>
            <w:tcMar>
              <w:top w:w="72" w:type="dxa"/>
              <w:left w:w="108" w:type="dxa"/>
              <w:bottom w:w="72" w:type="dxa"/>
              <w:right w:w="108" w:type="dxa"/>
            </w:tcMar>
            <w:vAlign w:val="top"/>
          </w:tcPr>
          <w:p w14:paraId="3C5D4DA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直接租赁、售后回租、杠杆租赁</w:t>
            </w:r>
          </w:p>
        </w:tc>
      </w:tr>
      <w:tr w14:paraId="1E7B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761" w:type="pct"/>
            <w:shd w:val="clear" w:color="auto" w:fill="auto"/>
            <w:tcMar>
              <w:top w:w="72" w:type="dxa"/>
              <w:left w:w="108" w:type="dxa"/>
              <w:bottom w:w="72" w:type="dxa"/>
              <w:right w:w="108" w:type="dxa"/>
            </w:tcMar>
            <w:vAlign w:val="top"/>
          </w:tcPr>
          <w:p w14:paraId="4941A5E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79632270">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租金计算</w:t>
            </w:r>
          </w:p>
        </w:tc>
        <w:tc>
          <w:tcPr>
            <w:tcW w:w="4238" w:type="pct"/>
            <w:shd w:val="clear" w:color="auto" w:fill="auto"/>
            <w:tcMar>
              <w:top w:w="72" w:type="dxa"/>
              <w:left w:w="108" w:type="dxa"/>
              <w:bottom w:w="72" w:type="dxa"/>
              <w:right w:w="108" w:type="dxa"/>
            </w:tcMar>
            <w:vAlign w:val="top"/>
          </w:tcPr>
          <w:p w14:paraId="552F2636">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（1）租金的计算大多采用等额年金法</w:t>
            </w:r>
          </w:p>
          <w:p w14:paraId="3FC8365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（2）折现率=利率+租赁手续费</w:t>
            </w:r>
          </w:p>
          <w:p w14:paraId="5E3FA6AB">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（3）原理：现金流入量现值=现金流出量现值</w:t>
            </w:r>
          </w:p>
        </w:tc>
      </w:tr>
      <w:tr w14:paraId="0CB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761" w:type="pct"/>
            <w:shd w:val="clear" w:color="auto" w:fill="auto"/>
            <w:tcMar>
              <w:top w:w="72" w:type="dxa"/>
              <w:left w:w="108" w:type="dxa"/>
              <w:bottom w:w="72" w:type="dxa"/>
              <w:right w:w="108" w:type="dxa"/>
            </w:tcMar>
            <w:vAlign w:val="top"/>
          </w:tcPr>
          <w:p w14:paraId="0D087E9E">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租赁的优点</w:t>
            </w:r>
          </w:p>
        </w:tc>
        <w:tc>
          <w:tcPr>
            <w:tcW w:w="4238" w:type="pct"/>
            <w:shd w:val="clear" w:color="auto" w:fill="auto"/>
            <w:tcMar>
              <w:top w:w="72" w:type="dxa"/>
              <w:left w:w="108" w:type="dxa"/>
              <w:bottom w:w="72" w:type="dxa"/>
              <w:right w:w="108" w:type="dxa"/>
            </w:tcMar>
            <w:vAlign w:val="top"/>
          </w:tcPr>
          <w:p w14:paraId="7DB5DE0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无需大量资金就能迅速获得资产；财务风险小； 筹资的限制条件少；能延长资金融通期限</w:t>
            </w:r>
          </w:p>
        </w:tc>
      </w:tr>
      <w:tr w14:paraId="72A6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61" w:type="pct"/>
            <w:shd w:val="clear" w:color="auto" w:fill="auto"/>
            <w:tcMar>
              <w:top w:w="72" w:type="dxa"/>
              <w:left w:w="108" w:type="dxa"/>
              <w:bottom w:w="72" w:type="dxa"/>
              <w:right w:w="108" w:type="dxa"/>
            </w:tcMar>
            <w:vAlign w:val="top"/>
          </w:tcPr>
          <w:p w14:paraId="7BE62F9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租赁缺点</w:t>
            </w:r>
          </w:p>
        </w:tc>
        <w:tc>
          <w:tcPr>
            <w:tcW w:w="4238" w:type="pct"/>
            <w:shd w:val="clear" w:color="auto" w:fill="auto"/>
            <w:tcMar>
              <w:top w:w="72" w:type="dxa"/>
              <w:left w:w="108" w:type="dxa"/>
              <w:bottom w:w="72" w:type="dxa"/>
              <w:right w:w="108" w:type="dxa"/>
            </w:tcMar>
            <w:vAlign w:val="top"/>
          </w:tcPr>
          <w:p w14:paraId="5F8CEB5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资本成本负担较高，与银行借款对比</w:t>
            </w:r>
          </w:p>
        </w:tc>
      </w:tr>
    </w:tbl>
    <w:p w14:paraId="2D2FDCCA">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债务筹资的优缺点</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41"/>
        <w:gridCol w:w="8929"/>
      </w:tblGrid>
      <w:tr w14:paraId="5D0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736" w:type="pct"/>
            <w:vMerge w:val="restart"/>
            <w:shd w:val="clear" w:color="auto" w:fill="auto"/>
            <w:tcMar>
              <w:top w:w="72" w:type="dxa"/>
              <w:left w:w="108" w:type="dxa"/>
              <w:bottom w:w="72" w:type="dxa"/>
              <w:right w:w="108" w:type="dxa"/>
            </w:tcMar>
            <w:vAlign w:val="center"/>
          </w:tcPr>
          <w:p w14:paraId="662ED1BE">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优点</w:t>
            </w:r>
          </w:p>
        </w:tc>
        <w:tc>
          <w:tcPr>
            <w:tcW w:w="4263" w:type="pct"/>
            <w:shd w:val="clear" w:color="auto" w:fill="auto"/>
            <w:tcMar>
              <w:top w:w="72" w:type="dxa"/>
              <w:left w:w="108" w:type="dxa"/>
              <w:bottom w:w="72" w:type="dxa"/>
              <w:right w:w="108" w:type="dxa"/>
            </w:tcMar>
            <w:vAlign w:val="top"/>
          </w:tcPr>
          <w:p w14:paraId="6CB5911E">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（1）筹资速度快</w:t>
            </w:r>
          </w:p>
        </w:tc>
      </w:tr>
      <w:tr w14:paraId="01F5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continue"/>
            <w:shd w:val="clear" w:color="auto" w:fill="auto"/>
            <w:tcMar>
              <w:top w:w="72" w:type="dxa"/>
              <w:left w:w="108" w:type="dxa"/>
              <w:bottom w:w="72" w:type="dxa"/>
              <w:right w:w="108" w:type="dxa"/>
            </w:tcMar>
            <w:vAlign w:val="center"/>
          </w:tcPr>
          <w:p w14:paraId="18296964">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4263" w:type="pct"/>
            <w:shd w:val="clear" w:color="auto" w:fill="auto"/>
            <w:tcMar>
              <w:top w:w="72" w:type="dxa"/>
              <w:left w:w="108" w:type="dxa"/>
              <w:bottom w:w="72" w:type="dxa"/>
              <w:right w:w="108" w:type="dxa"/>
            </w:tcMar>
            <w:vAlign w:val="top"/>
          </w:tcPr>
          <w:p w14:paraId="256F1BD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（2）筹资弹性较大，表现在灵活商定债务条件，控制筹资数量，安排取得资金的时间</w:t>
            </w:r>
          </w:p>
        </w:tc>
      </w:tr>
      <w:tr w14:paraId="5ED4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continue"/>
            <w:shd w:val="clear" w:color="auto" w:fill="auto"/>
            <w:tcMar>
              <w:top w:w="72" w:type="dxa"/>
              <w:left w:w="108" w:type="dxa"/>
              <w:bottom w:w="72" w:type="dxa"/>
              <w:right w:w="108" w:type="dxa"/>
            </w:tcMar>
            <w:vAlign w:val="center"/>
          </w:tcPr>
          <w:p w14:paraId="43F19ED9">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4263" w:type="pct"/>
            <w:shd w:val="clear" w:color="auto" w:fill="auto"/>
            <w:tcMar>
              <w:top w:w="72" w:type="dxa"/>
              <w:left w:w="108" w:type="dxa"/>
              <w:bottom w:w="72" w:type="dxa"/>
              <w:right w:w="108" w:type="dxa"/>
            </w:tcMar>
            <w:vAlign w:val="top"/>
          </w:tcPr>
          <w:p w14:paraId="2B610DEE">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（3）资本成本负担较轻</w:t>
            </w:r>
          </w:p>
        </w:tc>
      </w:tr>
      <w:tr w14:paraId="3D95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continue"/>
            <w:shd w:val="clear" w:color="auto" w:fill="auto"/>
            <w:tcMar>
              <w:top w:w="72" w:type="dxa"/>
              <w:left w:w="108" w:type="dxa"/>
              <w:bottom w:w="72" w:type="dxa"/>
              <w:right w:w="108" w:type="dxa"/>
            </w:tcMar>
            <w:vAlign w:val="center"/>
          </w:tcPr>
          <w:p w14:paraId="3BCC6FA1">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4263" w:type="pct"/>
            <w:shd w:val="clear" w:color="auto" w:fill="auto"/>
            <w:tcMar>
              <w:top w:w="72" w:type="dxa"/>
              <w:left w:w="108" w:type="dxa"/>
              <w:bottom w:w="72" w:type="dxa"/>
              <w:right w:w="108" w:type="dxa"/>
            </w:tcMar>
            <w:vAlign w:val="top"/>
          </w:tcPr>
          <w:p w14:paraId="5FA1F9DE">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（4）可以利用财务杠杆</w:t>
            </w:r>
          </w:p>
        </w:tc>
      </w:tr>
      <w:tr w14:paraId="48AB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continue"/>
            <w:shd w:val="clear" w:color="auto" w:fill="auto"/>
            <w:tcMar>
              <w:top w:w="72" w:type="dxa"/>
              <w:left w:w="108" w:type="dxa"/>
              <w:bottom w:w="72" w:type="dxa"/>
              <w:right w:w="108" w:type="dxa"/>
            </w:tcMar>
            <w:vAlign w:val="center"/>
          </w:tcPr>
          <w:p w14:paraId="05019E4A">
            <w:pPr>
              <w:keepNext w:val="0"/>
              <w:keepLines w:val="0"/>
              <w:pageBreakBefore w:val="0"/>
              <w:widowControl/>
              <w:wordWrap/>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4263" w:type="pct"/>
            <w:shd w:val="clear" w:color="auto" w:fill="auto"/>
            <w:tcMar>
              <w:top w:w="72" w:type="dxa"/>
              <w:left w:w="108" w:type="dxa"/>
              <w:bottom w:w="72" w:type="dxa"/>
              <w:right w:w="108" w:type="dxa"/>
            </w:tcMar>
            <w:vAlign w:val="top"/>
          </w:tcPr>
          <w:p w14:paraId="349FD35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（5）稳定公司控制权</w:t>
            </w:r>
          </w:p>
        </w:tc>
      </w:tr>
      <w:tr w14:paraId="5BE4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restart"/>
            <w:shd w:val="clear" w:color="auto" w:fill="auto"/>
            <w:tcMar>
              <w:top w:w="72" w:type="dxa"/>
              <w:left w:w="108" w:type="dxa"/>
              <w:bottom w:w="72" w:type="dxa"/>
              <w:right w:w="108" w:type="dxa"/>
            </w:tcMar>
            <w:vAlign w:val="center"/>
          </w:tcPr>
          <w:p w14:paraId="1FFF532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缺点</w:t>
            </w:r>
          </w:p>
        </w:tc>
        <w:tc>
          <w:tcPr>
            <w:tcW w:w="4263" w:type="pct"/>
            <w:shd w:val="clear" w:color="auto" w:fill="auto"/>
            <w:tcMar>
              <w:top w:w="72" w:type="dxa"/>
              <w:left w:w="108" w:type="dxa"/>
              <w:bottom w:w="72" w:type="dxa"/>
              <w:right w:w="108" w:type="dxa"/>
            </w:tcMar>
            <w:vAlign w:val="top"/>
          </w:tcPr>
          <w:p w14:paraId="4333D3B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（1）不能形成企业稳定的资本基础</w:t>
            </w:r>
          </w:p>
        </w:tc>
      </w:tr>
      <w:tr w14:paraId="47FA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continue"/>
            <w:shd w:val="clear" w:color="auto" w:fill="auto"/>
            <w:tcMar>
              <w:top w:w="72" w:type="dxa"/>
              <w:left w:w="108" w:type="dxa"/>
              <w:bottom w:w="72" w:type="dxa"/>
              <w:right w:w="108" w:type="dxa"/>
            </w:tcMar>
            <w:vAlign w:val="center"/>
          </w:tcPr>
          <w:p w14:paraId="5DA4C5EA">
            <w:pPr>
              <w:keepNext w:val="0"/>
              <w:keepLines w:val="0"/>
              <w:pageBreakBefore w:val="0"/>
              <w:widowControl/>
              <w:wordWrap/>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4263" w:type="pct"/>
            <w:shd w:val="clear" w:color="auto" w:fill="auto"/>
            <w:tcMar>
              <w:top w:w="72" w:type="dxa"/>
              <w:left w:w="108" w:type="dxa"/>
              <w:bottom w:w="72" w:type="dxa"/>
              <w:right w:w="108" w:type="dxa"/>
            </w:tcMar>
            <w:vAlign w:val="top"/>
          </w:tcPr>
          <w:p w14:paraId="75A19819">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（2）财务风险较大</w:t>
            </w:r>
          </w:p>
        </w:tc>
      </w:tr>
      <w:tr w14:paraId="0D66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6" w:type="pct"/>
            <w:vMerge w:val="continue"/>
            <w:shd w:val="clear" w:color="auto" w:fill="auto"/>
            <w:tcMar>
              <w:top w:w="72" w:type="dxa"/>
              <w:left w:w="108" w:type="dxa"/>
              <w:bottom w:w="72" w:type="dxa"/>
              <w:right w:w="108" w:type="dxa"/>
            </w:tcMar>
            <w:vAlign w:val="center"/>
          </w:tcPr>
          <w:p w14:paraId="25F8A336">
            <w:pPr>
              <w:keepNext w:val="0"/>
              <w:keepLines w:val="0"/>
              <w:pageBreakBefore w:val="0"/>
              <w:widowControl/>
              <w:wordWrap/>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4263" w:type="pct"/>
            <w:shd w:val="clear" w:color="auto" w:fill="auto"/>
            <w:tcMar>
              <w:top w:w="72" w:type="dxa"/>
              <w:left w:w="108" w:type="dxa"/>
              <w:bottom w:w="72" w:type="dxa"/>
              <w:right w:w="108" w:type="dxa"/>
            </w:tcMar>
            <w:vAlign w:val="top"/>
          </w:tcPr>
          <w:p w14:paraId="733D1B59">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（3）筹资数额有限</w:t>
            </w:r>
          </w:p>
        </w:tc>
      </w:tr>
    </w:tbl>
    <w:p w14:paraId="2ECDD83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A859B4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应用于大多数借款合同的条款有（  ）。</w:t>
      </w:r>
    </w:p>
    <w:p w14:paraId="35DE647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例行性保护条款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一般性保护条款</w:t>
      </w:r>
    </w:p>
    <w:p w14:paraId="22E9F7F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特殊性保护条款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限制性保护条款</w:t>
      </w:r>
    </w:p>
    <w:p w14:paraId="11759B3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w:t>
      </w:r>
    </w:p>
    <w:p w14:paraId="5FABA50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例行性保护条款和一般性保护条款应用于大多数借款合同中。</w:t>
      </w:r>
    </w:p>
    <w:p w14:paraId="22D5733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3B2A77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判断题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长期借款的例行性保护条款，一般性保护条款，特殊性保护条款可结合使用，有利于全面保护债权人的权益。（  ）</w:t>
      </w:r>
    </w:p>
    <w:p w14:paraId="643E69F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w:t>
      </w:r>
    </w:p>
    <w:p w14:paraId="15C8D3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长期借款的保护性条款包括例行性保护条款、一般性保护条款和特殊性保护条款。上述各项条款结合使用，将有利于全面保护银行等债权人的权益。</w:t>
      </w:r>
    </w:p>
    <w:p w14:paraId="57B2E7A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30011F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公司债券发行中约定有提前赎回条款的，下列表述恰当的是（  ）。</w:t>
      </w:r>
    </w:p>
    <w:p w14:paraId="6DF2DB7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当预测利率下降时，可提前赎回债券</w:t>
      </w:r>
    </w:p>
    <w:p w14:paraId="395CDDE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提前赎回条款增加了公司还款的压力</w:t>
      </w:r>
    </w:p>
    <w:p w14:paraId="2C9AB2F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当公司资金紧张时，可提前赎回债券</w:t>
      </w:r>
    </w:p>
    <w:p w14:paraId="474188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提前赎回条款降低了公司筹资的弹性</w:t>
      </w:r>
    </w:p>
    <w:p w14:paraId="093F507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36485E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提前赎回是指在债券尚未到期之前就予以偿还，当公司资金有结余时，可提前赎回债券；当预测利率下降时，也可提前赎回债券，而后以较低的利率来发行新债券。选项</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正确，选项</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错误。提前赎回是公司在适当条件下主动采取的行为，不会增加公司还款的压力，选项</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错误。具有提前赎回条款的债券可使公司筹资有较大的弹性，选项</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错误。</w:t>
      </w:r>
    </w:p>
    <w:p w14:paraId="5456166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DE2EC2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某租赁公司购进设备并出租，设备价款为</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万元。该公司出资</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万元，余款通过设备抵押贷款解决，并用租金偿还贷款，该租赁方式是（  ）。</w:t>
      </w:r>
    </w:p>
    <w:p w14:paraId="2FB398D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售后回租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经营租赁        </w:t>
      </w:r>
    </w:p>
    <w:p w14:paraId="7EA86FE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杠杆租赁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直接租赁</w:t>
      </w:r>
    </w:p>
    <w:p w14:paraId="6AD98FF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37F6BA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杠杆租赁是指涉及承租人、出租人和资金出借人三方的租赁业务。一般来说，当所涉及的资产价值昂贵时，出租方自己只投入部分资金，通常为资产价值的</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40%</w:t>
      </w:r>
      <w:r>
        <w:rPr>
          <w:rFonts w:hint="eastAsia" w:ascii="宋体" w:hAnsi="宋体" w:eastAsia="宋体" w:cs="宋体"/>
          <w:b w:val="0"/>
          <w:bCs/>
          <w:color w:val="000000" w:themeColor="text1"/>
          <w:sz w:val="21"/>
          <w:szCs w:val="21"/>
        </w:rPr>
        <w:t>，其余资金则通过将该资产抵押担保的方式，向第三方（通常为银行）申请贷款解决。然后，出租人将购进的设备出租给承租方，用收取的租金偿还贷款。</w:t>
      </w:r>
    </w:p>
    <w:p w14:paraId="6FCED7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C54D83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某企业向租赁公司租入一套设备，价值</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万元，租期</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年。租赁期满时预计残值</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万元，归租赁公司所有。年利率</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，年租赁手续费率</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。租金在每年年初支付一次，对于年租金的计算，正确的表达式为（  ）。</w:t>
      </w:r>
    </w:p>
    <w:p w14:paraId="00746CD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A.[200-10×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p>
    <w:p w14:paraId="200FB4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B.[200-10×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p>
    <w:p w14:paraId="4398EAF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C.[200-10×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p>
    <w:p w14:paraId="6D643BB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D.[200-10×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p>
    <w:p w14:paraId="369E78C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41282E3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租费率</w:t>
      </w:r>
      <w:r>
        <w:rPr>
          <w:rFonts w:hint="eastAsia" w:ascii="宋体" w:hAnsi="宋体" w:eastAsia="宋体" w:cs="宋体"/>
          <w:b w:val="0"/>
          <w:bCs/>
          <w:color w:val="000000" w:themeColor="text1"/>
          <w:sz w:val="21"/>
          <w:szCs w:val="21"/>
          <w:lang w:val="en-US" w:eastAsia="zh-CN"/>
        </w:rPr>
        <w:t>=7%+2%=9%</w:t>
      </w:r>
      <w:r>
        <w:rPr>
          <w:rFonts w:hint="eastAsia" w:ascii="宋体" w:hAnsi="宋体" w:eastAsia="宋体" w:cs="宋体"/>
          <w:b w:val="0"/>
          <w:bCs/>
          <w:color w:val="000000" w:themeColor="text1"/>
          <w:sz w:val="21"/>
          <w:szCs w:val="21"/>
        </w:rPr>
        <w:t>，因为租金在每年年初支付，所以属于预付年金，年租金</w:t>
      </w:r>
      <w:r>
        <w:rPr>
          <w:rFonts w:hint="eastAsia" w:ascii="宋体" w:hAnsi="宋体" w:eastAsia="宋体" w:cs="宋体"/>
          <w:b w:val="0"/>
          <w:bCs/>
          <w:color w:val="000000" w:themeColor="text1"/>
          <w:sz w:val="21"/>
          <w:szCs w:val="21"/>
          <w:lang w:val="en-US" w:eastAsia="zh-CN"/>
        </w:rPr>
        <w:t>=[200-10×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P/F</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P/A</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p>
    <w:p w14:paraId="1FD4ACE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5C7261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下列各项中，不属于债务筹资优点的是（  ）。</w:t>
      </w:r>
    </w:p>
    <w:p w14:paraId="1C2ED94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资本成本负担较轻  </w:t>
      </w:r>
    </w:p>
    <w:p w14:paraId="5F3F715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筹资弹性较大  </w:t>
      </w:r>
    </w:p>
    <w:p w14:paraId="5434DAA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筹资速度较快  </w:t>
      </w:r>
    </w:p>
    <w:p w14:paraId="309445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可形成企业稳定的资本基础</w:t>
      </w:r>
    </w:p>
    <w:p w14:paraId="18683BD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14B50E6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债务筹资的优点包括：（</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）筹资速度较快；（</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）筹资弹性较大；（</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）资本成本负担较轻；（</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）可以利用财务杠杆；（</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）稳定公司的控制权。债务筹资的缺点：（</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）不能形成企业稳定的资本基础；（</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）财务风险较大；（</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）筹资数额有限。</w:t>
      </w:r>
    </w:p>
    <w:p w14:paraId="5EF0F8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09AA85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与银行借款相比，公司发行债券的特点有（  ）。</w:t>
      </w:r>
    </w:p>
    <w:p w14:paraId="340646C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自主性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成本低        </w:t>
      </w:r>
    </w:p>
    <w:p w14:paraId="6A29397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降低财务杠杆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满足大额筹资</w:t>
      </w:r>
    </w:p>
    <w:p w14:paraId="03AEF2E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AD</w:t>
      </w:r>
    </w:p>
    <w:p w14:paraId="7C4FB3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相对于银行借款筹资，公司债券的期限长、发行债券的利息负担和筹资费用都比较高，因此资本成本较高，选项</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错误。银行借款与公司债券均可提高财务杠杆。选项</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错误。</w:t>
      </w:r>
    </w:p>
    <w:p w14:paraId="51E3BFB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519A9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4】</w:t>
      </w:r>
      <w:r>
        <w:rPr>
          <w:rFonts w:hint="eastAsia" w:ascii="宋体" w:hAnsi="宋体" w:eastAsia="宋体" w:cs="宋体"/>
          <w:b w:val="0"/>
          <w:bCs/>
          <w:color w:val="FF0000"/>
          <w:sz w:val="21"/>
          <w:szCs w:val="21"/>
        </w:rPr>
        <w:t>股权筹资</w:t>
      </w:r>
    </w:p>
    <w:p w14:paraId="6F40EE4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吸收直接投资</w:t>
      </w:r>
    </w:p>
    <w:p w14:paraId="769365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发行普通股股票</w:t>
      </w:r>
    </w:p>
    <w:p w14:paraId="76C4FF0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留存收益</w:t>
      </w:r>
    </w:p>
    <w:p w14:paraId="2A31ADD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股权筹资的优缺点</w:t>
      </w:r>
    </w:p>
    <w:p w14:paraId="0C812C1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E28AC3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下列各项中，能够作为吸收直接投资出资方式的有（  ）。</w:t>
      </w:r>
    </w:p>
    <w:p w14:paraId="0E7DCF1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土地使用权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非专利技术     </w:t>
      </w:r>
    </w:p>
    <w:p w14:paraId="5F03DFE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特许经营权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商誉</w:t>
      </w:r>
    </w:p>
    <w:p w14:paraId="5488BCF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w:t>
      </w:r>
    </w:p>
    <w:p w14:paraId="2A1E99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吸收直接投资的出资方式有以货币资产出资、以实物资产出资、以土地使用权出资、以知识产权出资、以特定债权出资。非专利技术属于以知识产权出资。</w:t>
      </w:r>
    </w:p>
    <w:p w14:paraId="4A52B4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4BE26B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下列各项中，与留存收益筹资相比，属于吸收直接投资特点的是（  ）。</w:t>
      </w:r>
    </w:p>
    <w:p w14:paraId="5DFF4E8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资本成本较低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筹资速度较快   </w:t>
      </w:r>
    </w:p>
    <w:p w14:paraId="03BB72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筹资规模有限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形成生产能力较快</w:t>
      </w:r>
    </w:p>
    <w:p w14:paraId="4B58C47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45D8D2A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吸收直接投资的筹资特点包括：（</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）能够尽快形成生产能力；（</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）容易进行信息沟通；（</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）资本成本较高；（</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）公司控制权集中，不利于公司治理；（</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）不易进行产权交易。留存收益的筹资特点包括：（</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）不用发生筹资费用；（</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）维持公司控制权分布；（</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）筹资数额有限。</w:t>
      </w:r>
    </w:p>
    <w:p w14:paraId="7BEF160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3A3458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下列各项优先权中，属于普通股股东所享有的一项权利是（  ）。</w:t>
      </w:r>
    </w:p>
    <w:p w14:paraId="6FE1349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优先认股权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优先股利分配权　　</w:t>
      </w:r>
    </w:p>
    <w:p w14:paraId="0F4B512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优先股份转让权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优先剩余财产分配权</w:t>
      </w:r>
    </w:p>
    <w:p w14:paraId="4C9446D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1841CC2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普通股股东的权利包括：（</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）公司管理权；（</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）收益分享权；（</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）股份转让权；（</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）优先认股权；（</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）剩余财产要求权。</w:t>
      </w:r>
    </w:p>
    <w:p w14:paraId="2239BFC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9CC71C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与公开间接发行股票相比，非公开直接发行股票的优点是（  ）。</w:t>
      </w:r>
    </w:p>
    <w:p w14:paraId="011ACA5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有利于筹集足额的资本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有利于引入战略投资者</w:t>
      </w:r>
    </w:p>
    <w:p w14:paraId="68D87E4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有利于降低财务风险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有利于提升公司知名度</w:t>
      </w:r>
    </w:p>
    <w:p w14:paraId="45C93C7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3E7A15A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公开间接发行，发行范围广，发行对象多，易于足额筹集资本。公开发行股票，同时还有利于提高公司的知名度，扩大其影响力，但公开发行方式审批手续复杂严格，发行成本高。非公开直接发行这种发行方式弹性较大，企业能控制股票的发行过程，节省发行费用，上市公司定向增发有利于引入战略投资者和机构投资者。所以选项</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是答案。</w:t>
      </w:r>
    </w:p>
    <w:p w14:paraId="01B07B6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8AE682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下列各项中，不属于普通股股东权利的是（  ）。</w:t>
      </w:r>
    </w:p>
    <w:p w14:paraId="34F6CBE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参与决策权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剩余财产要求权       </w:t>
      </w:r>
    </w:p>
    <w:p w14:paraId="2061374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固定收益权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转让股份权</w:t>
      </w:r>
    </w:p>
    <w:p w14:paraId="7ED554F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3D94181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普通股股东的权利有：公司管理权、收益分享权、股份转让权、优先认股权、剩余财产要求权。</w:t>
      </w:r>
    </w:p>
    <w:p w14:paraId="6A0BD38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F3B66E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股票上市对公司可能的不利影响有（  ）</w:t>
      </w:r>
    </w:p>
    <w:p w14:paraId="77300AB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商业机密容易泄露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资本结构容易恶化</w:t>
      </w:r>
    </w:p>
    <w:p w14:paraId="035FBD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信息披露成本较高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公司价值不易确定</w:t>
      </w:r>
    </w:p>
    <w:p w14:paraId="7CF066F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AC</w:t>
      </w:r>
    </w:p>
    <w:p w14:paraId="311C690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股票上市对公司不利影响主要有：上市成本较高，手续复杂严格；公司将负担较高的信息披露成本；信息公开的要求可能会暴露公司商业机密；股价有时会歪曲公司的实际情况，影响公司声誉；可能会分散公司的控制权，造成管理上的困难。</w:t>
      </w:r>
    </w:p>
    <w:p w14:paraId="78B1A0E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668CD7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5】</w:t>
      </w:r>
      <w:r>
        <w:rPr>
          <w:rFonts w:hint="eastAsia" w:ascii="宋体" w:hAnsi="宋体" w:eastAsia="宋体" w:cs="宋体"/>
          <w:b w:val="0"/>
          <w:bCs/>
          <w:color w:val="FF0000"/>
          <w:sz w:val="21"/>
          <w:szCs w:val="21"/>
        </w:rPr>
        <w:t>衍生工具筹资</w:t>
      </w:r>
    </w:p>
    <w:p w14:paraId="387C48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可转换债券</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70"/>
        <w:gridCol w:w="8600"/>
      </w:tblGrid>
      <w:tr w14:paraId="0FE1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93" w:type="pct"/>
            <w:shd w:val="clear" w:color="auto" w:fill="auto"/>
            <w:tcMar>
              <w:top w:w="72" w:type="dxa"/>
              <w:left w:w="108" w:type="dxa"/>
              <w:bottom w:w="72" w:type="dxa"/>
              <w:right w:w="108" w:type="dxa"/>
            </w:tcMar>
            <w:vAlign w:val="top"/>
          </w:tcPr>
          <w:p w14:paraId="4A600481">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转换比例</w:t>
            </w:r>
          </w:p>
        </w:tc>
        <w:tc>
          <w:tcPr>
            <w:tcW w:w="4106" w:type="pct"/>
            <w:shd w:val="clear" w:color="auto" w:fill="auto"/>
            <w:tcMar>
              <w:top w:w="72" w:type="dxa"/>
              <w:left w:w="108" w:type="dxa"/>
              <w:bottom w:w="72" w:type="dxa"/>
              <w:right w:w="108" w:type="dxa"/>
            </w:tcMar>
            <w:vAlign w:val="top"/>
          </w:tcPr>
          <w:p w14:paraId="6844B066">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转换比率＝债券面值÷转换价格</w:t>
            </w:r>
          </w:p>
        </w:tc>
      </w:tr>
      <w:tr w14:paraId="6C2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93" w:type="pct"/>
            <w:shd w:val="clear" w:color="auto" w:fill="auto"/>
            <w:tcMar>
              <w:top w:w="72" w:type="dxa"/>
              <w:left w:w="108" w:type="dxa"/>
              <w:bottom w:w="72" w:type="dxa"/>
              <w:right w:w="108" w:type="dxa"/>
            </w:tcMar>
            <w:vAlign w:val="top"/>
          </w:tcPr>
          <w:p w14:paraId="5BF3EBB8">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赎回条款</w:t>
            </w:r>
          </w:p>
        </w:tc>
        <w:tc>
          <w:tcPr>
            <w:tcW w:w="4106" w:type="pct"/>
            <w:shd w:val="clear" w:color="auto" w:fill="auto"/>
            <w:tcMar>
              <w:top w:w="72" w:type="dxa"/>
              <w:left w:w="108" w:type="dxa"/>
              <w:bottom w:w="72" w:type="dxa"/>
              <w:right w:w="108" w:type="dxa"/>
            </w:tcMar>
            <w:vAlign w:val="top"/>
          </w:tcPr>
          <w:p w14:paraId="2504F79A">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发债公司按事先约定的价格买回未转股债券的条件规定。</w:t>
            </w:r>
          </w:p>
        </w:tc>
      </w:tr>
      <w:tr w14:paraId="7753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93" w:type="pct"/>
            <w:shd w:val="clear" w:color="auto" w:fill="auto"/>
            <w:tcMar>
              <w:top w:w="72" w:type="dxa"/>
              <w:left w:w="108" w:type="dxa"/>
              <w:bottom w:w="72" w:type="dxa"/>
              <w:right w:w="108" w:type="dxa"/>
            </w:tcMar>
            <w:vAlign w:val="top"/>
          </w:tcPr>
          <w:p w14:paraId="0E611ED5">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回售条款</w:t>
            </w:r>
          </w:p>
        </w:tc>
        <w:tc>
          <w:tcPr>
            <w:tcW w:w="4106" w:type="pct"/>
            <w:shd w:val="clear" w:color="auto" w:fill="auto"/>
            <w:tcMar>
              <w:top w:w="72" w:type="dxa"/>
              <w:left w:w="108" w:type="dxa"/>
              <w:bottom w:w="72" w:type="dxa"/>
              <w:right w:w="108" w:type="dxa"/>
            </w:tcMar>
            <w:vAlign w:val="top"/>
          </w:tcPr>
          <w:p w14:paraId="419F93E7">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债券持有人有权按照事先约定的价格将债券卖回给发债公司的条件规定</w:t>
            </w:r>
          </w:p>
        </w:tc>
      </w:tr>
      <w:tr w14:paraId="4852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93" w:type="pct"/>
            <w:shd w:val="clear" w:color="auto" w:fill="auto"/>
            <w:tcMar>
              <w:top w:w="72" w:type="dxa"/>
              <w:left w:w="108" w:type="dxa"/>
              <w:bottom w:w="72" w:type="dxa"/>
              <w:right w:w="108" w:type="dxa"/>
            </w:tcMar>
            <w:vAlign w:val="top"/>
          </w:tcPr>
          <w:p w14:paraId="5C6A7325">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强制性转换条款</w:t>
            </w:r>
          </w:p>
        </w:tc>
        <w:tc>
          <w:tcPr>
            <w:tcW w:w="4106" w:type="pct"/>
            <w:shd w:val="clear" w:color="auto" w:fill="auto"/>
            <w:tcMar>
              <w:top w:w="72" w:type="dxa"/>
              <w:left w:w="108" w:type="dxa"/>
              <w:bottom w:w="72" w:type="dxa"/>
              <w:right w:w="108" w:type="dxa"/>
            </w:tcMar>
            <w:vAlign w:val="top"/>
          </w:tcPr>
          <w:p w14:paraId="543E97D5">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在某些条件具备之后，债券持有人必须将可转换债券转换为股票，无权要求偿还债券本金的条件规定。</w:t>
            </w:r>
          </w:p>
        </w:tc>
      </w:tr>
      <w:tr w14:paraId="655D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93" w:type="pct"/>
            <w:shd w:val="clear" w:color="auto" w:fill="auto"/>
            <w:tcMar>
              <w:top w:w="72" w:type="dxa"/>
              <w:left w:w="108" w:type="dxa"/>
              <w:bottom w:w="72" w:type="dxa"/>
              <w:right w:w="108" w:type="dxa"/>
            </w:tcMar>
            <w:vAlign w:val="top"/>
          </w:tcPr>
          <w:p w14:paraId="71946CBB">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可转换债券优点</w:t>
            </w:r>
          </w:p>
        </w:tc>
        <w:tc>
          <w:tcPr>
            <w:tcW w:w="4106" w:type="pct"/>
            <w:shd w:val="clear" w:color="auto" w:fill="auto"/>
            <w:tcMar>
              <w:top w:w="72" w:type="dxa"/>
              <w:left w:w="108" w:type="dxa"/>
              <w:bottom w:w="72" w:type="dxa"/>
              <w:right w:w="108" w:type="dxa"/>
            </w:tcMar>
            <w:vAlign w:val="top"/>
          </w:tcPr>
          <w:p w14:paraId="1E7AE044">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筹资灵活性；资本成本较低；筹资效率高</w:t>
            </w:r>
          </w:p>
        </w:tc>
      </w:tr>
      <w:tr w14:paraId="4FB4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93" w:type="pct"/>
            <w:shd w:val="clear" w:color="auto" w:fill="auto"/>
            <w:tcMar>
              <w:top w:w="72" w:type="dxa"/>
              <w:left w:w="108" w:type="dxa"/>
              <w:bottom w:w="72" w:type="dxa"/>
              <w:right w:w="108" w:type="dxa"/>
            </w:tcMar>
            <w:vAlign w:val="top"/>
          </w:tcPr>
          <w:p w14:paraId="294AF7A3">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可转换债券缺点</w:t>
            </w:r>
          </w:p>
        </w:tc>
        <w:tc>
          <w:tcPr>
            <w:tcW w:w="4106" w:type="pct"/>
            <w:shd w:val="clear" w:color="auto" w:fill="auto"/>
            <w:tcMar>
              <w:top w:w="72" w:type="dxa"/>
              <w:left w:w="108" w:type="dxa"/>
              <w:bottom w:w="72" w:type="dxa"/>
              <w:right w:w="108" w:type="dxa"/>
            </w:tcMar>
            <w:vAlign w:val="top"/>
          </w:tcPr>
          <w:p w14:paraId="5F065DAE">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存在一定的财务压力</w:t>
            </w:r>
          </w:p>
        </w:tc>
      </w:tr>
    </w:tbl>
    <w:p w14:paraId="029971E0">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认股权证</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25"/>
        <w:gridCol w:w="8845"/>
      </w:tblGrid>
      <w:tr w14:paraId="46BD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776" w:type="pct"/>
            <w:shd w:val="clear" w:color="auto" w:fill="auto"/>
            <w:tcMar>
              <w:top w:w="72" w:type="dxa"/>
              <w:left w:w="108" w:type="dxa"/>
              <w:bottom w:w="72" w:type="dxa"/>
              <w:right w:w="108" w:type="dxa"/>
            </w:tcMar>
            <w:vAlign w:val="top"/>
          </w:tcPr>
          <w:p w14:paraId="5BBB245D">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性质</w:t>
            </w:r>
          </w:p>
        </w:tc>
        <w:tc>
          <w:tcPr>
            <w:tcW w:w="4223" w:type="pct"/>
            <w:shd w:val="clear" w:color="auto" w:fill="auto"/>
            <w:tcMar>
              <w:top w:w="72" w:type="dxa"/>
              <w:left w:w="108" w:type="dxa"/>
              <w:bottom w:w="72" w:type="dxa"/>
              <w:right w:w="108" w:type="dxa"/>
            </w:tcMar>
            <w:vAlign w:val="top"/>
          </w:tcPr>
          <w:p w14:paraId="740DB82F">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期权性、投资工具</w:t>
            </w:r>
          </w:p>
        </w:tc>
      </w:tr>
      <w:tr w14:paraId="1EEF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776" w:type="pct"/>
            <w:shd w:val="clear" w:color="auto" w:fill="auto"/>
            <w:tcMar>
              <w:top w:w="72" w:type="dxa"/>
              <w:left w:w="108" w:type="dxa"/>
              <w:bottom w:w="72" w:type="dxa"/>
              <w:right w:w="108" w:type="dxa"/>
            </w:tcMar>
            <w:vAlign w:val="top"/>
          </w:tcPr>
          <w:p w14:paraId="2DFD379F">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p>
          <w:p w14:paraId="297F4170">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筹资特点</w:t>
            </w:r>
          </w:p>
        </w:tc>
        <w:tc>
          <w:tcPr>
            <w:tcW w:w="4223" w:type="pct"/>
            <w:shd w:val="clear" w:color="auto" w:fill="auto"/>
            <w:tcMar>
              <w:top w:w="72" w:type="dxa"/>
              <w:left w:w="108" w:type="dxa"/>
              <w:bottom w:w="72" w:type="dxa"/>
              <w:right w:w="108" w:type="dxa"/>
            </w:tcMar>
            <w:vAlign w:val="top"/>
          </w:tcPr>
          <w:p w14:paraId="7262C0A5">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 融资促进工具</w:t>
            </w:r>
          </w:p>
          <w:p w14:paraId="5298F4AC">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2.有助于改善上市公司的治理结构</w:t>
            </w:r>
          </w:p>
          <w:p w14:paraId="54B8F1E8">
            <w:pPr>
              <w:pStyle w:val="11"/>
              <w:keepNext w:val="0"/>
              <w:keepLines w:val="0"/>
              <w:pageBreakBefore w:val="0"/>
              <w:widowControl/>
              <w:suppressLineNumbers w:val="0"/>
              <w:tabs>
                <w:tab w:val="left" w:pos="4940"/>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3.有利于推进上市公司的股权激励机制</w:t>
            </w:r>
          </w:p>
        </w:tc>
      </w:tr>
    </w:tbl>
    <w:p w14:paraId="76A997DA">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优先股。特点：年度利润分配和剩余财产清偿分配方面优先于普通股股东，但次于债权人</w:t>
      </w:r>
    </w:p>
    <w:p w14:paraId="6B5C8C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9AE51E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关于可转换债券，下列表述正确的是（  ）。</w:t>
      </w:r>
    </w:p>
    <w:p w14:paraId="317633E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可转换债券的转换权是授予持有者的一种买入期权</w:t>
      </w:r>
    </w:p>
    <w:p w14:paraId="04089D0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可转换债券的回售条款有助于可转换债券顺利转换股票</w:t>
      </w:r>
    </w:p>
    <w:p w14:paraId="2D12180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可转换债券的赎回条款有利于降低投资者的持券风险</w:t>
      </w:r>
    </w:p>
    <w:p w14:paraId="50E7450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可转换债券的转换比率为标的股票市值与转换价格之比</w:t>
      </w:r>
    </w:p>
    <w:p w14:paraId="19AF892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6EF772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可转换债券给予了债券持有者未来的选择权，在事先约定的期限内，投资者可以选择将债券转换为普通股票，也可以放弃转换权利，持有至债券到期还本付息。由于可转换债券持有人具有在未来按一定的价格购买股票的权利，因此可转换债券实质上是一种未来的买入期权。所以</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的说法正确；可转换债券的回售条款对于投资者而言实际上是一种卖权，有利于降低投资者的持券风险，所以</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的说法错误；可转换债券的赎回条款最主要的功能是强制债券持有者积极行使转股权，所以</w:t>
      </w: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的说法错误；可转换债券的转换比率是债券面值与转换价格之商，所以</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的说法错误。</w:t>
      </w:r>
    </w:p>
    <w:p w14:paraId="05D7847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　　</w:t>
      </w:r>
    </w:p>
    <w:p w14:paraId="692B78B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某公司发行的可转换债券的面值是</w:t>
      </w:r>
      <w:r>
        <w:rPr>
          <w:rFonts w:hint="eastAsia" w:ascii="宋体" w:hAnsi="宋体" w:eastAsia="宋体" w:cs="宋体"/>
          <w:b w:val="0"/>
          <w:bCs/>
          <w:color w:val="000000" w:themeColor="text1"/>
          <w:sz w:val="21"/>
          <w:szCs w:val="21"/>
          <w:lang w:val="en-US" w:eastAsia="zh-CN"/>
        </w:rPr>
        <w:t>100</w:t>
      </w:r>
      <w:r>
        <w:rPr>
          <w:rFonts w:hint="eastAsia" w:ascii="宋体" w:hAnsi="宋体" w:eastAsia="宋体" w:cs="宋体"/>
          <w:b w:val="0"/>
          <w:bCs/>
          <w:color w:val="000000" w:themeColor="text1"/>
          <w:sz w:val="21"/>
          <w:szCs w:val="21"/>
        </w:rPr>
        <w:t>元，转换价格是</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元，目前该债券已到转换期，股票市价为</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元，则可转换债券的转换比率为（  ）。</w:t>
      </w:r>
    </w:p>
    <w:p w14:paraId="5026987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A.5</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B.4</w:t>
      </w:r>
      <w:r>
        <w:rPr>
          <w:rFonts w:hint="eastAsia" w:ascii="宋体" w:hAnsi="宋体" w:eastAsia="宋体" w:cs="宋体"/>
          <w:b w:val="0"/>
          <w:bCs/>
          <w:color w:val="000000" w:themeColor="text1"/>
          <w:sz w:val="21"/>
          <w:szCs w:val="21"/>
        </w:rPr>
        <w:t xml:space="preserve">　　     </w:t>
      </w:r>
    </w:p>
    <w:p w14:paraId="709B52D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C.1.25</w:t>
      </w:r>
      <w:r>
        <w:rPr>
          <w:rFonts w:hint="eastAsia" w:ascii="宋体" w:hAnsi="宋体" w:eastAsia="宋体" w:cs="宋体"/>
          <w:b w:val="0"/>
          <w:bCs/>
          <w:color w:val="000000" w:themeColor="text1"/>
          <w:sz w:val="21"/>
          <w:szCs w:val="21"/>
        </w:rPr>
        <w:t xml:space="preserve">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D.0.8</w:t>
      </w:r>
    </w:p>
    <w:p w14:paraId="361188C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674BC05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可转换债券的转换比率＝债券面值</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转换价格＝</w:t>
      </w:r>
      <w:r>
        <w:rPr>
          <w:rFonts w:hint="eastAsia" w:ascii="宋体" w:hAnsi="宋体" w:eastAsia="宋体" w:cs="宋体"/>
          <w:b w:val="0"/>
          <w:bCs/>
          <w:color w:val="000000" w:themeColor="text1"/>
          <w:sz w:val="21"/>
          <w:szCs w:val="21"/>
          <w:lang w:val="en-US" w:eastAsia="zh-CN"/>
        </w:rPr>
        <w:t>100/20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w:t>
      </w:r>
    </w:p>
    <w:p w14:paraId="775D18D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45F540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下列各项条款中，有利于保护可转换债券持有者利益的是（  ）。</w:t>
      </w:r>
    </w:p>
    <w:p w14:paraId="414FDF1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无担保条款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回售条款　　  </w:t>
      </w:r>
    </w:p>
    <w:p w14:paraId="698EE59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赎回条款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强制性转换条款</w:t>
      </w:r>
    </w:p>
    <w:p w14:paraId="785C9F6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6F8B7B6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回售条款是指债券持有人有权按照事先约定的价格将债券卖回给发债公司的条件规定。回售条款是债券持有人的权力，所以有利于保护债券持有人的利益。</w:t>
      </w:r>
    </w:p>
    <w:p w14:paraId="24CC07D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1F354B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判断题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可转换债券是常用的员工激励工具，可以把管理者和员工的利益与企业价值成长紧密联系在一起。（  ）</w:t>
      </w:r>
    </w:p>
    <w:p w14:paraId="6AE11CF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w:t>
      </w:r>
    </w:p>
    <w:p w14:paraId="6107CC4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认股权证是常用的员工激励工具，通过给予管理者和重要员工一定的认股权证，可以把管理者和员工的利益与企业价值成长紧密联系在一起，建立一个管理者与员工通过提升企业价值实现自身财富增值的利益驱动机制。</w:t>
      </w:r>
    </w:p>
    <w:p w14:paraId="1EB7ED5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8FFE8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下列各项中，属于认股权证筹资特点的有（  ）。</w:t>
      </w:r>
    </w:p>
    <w:p w14:paraId="70F395C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认股权证是一种融资促进工具          </w:t>
      </w:r>
    </w:p>
    <w:p w14:paraId="4DAAC9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认股权证是一种高风险融资工具</w:t>
      </w:r>
    </w:p>
    <w:p w14:paraId="68FA5F6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有助于改善上市公司的治理结构        </w:t>
      </w:r>
    </w:p>
    <w:p w14:paraId="29D981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有利于推进上市公司的股权激励机制</w:t>
      </w:r>
    </w:p>
    <w:p w14:paraId="017E9CA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ACD</w:t>
      </w:r>
    </w:p>
    <w:p w14:paraId="0F0640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认股权证的筹资特点有：认股权证是一种融资促进工具；有助于改善上市公司的治理结构；有利于推进上市公司的股权激励机制。</w:t>
      </w:r>
    </w:p>
    <w:p w14:paraId="1E2329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82AE4D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判断题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若某公司当年可分配利润不足以支付优先股的全部股息时，所欠股息在以后年度不予补发，则该优先股属于非累积优先股。（  ）</w:t>
      </w:r>
    </w:p>
    <w:p w14:paraId="6B408A2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w:t>
      </w:r>
    </w:p>
    <w:p w14:paraId="12F7F47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非累积优先股是指公司不足以支付优先股的全部股息时，对所欠股息部分，优先股股东不能要求公司在以后年度补发。</w:t>
      </w:r>
    </w:p>
    <w:p w14:paraId="3210E3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72C180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6】</w:t>
      </w:r>
      <w:r>
        <w:rPr>
          <w:rFonts w:hint="eastAsia" w:ascii="宋体" w:hAnsi="宋体" w:eastAsia="宋体" w:cs="宋体"/>
          <w:b w:val="0"/>
          <w:bCs/>
          <w:color w:val="FF0000"/>
          <w:sz w:val="21"/>
          <w:szCs w:val="21"/>
        </w:rPr>
        <w:t>筹资实务创新</w:t>
      </w:r>
    </w:p>
    <w:p w14:paraId="28716B4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1D196D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下列各项中，属于商圈融资模式的是（ ）。</w:t>
      </w:r>
    </w:p>
    <w:p w14:paraId="5EF387D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商业票据筹资  </w:t>
      </w:r>
    </w:p>
    <w:p w14:paraId="16211E2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企业集合债券   </w:t>
      </w:r>
    </w:p>
    <w:p w14:paraId="5053B13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租赁债权资产证券化   </w:t>
      </w:r>
    </w:p>
    <w:p w14:paraId="61C418F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能效信贷</w:t>
      </w:r>
    </w:p>
    <w:p w14:paraId="5A14B80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0F8205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商圈融资模式包括商圈担保融资、供应链融资、商铺经营权、租赁权质押、仓单质押、存货质押、动产质押、企业集合债券等。</w:t>
      </w:r>
    </w:p>
    <w:p w14:paraId="7EB153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A505A5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下列关于股权众筹融资的表述中，错误的是（ ）。</w:t>
      </w:r>
    </w:p>
    <w:p w14:paraId="29364F9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通过互联网形式公开进行                        </w:t>
      </w:r>
    </w:p>
    <w:p w14:paraId="6F24814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融资方为小微企业</w:t>
      </w:r>
    </w:p>
    <w:p w14:paraId="6C420C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必须通过股权众筹融资中介机构平台进行          </w:t>
      </w:r>
    </w:p>
    <w:p w14:paraId="7A3F35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不受证监会的监管</w:t>
      </w:r>
    </w:p>
    <w:p w14:paraId="2070F93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0D3C4A0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股权众筹融资由证监会负责监管，选项</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表述错误。</w:t>
      </w:r>
    </w:p>
    <w:p w14:paraId="4EFDE7C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030C31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0ED9867">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 xml:space="preserve">第五章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筹资管理（下）</w:t>
      </w:r>
    </w:p>
    <w:p w14:paraId="4B093F2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BCF79A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1】</w:t>
      </w:r>
      <w:r>
        <w:rPr>
          <w:rFonts w:hint="eastAsia" w:ascii="宋体" w:hAnsi="宋体" w:eastAsia="宋体" w:cs="宋体"/>
          <w:b w:val="0"/>
          <w:bCs/>
          <w:color w:val="FF0000"/>
          <w:sz w:val="21"/>
          <w:szCs w:val="21"/>
        </w:rPr>
        <w:t>资金需要量预测</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6"/>
        <w:gridCol w:w="6646"/>
        <w:gridCol w:w="1998"/>
      </w:tblGrid>
      <w:tr w14:paraId="0D20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94" w:hRule="atLeast"/>
        </w:trPr>
        <w:tc>
          <w:tcPr>
            <w:tcW w:w="872" w:type="pct"/>
            <w:shd w:val="clear" w:color="auto" w:fill="auto"/>
            <w:tcMar>
              <w:top w:w="15" w:type="dxa"/>
              <w:left w:w="108" w:type="dxa"/>
              <w:bottom w:w="72" w:type="dxa"/>
              <w:right w:w="108" w:type="dxa"/>
            </w:tcMar>
            <w:vAlign w:val="center"/>
          </w:tcPr>
          <w:p w14:paraId="6117147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方法</w:t>
            </w:r>
          </w:p>
        </w:tc>
        <w:tc>
          <w:tcPr>
            <w:tcW w:w="3173" w:type="pct"/>
            <w:shd w:val="clear" w:color="auto" w:fill="auto"/>
            <w:tcMar>
              <w:top w:w="15" w:type="dxa"/>
              <w:left w:w="108" w:type="dxa"/>
              <w:bottom w:w="72" w:type="dxa"/>
              <w:right w:w="108" w:type="dxa"/>
            </w:tcMar>
            <w:vAlign w:val="center"/>
          </w:tcPr>
          <w:p w14:paraId="28FC6864">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核心公式</w:t>
            </w:r>
          </w:p>
        </w:tc>
        <w:tc>
          <w:tcPr>
            <w:tcW w:w="954" w:type="pct"/>
            <w:shd w:val="clear" w:color="auto" w:fill="auto"/>
            <w:tcMar>
              <w:top w:w="15" w:type="dxa"/>
              <w:left w:w="108" w:type="dxa"/>
              <w:bottom w:w="72" w:type="dxa"/>
              <w:right w:w="108" w:type="dxa"/>
            </w:tcMar>
            <w:vAlign w:val="center"/>
          </w:tcPr>
          <w:p w14:paraId="33F95CC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应用</w:t>
            </w:r>
          </w:p>
        </w:tc>
      </w:tr>
      <w:tr w14:paraId="3B47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872" w:type="pct"/>
            <w:shd w:val="clear" w:color="auto" w:fill="auto"/>
            <w:tcMar>
              <w:top w:w="15" w:type="dxa"/>
              <w:left w:w="108" w:type="dxa"/>
              <w:bottom w:w="72" w:type="dxa"/>
              <w:right w:w="108" w:type="dxa"/>
            </w:tcMar>
            <w:vAlign w:val="center"/>
          </w:tcPr>
          <w:p w14:paraId="16A3CAE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因素分析法</w:t>
            </w:r>
          </w:p>
        </w:tc>
        <w:tc>
          <w:tcPr>
            <w:tcW w:w="3173" w:type="pct"/>
            <w:shd w:val="clear" w:color="auto" w:fill="auto"/>
            <w:tcMar>
              <w:top w:w="15" w:type="dxa"/>
              <w:left w:w="108" w:type="dxa"/>
              <w:bottom w:w="72" w:type="dxa"/>
              <w:right w:w="108" w:type="dxa"/>
            </w:tcMar>
            <w:vAlign w:val="center"/>
          </w:tcPr>
          <w:p w14:paraId="1F3A35EF">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资金需要量=（基期资金平均占用额-不合理资金占用额）×（1＋预测期销售增长率）/（1+预测期资金周转速度增长率）</w:t>
            </w:r>
          </w:p>
        </w:tc>
        <w:tc>
          <w:tcPr>
            <w:tcW w:w="954" w:type="pct"/>
            <w:shd w:val="clear" w:color="auto" w:fill="auto"/>
            <w:tcMar>
              <w:top w:w="15" w:type="dxa"/>
              <w:left w:w="108" w:type="dxa"/>
              <w:bottom w:w="72" w:type="dxa"/>
              <w:right w:w="108" w:type="dxa"/>
            </w:tcMar>
            <w:vAlign w:val="center"/>
          </w:tcPr>
          <w:p w14:paraId="40145DAD">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资金需要量</w:t>
            </w:r>
          </w:p>
        </w:tc>
      </w:tr>
      <w:tr w14:paraId="52A5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9" w:hRule="atLeast"/>
        </w:trPr>
        <w:tc>
          <w:tcPr>
            <w:tcW w:w="872" w:type="pct"/>
            <w:shd w:val="clear" w:color="auto" w:fill="auto"/>
            <w:tcMar>
              <w:top w:w="15" w:type="dxa"/>
              <w:left w:w="108" w:type="dxa"/>
              <w:bottom w:w="72" w:type="dxa"/>
              <w:right w:w="108" w:type="dxa"/>
            </w:tcMar>
            <w:vAlign w:val="center"/>
          </w:tcPr>
          <w:p w14:paraId="506718A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销售百分比法</w:t>
            </w:r>
          </w:p>
        </w:tc>
        <w:tc>
          <w:tcPr>
            <w:tcW w:w="3173" w:type="pct"/>
            <w:shd w:val="clear" w:color="auto" w:fill="auto"/>
            <w:tcMar>
              <w:top w:w="15" w:type="dxa"/>
              <w:left w:w="108" w:type="dxa"/>
              <w:bottom w:w="72" w:type="dxa"/>
              <w:right w:w="108" w:type="dxa"/>
            </w:tcMar>
            <w:vAlign w:val="center"/>
          </w:tcPr>
          <w:p w14:paraId="0F9B7D7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外部融资需求量＝经营性资产增加额-经营性负债增加额-预测留存收益增加额</w:t>
            </w:r>
          </w:p>
        </w:tc>
        <w:tc>
          <w:tcPr>
            <w:tcW w:w="954" w:type="pct"/>
            <w:shd w:val="clear" w:color="auto" w:fill="auto"/>
            <w:tcMar>
              <w:top w:w="15" w:type="dxa"/>
              <w:left w:w="108" w:type="dxa"/>
              <w:bottom w:w="72" w:type="dxa"/>
              <w:right w:w="108" w:type="dxa"/>
            </w:tcMar>
            <w:vAlign w:val="center"/>
          </w:tcPr>
          <w:p w14:paraId="75F8B6DA">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外部融资需求量</w:t>
            </w:r>
          </w:p>
        </w:tc>
      </w:tr>
      <w:tr w14:paraId="08CB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742" w:hRule="atLeast"/>
        </w:trPr>
        <w:tc>
          <w:tcPr>
            <w:tcW w:w="872" w:type="pct"/>
            <w:shd w:val="clear" w:color="auto" w:fill="auto"/>
            <w:tcMar>
              <w:top w:w="15" w:type="dxa"/>
              <w:left w:w="108" w:type="dxa"/>
              <w:bottom w:w="72" w:type="dxa"/>
              <w:right w:w="108" w:type="dxa"/>
            </w:tcMar>
            <w:vAlign w:val="center"/>
          </w:tcPr>
          <w:p w14:paraId="5BD545C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i w:val="0"/>
                <w:iCs w:val="0"/>
                <w:color w:val="000000" w:themeColor="text1"/>
                <w:kern w:val="24"/>
                <w:sz w:val="21"/>
                <w:szCs w:val="21"/>
                <w:u w:val="none"/>
              </w:rPr>
            </w:pPr>
            <w:r>
              <w:rPr>
                <w:rFonts w:hint="eastAsia" w:ascii="宋体" w:hAnsi="宋体" w:eastAsia="宋体" w:cs="宋体"/>
                <w:i w:val="0"/>
                <w:iCs w:val="0"/>
                <w:color w:val="000000" w:themeColor="text1"/>
                <w:kern w:val="24"/>
                <w:sz w:val="21"/>
                <w:szCs w:val="21"/>
                <w:u w:val="none"/>
              </w:rPr>
              <w:t>资金习性预测法</w:t>
            </w:r>
          </w:p>
          <w:p w14:paraId="538E3D7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（高低点法）</w:t>
            </w:r>
          </w:p>
        </w:tc>
        <w:tc>
          <w:tcPr>
            <w:tcW w:w="3173" w:type="pct"/>
            <w:shd w:val="clear" w:color="auto" w:fill="auto"/>
            <w:tcMar>
              <w:top w:w="15" w:type="dxa"/>
              <w:left w:w="108" w:type="dxa"/>
              <w:bottom w:w="72" w:type="dxa"/>
              <w:right w:w="108" w:type="dxa"/>
            </w:tcMar>
            <w:vAlign w:val="center"/>
          </w:tcPr>
          <w:p w14:paraId="3BB557E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Y=a+bX</w:t>
            </w:r>
          </w:p>
          <w:p w14:paraId="6616DB40">
            <w:pPr>
              <w:pStyle w:val="11"/>
              <w:keepNext w:val="0"/>
              <w:keepLines w:val="0"/>
              <w:pageBreakBefore w:val="0"/>
              <w:widowControl/>
              <w:suppressLineNumbers w:val="0"/>
              <w:tabs>
                <w:tab w:val="left" w:pos="505"/>
              </w:tabs>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cs="宋体"/>
                <w:i w:val="0"/>
                <w:iCs w:val="0"/>
                <w:color w:val="000000" w:themeColor="text1"/>
                <w:kern w:val="24"/>
                <w:sz w:val="21"/>
                <w:szCs w:val="21"/>
                <w:u w:val="none"/>
                <w:lang w:eastAsia="zh-CN"/>
              </w:rPr>
            </w:pPr>
            <w:r>
              <w:pict>
                <v:shape id="_x0000_i1025" o:spt="75" type="#_x0000_t75" style="height:34.75pt;width:204.85pt;" filled="f" o:preferrelative="t" stroked="f" coordsize="21600,21600">
                  <v:path/>
                  <v:fill on="f" focussize="0,0"/>
                  <v:stroke on="f"/>
                  <v:imagedata r:id="rId9" o:title=""/>
                  <o:lock v:ext="edit" aspectratio="t"/>
                  <w10:wrap type="none"/>
                  <w10:anchorlock/>
                </v:shape>
              </w:pict>
            </w:r>
          </w:p>
          <w:p w14:paraId="21D9002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a＝最高收入期资金占用量－b×最高销售收入</w:t>
            </w:r>
          </w:p>
          <w:p w14:paraId="7EEEE87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或＝最低收入期资金占用量－b×最低销售收入</w:t>
            </w:r>
          </w:p>
        </w:tc>
        <w:tc>
          <w:tcPr>
            <w:tcW w:w="954" w:type="pct"/>
            <w:shd w:val="clear" w:color="auto" w:fill="auto"/>
            <w:tcMar>
              <w:top w:w="15" w:type="dxa"/>
              <w:left w:w="108" w:type="dxa"/>
              <w:bottom w:w="72" w:type="dxa"/>
              <w:right w:w="108" w:type="dxa"/>
            </w:tcMar>
            <w:vAlign w:val="center"/>
          </w:tcPr>
          <w:p w14:paraId="39EEEC1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资金需要量</w:t>
            </w:r>
          </w:p>
        </w:tc>
      </w:tr>
    </w:tbl>
    <w:p w14:paraId="7DBF7CD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1998CD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根据资金需要量预测的销售百分比法，下列负债项目中，通常会随销售额变动而呈正比例变动的是（  ）。</w:t>
      </w:r>
    </w:p>
    <w:p w14:paraId="0C3BE41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短期融资券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短期借款</w:t>
      </w:r>
    </w:p>
    <w:p w14:paraId="1C72B71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 xml:space="preserve">长期负债                  </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应付票据</w:t>
      </w:r>
    </w:p>
    <w:p w14:paraId="4911418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D</w:t>
      </w:r>
    </w:p>
    <w:p w14:paraId="7A1E5E5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经营负债项目包括应付票据、应付账款等项目，不包括短期借款、短期融资券、长期负债等筹资性负债。根据销售百分比法，经营负债是随营业收入变动而变动的项目。故选</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项。</w:t>
      </w:r>
    </w:p>
    <w:p w14:paraId="5D17701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79B32D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戊公司是一家设备制造商，公司基于市场发展进行财务规划，有关资料如下</w:t>
      </w:r>
      <w:r>
        <w:rPr>
          <w:rFonts w:hint="eastAsia" w:ascii="宋体" w:hAnsi="宋体" w:eastAsia="宋体" w:cs="宋体"/>
          <w:b w:val="0"/>
          <w:bCs/>
          <w:color w:val="000000" w:themeColor="text1"/>
          <w:sz w:val="21"/>
          <w:szCs w:val="21"/>
          <w:lang w:val="en-US" w:eastAsia="zh-CN"/>
        </w:rPr>
        <w:t>:</w:t>
      </w:r>
    </w:p>
    <w:p w14:paraId="59EF20C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资料一：戊公司</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31</w:t>
      </w:r>
      <w:r>
        <w:rPr>
          <w:rFonts w:hint="eastAsia" w:ascii="宋体" w:hAnsi="宋体" w:eastAsia="宋体" w:cs="宋体"/>
          <w:b w:val="0"/>
          <w:bCs/>
          <w:color w:val="000000" w:themeColor="text1"/>
          <w:sz w:val="21"/>
          <w:szCs w:val="21"/>
        </w:rPr>
        <w:t>日的资产负债表简表及相关信息如表所示。</w:t>
      </w:r>
    </w:p>
    <w:p w14:paraId="3CE0DAA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戊公司资产负债表简表及相关信息（</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31</w:t>
      </w:r>
      <w:r>
        <w:rPr>
          <w:rFonts w:hint="eastAsia" w:ascii="宋体" w:hAnsi="宋体" w:eastAsia="宋体" w:cs="宋体"/>
          <w:b w:val="0"/>
          <w:bCs/>
          <w:color w:val="000000" w:themeColor="text1"/>
          <w:sz w:val="21"/>
          <w:szCs w:val="21"/>
        </w:rPr>
        <w:t>日） 金额单位：万元</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62"/>
        <w:gridCol w:w="890"/>
        <w:gridCol w:w="1867"/>
        <w:gridCol w:w="2301"/>
        <w:gridCol w:w="1398"/>
        <w:gridCol w:w="2422"/>
      </w:tblGrid>
      <w:tr w14:paraId="5B63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8" w:hRule="atLeast"/>
        </w:trPr>
        <w:tc>
          <w:tcPr>
            <w:tcW w:w="788" w:type="pct"/>
            <w:shd w:val="clear" w:color="auto" w:fill="auto"/>
            <w:tcMar>
              <w:top w:w="72" w:type="dxa"/>
              <w:left w:w="144" w:type="dxa"/>
              <w:bottom w:w="72" w:type="dxa"/>
              <w:right w:w="144" w:type="dxa"/>
            </w:tcMar>
            <w:vAlign w:val="top"/>
          </w:tcPr>
          <w:p w14:paraId="7891B0B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资产</w:t>
            </w:r>
          </w:p>
        </w:tc>
        <w:tc>
          <w:tcPr>
            <w:tcW w:w="422" w:type="pct"/>
            <w:shd w:val="clear" w:color="auto" w:fill="auto"/>
            <w:tcMar>
              <w:top w:w="72" w:type="dxa"/>
              <w:left w:w="144" w:type="dxa"/>
              <w:bottom w:w="72" w:type="dxa"/>
              <w:right w:w="144" w:type="dxa"/>
            </w:tcMar>
            <w:vAlign w:val="top"/>
          </w:tcPr>
          <w:p w14:paraId="2AEBF45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金额</w:t>
            </w:r>
          </w:p>
        </w:tc>
        <w:tc>
          <w:tcPr>
            <w:tcW w:w="885" w:type="pct"/>
            <w:shd w:val="clear" w:color="auto" w:fill="auto"/>
            <w:tcMar>
              <w:top w:w="72" w:type="dxa"/>
              <w:left w:w="144" w:type="dxa"/>
              <w:bottom w:w="72" w:type="dxa"/>
              <w:right w:w="144" w:type="dxa"/>
            </w:tcMar>
            <w:vAlign w:val="top"/>
          </w:tcPr>
          <w:p w14:paraId="046A2C74">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占销售额百分比%</w:t>
            </w:r>
          </w:p>
        </w:tc>
        <w:tc>
          <w:tcPr>
            <w:tcW w:w="1091" w:type="pct"/>
            <w:shd w:val="clear" w:color="auto" w:fill="auto"/>
            <w:tcMar>
              <w:top w:w="72" w:type="dxa"/>
              <w:left w:w="144" w:type="dxa"/>
              <w:bottom w:w="72" w:type="dxa"/>
              <w:right w:w="144" w:type="dxa"/>
            </w:tcMar>
            <w:vAlign w:val="top"/>
          </w:tcPr>
          <w:p w14:paraId="0837C41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负债与权益</w:t>
            </w:r>
          </w:p>
        </w:tc>
        <w:tc>
          <w:tcPr>
            <w:tcW w:w="663" w:type="pct"/>
            <w:shd w:val="clear" w:color="auto" w:fill="auto"/>
            <w:tcMar>
              <w:top w:w="72" w:type="dxa"/>
              <w:left w:w="144" w:type="dxa"/>
              <w:bottom w:w="72" w:type="dxa"/>
              <w:right w:w="144" w:type="dxa"/>
            </w:tcMar>
            <w:vAlign w:val="top"/>
          </w:tcPr>
          <w:p w14:paraId="3BE334C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金额</w:t>
            </w:r>
          </w:p>
        </w:tc>
        <w:tc>
          <w:tcPr>
            <w:tcW w:w="1148" w:type="pct"/>
            <w:shd w:val="clear" w:color="auto" w:fill="auto"/>
            <w:tcMar>
              <w:top w:w="72" w:type="dxa"/>
              <w:left w:w="144" w:type="dxa"/>
              <w:bottom w:w="72" w:type="dxa"/>
              <w:right w:w="144" w:type="dxa"/>
            </w:tcMar>
            <w:vAlign w:val="top"/>
          </w:tcPr>
          <w:p w14:paraId="40CF9364">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spacing w:val="60"/>
                <w:kern w:val="24"/>
                <w:sz w:val="21"/>
                <w:szCs w:val="21"/>
                <w:u w:val="none"/>
              </w:rPr>
              <w:t>占销售额</w:t>
            </w:r>
            <w:r>
              <w:rPr>
                <w:rFonts w:hint="eastAsia" w:ascii="宋体" w:hAnsi="宋体" w:eastAsia="宋体" w:cs="宋体"/>
                <w:i w:val="0"/>
                <w:iCs w:val="0"/>
                <w:color w:val="000000" w:themeColor="text1"/>
                <w:kern w:val="24"/>
                <w:sz w:val="21"/>
                <w:szCs w:val="21"/>
                <w:u w:val="none"/>
              </w:rPr>
              <w:t>百分比%</w:t>
            </w:r>
          </w:p>
        </w:tc>
      </w:tr>
      <w:tr w14:paraId="3496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788" w:type="pct"/>
            <w:shd w:val="clear" w:color="auto" w:fill="auto"/>
            <w:tcMar>
              <w:top w:w="72" w:type="dxa"/>
              <w:left w:w="144" w:type="dxa"/>
              <w:bottom w:w="72" w:type="dxa"/>
              <w:right w:w="144" w:type="dxa"/>
            </w:tcMar>
            <w:vAlign w:val="top"/>
          </w:tcPr>
          <w:p w14:paraId="51178F1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现金</w:t>
            </w:r>
          </w:p>
        </w:tc>
        <w:tc>
          <w:tcPr>
            <w:tcW w:w="422" w:type="pct"/>
            <w:shd w:val="clear" w:color="auto" w:fill="auto"/>
            <w:tcMar>
              <w:top w:w="72" w:type="dxa"/>
              <w:left w:w="144" w:type="dxa"/>
              <w:bottom w:w="72" w:type="dxa"/>
              <w:right w:w="144" w:type="dxa"/>
            </w:tcMar>
            <w:vAlign w:val="top"/>
          </w:tcPr>
          <w:p w14:paraId="58A3CE7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1000</w:t>
            </w:r>
          </w:p>
        </w:tc>
        <w:tc>
          <w:tcPr>
            <w:tcW w:w="885" w:type="pct"/>
            <w:shd w:val="clear" w:color="auto" w:fill="auto"/>
            <w:tcMar>
              <w:top w:w="72" w:type="dxa"/>
              <w:left w:w="144" w:type="dxa"/>
              <w:bottom w:w="72" w:type="dxa"/>
              <w:right w:w="144" w:type="dxa"/>
            </w:tcMar>
            <w:vAlign w:val="top"/>
          </w:tcPr>
          <w:p w14:paraId="2D68D64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2.5</w:t>
            </w:r>
          </w:p>
        </w:tc>
        <w:tc>
          <w:tcPr>
            <w:tcW w:w="1091" w:type="pct"/>
            <w:shd w:val="clear" w:color="auto" w:fill="auto"/>
            <w:tcMar>
              <w:top w:w="72" w:type="dxa"/>
              <w:left w:w="144" w:type="dxa"/>
              <w:bottom w:w="72" w:type="dxa"/>
              <w:right w:w="144" w:type="dxa"/>
            </w:tcMar>
            <w:vAlign w:val="top"/>
          </w:tcPr>
          <w:p w14:paraId="3338A79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短期借款</w:t>
            </w:r>
          </w:p>
        </w:tc>
        <w:tc>
          <w:tcPr>
            <w:tcW w:w="663" w:type="pct"/>
            <w:shd w:val="clear" w:color="auto" w:fill="auto"/>
            <w:tcMar>
              <w:top w:w="72" w:type="dxa"/>
              <w:left w:w="144" w:type="dxa"/>
              <w:bottom w:w="72" w:type="dxa"/>
              <w:right w:w="144" w:type="dxa"/>
            </w:tcMar>
            <w:vAlign w:val="top"/>
          </w:tcPr>
          <w:p w14:paraId="0017700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5000</w:t>
            </w:r>
          </w:p>
        </w:tc>
        <w:tc>
          <w:tcPr>
            <w:tcW w:w="1148" w:type="pct"/>
            <w:shd w:val="clear" w:color="auto" w:fill="auto"/>
            <w:tcMar>
              <w:top w:w="72" w:type="dxa"/>
              <w:left w:w="144" w:type="dxa"/>
              <w:bottom w:w="72" w:type="dxa"/>
              <w:right w:w="144" w:type="dxa"/>
            </w:tcMar>
            <w:vAlign w:val="top"/>
          </w:tcPr>
          <w:p w14:paraId="73F215F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N</w:t>
            </w:r>
          </w:p>
        </w:tc>
      </w:tr>
      <w:tr w14:paraId="688B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9" w:hRule="atLeast"/>
        </w:trPr>
        <w:tc>
          <w:tcPr>
            <w:tcW w:w="788" w:type="pct"/>
            <w:shd w:val="clear" w:color="auto" w:fill="auto"/>
            <w:tcMar>
              <w:top w:w="72" w:type="dxa"/>
              <w:left w:w="144" w:type="dxa"/>
              <w:bottom w:w="72" w:type="dxa"/>
              <w:right w:w="144" w:type="dxa"/>
            </w:tcMar>
            <w:vAlign w:val="top"/>
          </w:tcPr>
          <w:p w14:paraId="2D943C9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应收票据</w:t>
            </w:r>
          </w:p>
        </w:tc>
        <w:tc>
          <w:tcPr>
            <w:tcW w:w="422" w:type="pct"/>
            <w:shd w:val="clear" w:color="auto" w:fill="auto"/>
            <w:tcMar>
              <w:top w:w="72" w:type="dxa"/>
              <w:left w:w="144" w:type="dxa"/>
              <w:bottom w:w="72" w:type="dxa"/>
              <w:right w:w="144" w:type="dxa"/>
            </w:tcMar>
            <w:vAlign w:val="top"/>
          </w:tcPr>
          <w:p w14:paraId="4211B25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8000</w:t>
            </w:r>
          </w:p>
        </w:tc>
        <w:tc>
          <w:tcPr>
            <w:tcW w:w="885" w:type="pct"/>
            <w:shd w:val="clear" w:color="auto" w:fill="auto"/>
            <w:tcMar>
              <w:top w:w="72" w:type="dxa"/>
              <w:left w:w="144" w:type="dxa"/>
              <w:bottom w:w="72" w:type="dxa"/>
              <w:right w:w="144" w:type="dxa"/>
            </w:tcMar>
            <w:vAlign w:val="top"/>
          </w:tcPr>
          <w:p w14:paraId="337619F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20.0</w:t>
            </w:r>
          </w:p>
        </w:tc>
        <w:tc>
          <w:tcPr>
            <w:tcW w:w="1091" w:type="pct"/>
            <w:shd w:val="clear" w:color="auto" w:fill="auto"/>
            <w:tcMar>
              <w:top w:w="72" w:type="dxa"/>
              <w:left w:w="144" w:type="dxa"/>
              <w:bottom w:w="72" w:type="dxa"/>
              <w:right w:w="144" w:type="dxa"/>
            </w:tcMar>
            <w:vAlign w:val="top"/>
          </w:tcPr>
          <w:p w14:paraId="6CB5EC7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应付票据</w:t>
            </w:r>
          </w:p>
        </w:tc>
        <w:tc>
          <w:tcPr>
            <w:tcW w:w="663" w:type="pct"/>
            <w:shd w:val="clear" w:color="auto" w:fill="auto"/>
            <w:tcMar>
              <w:top w:w="72" w:type="dxa"/>
              <w:left w:w="144" w:type="dxa"/>
              <w:bottom w:w="72" w:type="dxa"/>
              <w:right w:w="144" w:type="dxa"/>
            </w:tcMar>
            <w:vAlign w:val="top"/>
          </w:tcPr>
          <w:p w14:paraId="0066C10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2000</w:t>
            </w:r>
          </w:p>
        </w:tc>
        <w:tc>
          <w:tcPr>
            <w:tcW w:w="1148" w:type="pct"/>
            <w:shd w:val="clear" w:color="auto" w:fill="auto"/>
            <w:tcMar>
              <w:top w:w="72" w:type="dxa"/>
              <w:left w:w="144" w:type="dxa"/>
              <w:bottom w:w="72" w:type="dxa"/>
              <w:right w:w="144" w:type="dxa"/>
            </w:tcMar>
            <w:vAlign w:val="top"/>
          </w:tcPr>
          <w:p w14:paraId="503A724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5.0</w:t>
            </w:r>
          </w:p>
        </w:tc>
      </w:tr>
      <w:tr w14:paraId="2798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0" w:hRule="atLeast"/>
        </w:trPr>
        <w:tc>
          <w:tcPr>
            <w:tcW w:w="788" w:type="pct"/>
            <w:shd w:val="clear" w:color="auto" w:fill="auto"/>
            <w:tcMar>
              <w:top w:w="72" w:type="dxa"/>
              <w:left w:w="144" w:type="dxa"/>
              <w:bottom w:w="72" w:type="dxa"/>
              <w:right w:w="144" w:type="dxa"/>
            </w:tcMar>
            <w:vAlign w:val="top"/>
          </w:tcPr>
          <w:p w14:paraId="0609399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应收账款</w:t>
            </w:r>
          </w:p>
        </w:tc>
        <w:tc>
          <w:tcPr>
            <w:tcW w:w="422" w:type="pct"/>
            <w:shd w:val="clear" w:color="auto" w:fill="auto"/>
            <w:tcMar>
              <w:top w:w="72" w:type="dxa"/>
              <w:left w:w="144" w:type="dxa"/>
              <w:bottom w:w="72" w:type="dxa"/>
              <w:right w:w="144" w:type="dxa"/>
            </w:tcMar>
            <w:vAlign w:val="top"/>
          </w:tcPr>
          <w:p w14:paraId="34888D3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5000</w:t>
            </w:r>
          </w:p>
        </w:tc>
        <w:tc>
          <w:tcPr>
            <w:tcW w:w="885" w:type="pct"/>
            <w:shd w:val="clear" w:color="auto" w:fill="auto"/>
            <w:tcMar>
              <w:top w:w="72" w:type="dxa"/>
              <w:left w:w="144" w:type="dxa"/>
              <w:bottom w:w="72" w:type="dxa"/>
              <w:right w:w="144" w:type="dxa"/>
            </w:tcMar>
            <w:vAlign w:val="top"/>
          </w:tcPr>
          <w:p w14:paraId="356434BD">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12.5</w:t>
            </w:r>
          </w:p>
        </w:tc>
        <w:tc>
          <w:tcPr>
            <w:tcW w:w="1091" w:type="pct"/>
            <w:shd w:val="clear" w:color="auto" w:fill="auto"/>
            <w:tcMar>
              <w:top w:w="72" w:type="dxa"/>
              <w:left w:w="144" w:type="dxa"/>
              <w:bottom w:w="72" w:type="dxa"/>
              <w:right w:w="144" w:type="dxa"/>
            </w:tcMar>
            <w:vAlign w:val="top"/>
          </w:tcPr>
          <w:p w14:paraId="4A45FCC7">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应付账款</w:t>
            </w:r>
          </w:p>
        </w:tc>
        <w:tc>
          <w:tcPr>
            <w:tcW w:w="663" w:type="pct"/>
            <w:shd w:val="clear" w:color="auto" w:fill="auto"/>
            <w:tcMar>
              <w:top w:w="72" w:type="dxa"/>
              <w:left w:w="144" w:type="dxa"/>
              <w:bottom w:w="72" w:type="dxa"/>
              <w:right w:w="144" w:type="dxa"/>
            </w:tcMar>
            <w:vAlign w:val="top"/>
          </w:tcPr>
          <w:p w14:paraId="7E5C132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8000</w:t>
            </w:r>
          </w:p>
        </w:tc>
        <w:tc>
          <w:tcPr>
            <w:tcW w:w="1148" w:type="pct"/>
            <w:shd w:val="clear" w:color="auto" w:fill="auto"/>
            <w:tcMar>
              <w:top w:w="72" w:type="dxa"/>
              <w:left w:w="144" w:type="dxa"/>
              <w:bottom w:w="72" w:type="dxa"/>
              <w:right w:w="144" w:type="dxa"/>
            </w:tcMar>
            <w:vAlign w:val="top"/>
          </w:tcPr>
          <w:p w14:paraId="0A47CFE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20.0</w:t>
            </w:r>
          </w:p>
        </w:tc>
      </w:tr>
      <w:tr w14:paraId="2D05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4" w:hRule="atLeast"/>
        </w:trPr>
        <w:tc>
          <w:tcPr>
            <w:tcW w:w="788" w:type="pct"/>
            <w:shd w:val="clear" w:color="auto" w:fill="auto"/>
            <w:tcMar>
              <w:top w:w="72" w:type="dxa"/>
              <w:left w:w="144" w:type="dxa"/>
              <w:bottom w:w="72" w:type="dxa"/>
              <w:right w:w="144" w:type="dxa"/>
            </w:tcMar>
            <w:vAlign w:val="top"/>
          </w:tcPr>
          <w:p w14:paraId="615CAC7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存货</w:t>
            </w:r>
          </w:p>
        </w:tc>
        <w:tc>
          <w:tcPr>
            <w:tcW w:w="422" w:type="pct"/>
            <w:shd w:val="clear" w:color="auto" w:fill="auto"/>
            <w:tcMar>
              <w:top w:w="72" w:type="dxa"/>
              <w:left w:w="144" w:type="dxa"/>
              <w:bottom w:w="72" w:type="dxa"/>
              <w:right w:w="144" w:type="dxa"/>
            </w:tcMar>
            <w:vAlign w:val="top"/>
          </w:tcPr>
          <w:p w14:paraId="453E2EFF">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4000</w:t>
            </w:r>
          </w:p>
        </w:tc>
        <w:tc>
          <w:tcPr>
            <w:tcW w:w="885" w:type="pct"/>
            <w:shd w:val="clear" w:color="auto" w:fill="auto"/>
            <w:tcMar>
              <w:top w:w="72" w:type="dxa"/>
              <w:left w:w="144" w:type="dxa"/>
              <w:bottom w:w="72" w:type="dxa"/>
              <w:right w:w="144" w:type="dxa"/>
            </w:tcMar>
            <w:vAlign w:val="top"/>
          </w:tcPr>
          <w:p w14:paraId="766E472E">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10.0</w:t>
            </w:r>
          </w:p>
        </w:tc>
        <w:tc>
          <w:tcPr>
            <w:tcW w:w="1091" w:type="pct"/>
            <w:shd w:val="clear" w:color="auto" w:fill="auto"/>
            <w:tcMar>
              <w:top w:w="72" w:type="dxa"/>
              <w:left w:w="144" w:type="dxa"/>
              <w:bottom w:w="72" w:type="dxa"/>
              <w:right w:w="144" w:type="dxa"/>
            </w:tcMar>
            <w:vAlign w:val="top"/>
          </w:tcPr>
          <w:p w14:paraId="4AA6451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应付债券</w:t>
            </w:r>
          </w:p>
        </w:tc>
        <w:tc>
          <w:tcPr>
            <w:tcW w:w="663" w:type="pct"/>
            <w:shd w:val="clear" w:color="auto" w:fill="auto"/>
            <w:tcMar>
              <w:top w:w="72" w:type="dxa"/>
              <w:left w:w="144" w:type="dxa"/>
              <w:bottom w:w="72" w:type="dxa"/>
              <w:right w:w="144" w:type="dxa"/>
            </w:tcMar>
            <w:vAlign w:val="top"/>
          </w:tcPr>
          <w:p w14:paraId="6CD299F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6000</w:t>
            </w:r>
          </w:p>
        </w:tc>
        <w:tc>
          <w:tcPr>
            <w:tcW w:w="1148" w:type="pct"/>
            <w:shd w:val="clear" w:color="auto" w:fill="auto"/>
            <w:tcMar>
              <w:top w:w="72" w:type="dxa"/>
              <w:left w:w="144" w:type="dxa"/>
              <w:bottom w:w="72" w:type="dxa"/>
              <w:right w:w="144" w:type="dxa"/>
            </w:tcMar>
            <w:vAlign w:val="top"/>
          </w:tcPr>
          <w:p w14:paraId="4AA55064">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N</w:t>
            </w:r>
          </w:p>
        </w:tc>
      </w:tr>
      <w:tr w14:paraId="702E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4" w:hRule="atLeast"/>
        </w:trPr>
        <w:tc>
          <w:tcPr>
            <w:tcW w:w="788" w:type="pct"/>
            <w:shd w:val="clear" w:color="auto" w:fill="auto"/>
            <w:tcMar>
              <w:top w:w="72" w:type="dxa"/>
              <w:left w:w="144" w:type="dxa"/>
              <w:bottom w:w="72" w:type="dxa"/>
              <w:right w:w="144" w:type="dxa"/>
            </w:tcMar>
            <w:vAlign w:val="top"/>
          </w:tcPr>
          <w:p w14:paraId="6BAE975F">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其他流动资产</w:t>
            </w:r>
          </w:p>
        </w:tc>
        <w:tc>
          <w:tcPr>
            <w:tcW w:w="422" w:type="pct"/>
            <w:shd w:val="clear" w:color="auto" w:fill="auto"/>
            <w:tcMar>
              <w:top w:w="72" w:type="dxa"/>
              <w:left w:w="144" w:type="dxa"/>
              <w:bottom w:w="72" w:type="dxa"/>
              <w:right w:w="144" w:type="dxa"/>
            </w:tcMar>
            <w:vAlign w:val="top"/>
          </w:tcPr>
          <w:p w14:paraId="3645751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4500</w:t>
            </w:r>
          </w:p>
        </w:tc>
        <w:tc>
          <w:tcPr>
            <w:tcW w:w="885" w:type="pct"/>
            <w:shd w:val="clear" w:color="auto" w:fill="auto"/>
            <w:tcMar>
              <w:top w:w="72" w:type="dxa"/>
              <w:left w:w="144" w:type="dxa"/>
              <w:bottom w:w="72" w:type="dxa"/>
              <w:right w:w="144" w:type="dxa"/>
            </w:tcMar>
            <w:vAlign w:val="top"/>
          </w:tcPr>
          <w:p w14:paraId="0F4C32D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N</w:t>
            </w:r>
          </w:p>
        </w:tc>
        <w:tc>
          <w:tcPr>
            <w:tcW w:w="1091" w:type="pct"/>
            <w:shd w:val="clear" w:color="auto" w:fill="auto"/>
            <w:tcMar>
              <w:top w:w="72" w:type="dxa"/>
              <w:left w:w="144" w:type="dxa"/>
              <w:bottom w:w="72" w:type="dxa"/>
              <w:right w:w="144" w:type="dxa"/>
            </w:tcMar>
            <w:vAlign w:val="top"/>
          </w:tcPr>
          <w:p w14:paraId="6FA6F3D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实收资本</w:t>
            </w:r>
          </w:p>
        </w:tc>
        <w:tc>
          <w:tcPr>
            <w:tcW w:w="663" w:type="pct"/>
            <w:shd w:val="clear" w:color="auto" w:fill="auto"/>
            <w:tcMar>
              <w:top w:w="72" w:type="dxa"/>
              <w:left w:w="144" w:type="dxa"/>
              <w:bottom w:w="72" w:type="dxa"/>
              <w:right w:w="144" w:type="dxa"/>
            </w:tcMar>
            <w:vAlign w:val="top"/>
          </w:tcPr>
          <w:p w14:paraId="3ACE940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20000</w:t>
            </w:r>
          </w:p>
        </w:tc>
        <w:tc>
          <w:tcPr>
            <w:tcW w:w="1148" w:type="pct"/>
            <w:shd w:val="clear" w:color="auto" w:fill="auto"/>
            <w:tcMar>
              <w:top w:w="72" w:type="dxa"/>
              <w:left w:w="144" w:type="dxa"/>
              <w:bottom w:w="72" w:type="dxa"/>
              <w:right w:w="144" w:type="dxa"/>
            </w:tcMar>
            <w:vAlign w:val="top"/>
          </w:tcPr>
          <w:p w14:paraId="21A4EACC">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N</w:t>
            </w:r>
          </w:p>
        </w:tc>
      </w:tr>
      <w:tr w14:paraId="24AB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9" w:hRule="atLeast"/>
        </w:trPr>
        <w:tc>
          <w:tcPr>
            <w:tcW w:w="788" w:type="pct"/>
            <w:shd w:val="clear" w:color="auto" w:fill="auto"/>
            <w:tcMar>
              <w:top w:w="72" w:type="dxa"/>
              <w:left w:w="144" w:type="dxa"/>
              <w:bottom w:w="72" w:type="dxa"/>
              <w:right w:w="144" w:type="dxa"/>
            </w:tcMar>
            <w:vAlign w:val="top"/>
          </w:tcPr>
          <w:p w14:paraId="3385AE2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固定资产</w:t>
            </w:r>
          </w:p>
        </w:tc>
        <w:tc>
          <w:tcPr>
            <w:tcW w:w="422" w:type="pct"/>
            <w:shd w:val="clear" w:color="auto" w:fill="auto"/>
            <w:tcMar>
              <w:top w:w="72" w:type="dxa"/>
              <w:left w:w="144" w:type="dxa"/>
              <w:bottom w:w="72" w:type="dxa"/>
              <w:right w:w="144" w:type="dxa"/>
            </w:tcMar>
            <w:vAlign w:val="top"/>
          </w:tcPr>
          <w:p w14:paraId="6A881CF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23500</w:t>
            </w:r>
          </w:p>
        </w:tc>
        <w:tc>
          <w:tcPr>
            <w:tcW w:w="885" w:type="pct"/>
            <w:shd w:val="clear" w:color="auto" w:fill="auto"/>
            <w:tcMar>
              <w:top w:w="72" w:type="dxa"/>
              <w:left w:w="144" w:type="dxa"/>
              <w:bottom w:w="72" w:type="dxa"/>
              <w:right w:w="144" w:type="dxa"/>
            </w:tcMar>
            <w:vAlign w:val="top"/>
          </w:tcPr>
          <w:p w14:paraId="7536BA6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N</w:t>
            </w:r>
          </w:p>
        </w:tc>
        <w:tc>
          <w:tcPr>
            <w:tcW w:w="1091" w:type="pct"/>
            <w:shd w:val="clear" w:color="auto" w:fill="auto"/>
            <w:tcMar>
              <w:top w:w="72" w:type="dxa"/>
              <w:left w:w="144" w:type="dxa"/>
              <w:bottom w:w="72" w:type="dxa"/>
              <w:right w:w="144" w:type="dxa"/>
            </w:tcMar>
            <w:vAlign w:val="top"/>
          </w:tcPr>
          <w:p w14:paraId="48238E6E">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留存收益</w:t>
            </w:r>
          </w:p>
        </w:tc>
        <w:tc>
          <w:tcPr>
            <w:tcW w:w="663" w:type="pct"/>
            <w:shd w:val="clear" w:color="auto" w:fill="auto"/>
            <w:tcMar>
              <w:top w:w="72" w:type="dxa"/>
              <w:left w:w="144" w:type="dxa"/>
              <w:bottom w:w="72" w:type="dxa"/>
              <w:right w:w="144" w:type="dxa"/>
            </w:tcMar>
            <w:vAlign w:val="top"/>
          </w:tcPr>
          <w:p w14:paraId="584EC125">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5000</w:t>
            </w:r>
          </w:p>
        </w:tc>
        <w:tc>
          <w:tcPr>
            <w:tcW w:w="1148" w:type="pct"/>
            <w:shd w:val="clear" w:color="auto" w:fill="auto"/>
            <w:tcMar>
              <w:top w:w="72" w:type="dxa"/>
              <w:left w:w="144" w:type="dxa"/>
              <w:bottom w:w="72" w:type="dxa"/>
              <w:right w:w="144" w:type="dxa"/>
            </w:tcMar>
            <w:vAlign w:val="top"/>
          </w:tcPr>
          <w:p w14:paraId="4BBCF9C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N</w:t>
            </w:r>
          </w:p>
        </w:tc>
      </w:tr>
      <w:tr w14:paraId="458E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1" w:hRule="atLeast"/>
        </w:trPr>
        <w:tc>
          <w:tcPr>
            <w:tcW w:w="788" w:type="pct"/>
            <w:shd w:val="clear" w:color="auto" w:fill="auto"/>
            <w:tcMar>
              <w:top w:w="72" w:type="dxa"/>
              <w:left w:w="144" w:type="dxa"/>
              <w:bottom w:w="72" w:type="dxa"/>
              <w:right w:w="144" w:type="dxa"/>
            </w:tcMar>
            <w:vAlign w:val="top"/>
          </w:tcPr>
          <w:p w14:paraId="4A296AE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合计</w:t>
            </w:r>
          </w:p>
        </w:tc>
        <w:tc>
          <w:tcPr>
            <w:tcW w:w="422" w:type="pct"/>
            <w:shd w:val="clear" w:color="auto" w:fill="auto"/>
            <w:tcMar>
              <w:top w:w="72" w:type="dxa"/>
              <w:left w:w="144" w:type="dxa"/>
              <w:bottom w:w="72" w:type="dxa"/>
              <w:right w:w="144" w:type="dxa"/>
            </w:tcMar>
            <w:vAlign w:val="top"/>
          </w:tcPr>
          <w:p w14:paraId="2C2C159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46000</w:t>
            </w:r>
          </w:p>
        </w:tc>
        <w:tc>
          <w:tcPr>
            <w:tcW w:w="885" w:type="pct"/>
            <w:shd w:val="clear" w:color="auto" w:fill="auto"/>
            <w:tcMar>
              <w:top w:w="72" w:type="dxa"/>
              <w:left w:w="144" w:type="dxa"/>
              <w:bottom w:w="72" w:type="dxa"/>
              <w:right w:w="144" w:type="dxa"/>
            </w:tcMar>
            <w:vAlign w:val="top"/>
          </w:tcPr>
          <w:p w14:paraId="4C21366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45.0</w:t>
            </w:r>
          </w:p>
        </w:tc>
        <w:tc>
          <w:tcPr>
            <w:tcW w:w="1091" w:type="pct"/>
            <w:shd w:val="clear" w:color="auto" w:fill="auto"/>
            <w:tcMar>
              <w:top w:w="72" w:type="dxa"/>
              <w:left w:w="144" w:type="dxa"/>
              <w:bottom w:w="72" w:type="dxa"/>
              <w:right w:w="144" w:type="dxa"/>
            </w:tcMar>
            <w:vAlign w:val="top"/>
          </w:tcPr>
          <w:p w14:paraId="55D8850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合计</w:t>
            </w:r>
          </w:p>
        </w:tc>
        <w:tc>
          <w:tcPr>
            <w:tcW w:w="663" w:type="pct"/>
            <w:shd w:val="clear" w:color="auto" w:fill="auto"/>
            <w:tcMar>
              <w:top w:w="72" w:type="dxa"/>
              <w:left w:w="144" w:type="dxa"/>
              <w:bottom w:w="72" w:type="dxa"/>
              <w:right w:w="144" w:type="dxa"/>
            </w:tcMar>
            <w:vAlign w:val="top"/>
          </w:tcPr>
          <w:p w14:paraId="3F519DCD">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46000</w:t>
            </w:r>
          </w:p>
        </w:tc>
        <w:tc>
          <w:tcPr>
            <w:tcW w:w="1148" w:type="pct"/>
            <w:shd w:val="clear" w:color="auto" w:fill="auto"/>
            <w:tcMar>
              <w:top w:w="72" w:type="dxa"/>
              <w:left w:w="144" w:type="dxa"/>
              <w:bottom w:w="72" w:type="dxa"/>
              <w:right w:w="144" w:type="dxa"/>
            </w:tcMar>
            <w:vAlign w:val="top"/>
          </w:tcPr>
          <w:p w14:paraId="15795DD8">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25.0</w:t>
            </w:r>
          </w:p>
        </w:tc>
      </w:tr>
    </w:tbl>
    <w:p w14:paraId="0B54E2F2">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资料二：戊公司</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年销售额为</w:t>
      </w:r>
      <w:r>
        <w:rPr>
          <w:rFonts w:hint="eastAsia" w:ascii="宋体" w:hAnsi="宋体" w:eastAsia="宋体" w:cs="宋体"/>
          <w:b w:val="0"/>
          <w:bCs/>
          <w:color w:val="000000" w:themeColor="text1"/>
          <w:sz w:val="21"/>
          <w:szCs w:val="21"/>
          <w:lang w:val="en-US" w:eastAsia="zh-CN"/>
        </w:rPr>
        <w:t>40000</w:t>
      </w:r>
      <w:r>
        <w:rPr>
          <w:rFonts w:hint="eastAsia" w:ascii="宋体" w:hAnsi="宋体" w:eastAsia="宋体" w:cs="宋体"/>
          <w:b w:val="0"/>
          <w:bCs/>
          <w:color w:val="000000" w:themeColor="text1"/>
          <w:sz w:val="21"/>
          <w:szCs w:val="21"/>
        </w:rPr>
        <w:t>万元，营业净利率为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，利润留存率为</w:t>
      </w:r>
      <w:r>
        <w:rPr>
          <w:rFonts w:hint="eastAsia" w:ascii="宋体" w:hAnsi="宋体" w:eastAsia="宋体" w:cs="宋体"/>
          <w:b w:val="0"/>
          <w:bCs/>
          <w:color w:val="000000" w:themeColor="text1"/>
          <w:sz w:val="21"/>
          <w:szCs w:val="21"/>
          <w:lang w:val="en-US" w:eastAsia="zh-CN"/>
        </w:rPr>
        <w:t>40%</w:t>
      </w:r>
      <w:r>
        <w:rPr>
          <w:rFonts w:hint="eastAsia" w:ascii="宋体" w:hAnsi="宋体" w:eastAsia="宋体" w:cs="宋体"/>
          <w:b w:val="0"/>
          <w:bCs/>
          <w:color w:val="000000" w:themeColor="text1"/>
          <w:sz w:val="21"/>
          <w:szCs w:val="21"/>
        </w:rPr>
        <w:t>。预计</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年销售额增长率为</w:t>
      </w:r>
      <w:r>
        <w:rPr>
          <w:rFonts w:hint="eastAsia" w:ascii="宋体" w:hAnsi="宋体" w:eastAsia="宋体" w:cs="宋体"/>
          <w:b w:val="0"/>
          <w:bCs/>
          <w:color w:val="000000" w:themeColor="text1"/>
          <w:sz w:val="21"/>
          <w:szCs w:val="21"/>
          <w:lang w:val="en-US" w:eastAsia="zh-CN"/>
        </w:rPr>
        <w:t>30%</w:t>
      </w:r>
      <w:r>
        <w:rPr>
          <w:rFonts w:hint="eastAsia" w:ascii="宋体" w:hAnsi="宋体" w:eastAsia="宋体" w:cs="宋体"/>
          <w:b w:val="0"/>
          <w:bCs/>
          <w:color w:val="000000" w:themeColor="text1"/>
          <w:sz w:val="21"/>
          <w:szCs w:val="21"/>
        </w:rPr>
        <w:t>，销售净利率和利润留存率保持不变。不考虑增值税及其因素的影响。</w:t>
      </w:r>
    </w:p>
    <w:p w14:paraId="5DC8EB2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要求：根据资料一和资料二，计算戊公司</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年下列各项金额：</w:t>
      </w:r>
    </w:p>
    <w:p w14:paraId="1E7B873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）销售增加而增加的资产额；</w:t>
      </w:r>
    </w:p>
    <w:p w14:paraId="56AFFCB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）因销售增加而增加的负债额；</w:t>
      </w:r>
    </w:p>
    <w:p w14:paraId="337D05E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）销售增加而增加的资金量；</w:t>
      </w:r>
    </w:p>
    <w:p w14:paraId="48C2468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）计利润的留存收益额；</w:t>
      </w:r>
    </w:p>
    <w:p w14:paraId="4CB4DE0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）外部融资需求量。</w:t>
      </w:r>
    </w:p>
    <w:p w14:paraId="768ED8B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答案及解析</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lang w:val="en-US" w:eastAsia="zh-CN"/>
        </w:rPr>
        <w:t>2018</w:t>
      </w:r>
      <w:r>
        <w:rPr>
          <w:rFonts w:hint="eastAsia" w:ascii="宋体" w:hAnsi="宋体" w:eastAsia="宋体" w:cs="宋体"/>
          <w:b w:val="0"/>
          <w:bCs/>
          <w:color w:val="000000" w:themeColor="text1"/>
          <w:sz w:val="21"/>
          <w:szCs w:val="21"/>
        </w:rPr>
        <w:t>年销售增加额</w:t>
      </w:r>
      <w:r>
        <w:rPr>
          <w:rFonts w:hint="eastAsia" w:ascii="宋体" w:hAnsi="宋体" w:eastAsia="宋体" w:cs="宋体"/>
          <w:b w:val="0"/>
          <w:bCs/>
          <w:color w:val="000000" w:themeColor="text1"/>
          <w:sz w:val="21"/>
          <w:szCs w:val="21"/>
          <w:lang w:val="en-US" w:eastAsia="zh-CN"/>
        </w:rPr>
        <w:t>=40000×30%=12000</w:t>
      </w:r>
      <w:r>
        <w:rPr>
          <w:rFonts w:hint="eastAsia" w:ascii="宋体" w:hAnsi="宋体" w:eastAsia="宋体" w:cs="宋体"/>
          <w:b w:val="0"/>
          <w:bCs/>
          <w:color w:val="000000" w:themeColor="text1"/>
          <w:sz w:val="21"/>
          <w:szCs w:val="21"/>
        </w:rPr>
        <w:t>（万元）</w:t>
      </w:r>
    </w:p>
    <w:p w14:paraId="5BD6B7D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）因销售增加而增加的资产额</w:t>
      </w:r>
    </w:p>
    <w:p w14:paraId="77061E8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=12000×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2.5%+20%+12.5%+10%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=5400</w:t>
      </w:r>
      <w:r>
        <w:rPr>
          <w:rFonts w:hint="eastAsia" w:ascii="宋体" w:hAnsi="宋体" w:eastAsia="宋体" w:cs="宋体"/>
          <w:b w:val="0"/>
          <w:bCs/>
          <w:color w:val="000000" w:themeColor="text1"/>
          <w:sz w:val="21"/>
          <w:szCs w:val="21"/>
        </w:rPr>
        <w:t>（万元）</w:t>
      </w:r>
    </w:p>
    <w:p w14:paraId="6F36E3B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）因销售增加而增加的负债额</w:t>
      </w:r>
      <w:r>
        <w:rPr>
          <w:rFonts w:hint="eastAsia" w:ascii="宋体" w:hAnsi="宋体" w:eastAsia="宋体" w:cs="宋体"/>
          <w:b w:val="0"/>
          <w:bCs/>
          <w:color w:val="000000" w:themeColor="text1"/>
          <w:sz w:val="21"/>
          <w:szCs w:val="21"/>
          <w:lang w:val="en-US" w:eastAsia="zh-CN"/>
        </w:rPr>
        <w:t>=12000×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=3000</w:t>
      </w:r>
      <w:r>
        <w:rPr>
          <w:rFonts w:hint="eastAsia" w:ascii="宋体" w:hAnsi="宋体" w:eastAsia="宋体" w:cs="宋体"/>
          <w:b w:val="0"/>
          <w:bCs/>
          <w:color w:val="000000" w:themeColor="text1"/>
          <w:sz w:val="21"/>
          <w:szCs w:val="21"/>
        </w:rPr>
        <w:t>（万元）</w:t>
      </w:r>
    </w:p>
    <w:p w14:paraId="72F35F3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）因销售增加而增加的资金需求量</w:t>
      </w:r>
      <w:r>
        <w:rPr>
          <w:rFonts w:hint="eastAsia" w:ascii="宋体" w:hAnsi="宋体" w:eastAsia="宋体" w:cs="宋体"/>
          <w:b w:val="0"/>
          <w:bCs/>
          <w:color w:val="000000" w:themeColor="text1"/>
          <w:sz w:val="21"/>
          <w:szCs w:val="21"/>
          <w:lang w:val="en-US" w:eastAsia="zh-CN"/>
        </w:rPr>
        <w:t>=5400-3000=2400</w:t>
      </w:r>
      <w:r>
        <w:rPr>
          <w:rFonts w:hint="eastAsia" w:ascii="宋体" w:hAnsi="宋体" w:eastAsia="宋体" w:cs="宋体"/>
          <w:b w:val="0"/>
          <w:bCs/>
          <w:color w:val="000000" w:themeColor="text1"/>
          <w:sz w:val="21"/>
          <w:szCs w:val="21"/>
        </w:rPr>
        <w:t>（万元）</w:t>
      </w:r>
    </w:p>
    <w:p w14:paraId="1002DFF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）预计利润的留存收益额</w:t>
      </w:r>
      <w:r>
        <w:rPr>
          <w:rFonts w:hint="eastAsia" w:ascii="宋体" w:hAnsi="宋体" w:eastAsia="宋体" w:cs="宋体"/>
          <w:b w:val="0"/>
          <w:bCs/>
          <w:color w:val="000000" w:themeColor="text1"/>
          <w:sz w:val="21"/>
          <w:szCs w:val="21"/>
          <w:lang w:val="en-US" w:eastAsia="zh-CN"/>
        </w:rPr>
        <w:t>=10%×40%×40000×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1+30%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=2080</w:t>
      </w:r>
      <w:r>
        <w:rPr>
          <w:rFonts w:hint="eastAsia" w:ascii="宋体" w:hAnsi="宋体" w:eastAsia="宋体" w:cs="宋体"/>
          <w:b w:val="0"/>
          <w:bCs/>
          <w:color w:val="000000" w:themeColor="text1"/>
          <w:sz w:val="21"/>
          <w:szCs w:val="21"/>
        </w:rPr>
        <w:t>（万元）</w:t>
      </w:r>
    </w:p>
    <w:p w14:paraId="47DCA73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）外部融资需求</w:t>
      </w:r>
      <w:r>
        <w:rPr>
          <w:rFonts w:hint="eastAsia" w:ascii="宋体" w:hAnsi="宋体" w:eastAsia="宋体" w:cs="宋体"/>
          <w:b w:val="0"/>
          <w:bCs/>
          <w:color w:val="000000" w:themeColor="text1"/>
          <w:sz w:val="21"/>
          <w:szCs w:val="21"/>
          <w:lang w:val="en-US" w:eastAsia="zh-CN"/>
        </w:rPr>
        <w:t>=2400-2080=320</w:t>
      </w:r>
      <w:r>
        <w:rPr>
          <w:rFonts w:hint="eastAsia" w:ascii="宋体" w:hAnsi="宋体" w:eastAsia="宋体" w:cs="宋体"/>
          <w:b w:val="0"/>
          <w:bCs/>
          <w:color w:val="000000" w:themeColor="text1"/>
          <w:sz w:val="21"/>
          <w:szCs w:val="21"/>
        </w:rPr>
        <w:t>（万元）</w:t>
      </w:r>
    </w:p>
    <w:p w14:paraId="0870238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8B6172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2】</w:t>
      </w:r>
      <w:r>
        <w:rPr>
          <w:rFonts w:hint="eastAsia" w:ascii="宋体" w:hAnsi="宋体" w:eastAsia="宋体" w:cs="宋体"/>
          <w:b w:val="0"/>
          <w:bCs/>
          <w:color w:val="FF0000"/>
          <w:sz w:val="21"/>
          <w:szCs w:val="21"/>
        </w:rPr>
        <w:t>资本成本</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00"/>
        <w:gridCol w:w="734"/>
        <w:gridCol w:w="8646"/>
      </w:tblGrid>
      <w:tr w14:paraId="3EDD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50" w:hRule="atLeast"/>
        </w:trPr>
        <w:tc>
          <w:tcPr>
            <w:tcW w:w="525" w:type="pct"/>
            <w:vMerge w:val="restart"/>
            <w:shd w:val="clear" w:color="auto" w:fill="auto"/>
            <w:tcMar>
              <w:top w:w="15" w:type="dxa"/>
              <w:left w:w="113" w:type="dxa"/>
              <w:bottom w:w="72" w:type="dxa"/>
              <w:right w:w="113" w:type="dxa"/>
            </w:tcMar>
            <w:vAlign w:val="center"/>
          </w:tcPr>
          <w:p w14:paraId="3A5277D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个别资本成本</w:t>
            </w:r>
          </w:p>
        </w:tc>
        <w:tc>
          <w:tcPr>
            <w:tcW w:w="350" w:type="pct"/>
            <w:vMerge w:val="restart"/>
            <w:shd w:val="clear" w:color="auto" w:fill="auto"/>
            <w:tcMar>
              <w:top w:w="15" w:type="dxa"/>
              <w:left w:w="113" w:type="dxa"/>
              <w:bottom w:w="72" w:type="dxa"/>
              <w:right w:w="113" w:type="dxa"/>
            </w:tcMar>
            <w:vAlign w:val="center"/>
          </w:tcPr>
          <w:p w14:paraId="1033862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债务资本成本</w:t>
            </w:r>
          </w:p>
        </w:tc>
        <w:tc>
          <w:tcPr>
            <w:tcW w:w="4124" w:type="pct"/>
            <w:shd w:val="clear" w:color="auto" w:fill="auto"/>
            <w:tcMar>
              <w:top w:w="15" w:type="dxa"/>
              <w:left w:w="113" w:type="dxa"/>
              <w:bottom w:w="72" w:type="dxa"/>
              <w:right w:w="113" w:type="dxa"/>
            </w:tcMar>
            <w:vAlign w:val="center"/>
          </w:tcPr>
          <w:p w14:paraId="39A17C6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pict>
                <v:shape id="_x0000_s1031" o:spid="_x0000_s1031" o:spt="75" type="#_x0000_t75" style="position:absolute;left:0pt;margin-left:11.55pt;margin-top:0pt;height:90.6pt;width:226.9pt;mso-wrap-distance-left:9pt;mso-wrap-distance-right:9pt;z-index:-251652096;mso-width-relative:page;mso-height-relative:page;" filled="f" o:preferrelative="t" stroked="f" coordsize="21600,21600" wrapcoords="21592 -2 0 0 0 21600 21592 21602 8 21602 21600 21600 21600 0 8 -2 21592 -2">
                  <v:path/>
                  <v:fill on="f" focussize="0,0"/>
                  <v:stroke on="f"/>
                  <v:imagedata r:id="rId10" o:title=""/>
                  <o:lock v:ext="edit" aspectratio="t"/>
                  <w10:wrap type="tight"/>
                </v:shape>
              </w:pict>
            </w:r>
          </w:p>
        </w:tc>
      </w:tr>
      <w:tr w14:paraId="0AEE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71" w:hRule="atLeast"/>
        </w:trPr>
        <w:tc>
          <w:tcPr>
            <w:tcW w:w="525" w:type="pct"/>
            <w:vMerge w:val="continue"/>
            <w:shd w:val="clear" w:color="auto" w:fill="auto"/>
            <w:tcMar>
              <w:top w:w="15" w:type="dxa"/>
              <w:left w:w="113" w:type="dxa"/>
              <w:bottom w:w="72" w:type="dxa"/>
              <w:right w:w="113" w:type="dxa"/>
            </w:tcMar>
            <w:vAlign w:val="center"/>
          </w:tcPr>
          <w:p w14:paraId="7914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350" w:type="pct"/>
            <w:vMerge w:val="continue"/>
            <w:shd w:val="clear" w:color="auto" w:fill="auto"/>
            <w:tcMar>
              <w:top w:w="15" w:type="dxa"/>
              <w:left w:w="113" w:type="dxa"/>
              <w:bottom w:w="72" w:type="dxa"/>
              <w:right w:w="113" w:type="dxa"/>
            </w:tcMar>
            <w:vAlign w:val="center"/>
          </w:tcPr>
          <w:p w14:paraId="17A7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21"/>
                <w:szCs w:val="21"/>
                <w:u w:val="none"/>
              </w:rPr>
            </w:pPr>
          </w:p>
        </w:tc>
        <w:tc>
          <w:tcPr>
            <w:tcW w:w="4124" w:type="pct"/>
            <w:shd w:val="clear" w:color="auto" w:fill="auto"/>
            <w:tcMar>
              <w:top w:w="15" w:type="dxa"/>
              <w:left w:w="113" w:type="dxa"/>
              <w:bottom w:w="72" w:type="dxa"/>
              <w:right w:w="113" w:type="dxa"/>
            </w:tcMar>
            <w:vAlign w:val="center"/>
          </w:tcPr>
          <w:p w14:paraId="090A5AE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pict>
                <v:shape id="_x0000_s1032" o:spid="_x0000_s1032" o:spt="75" type="#_x0000_t75" style="position:absolute;left:0pt;margin-left:10.45pt;margin-top:0pt;height:84.3pt;width:222.95pt;mso-wrap-distance-left:9pt;mso-wrap-distance-right:9pt;z-index:-251651072;mso-width-relative:page;mso-height-relative:page;" filled="f" o:preferrelative="t" stroked="f" coordsize="21600,21600" wrapcoords="21592 -2 0 0 0 21600 21592 21602 8 21602 21600 21600 21600 0 8 -2 21592 -2">
                  <v:path/>
                  <v:fill on="f" focussize="0,0"/>
                  <v:stroke on="f"/>
                  <v:imagedata r:id="rId11" o:title=""/>
                  <o:lock v:ext="edit" aspectratio="t"/>
                  <w10:wrap type="tight"/>
                </v:shape>
              </w:pict>
            </w:r>
          </w:p>
        </w:tc>
      </w:tr>
    </w:tbl>
    <w:p w14:paraId="6AC207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04"/>
        <w:gridCol w:w="736"/>
        <w:gridCol w:w="8671"/>
      </w:tblGrid>
      <w:tr w14:paraId="58BB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525" w:type="pct"/>
            <w:vMerge w:val="restart"/>
            <w:shd w:val="clear" w:color="auto" w:fill="auto"/>
            <w:tcMar>
              <w:top w:w="72" w:type="dxa"/>
              <w:left w:w="144" w:type="dxa"/>
              <w:bottom w:w="72" w:type="dxa"/>
              <w:right w:w="144" w:type="dxa"/>
            </w:tcMar>
            <w:vAlign w:val="top"/>
          </w:tcPr>
          <w:p w14:paraId="54E0FB5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i w:val="0"/>
                <w:iCs w:val="0"/>
                <w:color w:val="000000" w:themeColor="text1"/>
                <w:kern w:val="24"/>
                <w:sz w:val="21"/>
                <w:szCs w:val="21"/>
                <w:u w:val="none"/>
              </w:rPr>
            </w:pPr>
          </w:p>
          <w:p w14:paraId="5CDEE5D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i w:val="0"/>
                <w:iCs w:val="0"/>
                <w:color w:val="000000" w:themeColor="text1"/>
                <w:kern w:val="24"/>
                <w:sz w:val="21"/>
                <w:szCs w:val="21"/>
                <w:u w:val="none"/>
              </w:rPr>
            </w:pPr>
          </w:p>
          <w:p w14:paraId="13D1C5A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i w:val="0"/>
                <w:iCs w:val="0"/>
                <w:color w:val="000000" w:themeColor="text1"/>
                <w:kern w:val="24"/>
                <w:sz w:val="21"/>
                <w:szCs w:val="21"/>
                <w:u w:val="none"/>
              </w:rPr>
            </w:pPr>
          </w:p>
          <w:p w14:paraId="31A564F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i w:val="0"/>
                <w:iCs w:val="0"/>
                <w:color w:val="000000" w:themeColor="text1"/>
                <w:kern w:val="24"/>
                <w:sz w:val="21"/>
                <w:szCs w:val="21"/>
                <w:u w:val="none"/>
              </w:rPr>
            </w:pPr>
          </w:p>
          <w:p w14:paraId="4AC4F2A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i w:val="0"/>
                <w:iCs w:val="0"/>
                <w:color w:val="000000" w:themeColor="text1"/>
                <w:kern w:val="24"/>
                <w:sz w:val="21"/>
                <w:szCs w:val="21"/>
                <w:u w:val="none"/>
              </w:rPr>
            </w:pPr>
          </w:p>
          <w:p w14:paraId="295ABE4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i w:val="0"/>
                <w:iCs w:val="0"/>
                <w:color w:val="000000" w:themeColor="text1"/>
                <w:kern w:val="24"/>
                <w:sz w:val="21"/>
                <w:szCs w:val="21"/>
                <w:u w:val="none"/>
              </w:rPr>
            </w:pPr>
          </w:p>
          <w:p w14:paraId="6215F40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个别资本成本</w:t>
            </w:r>
          </w:p>
        </w:tc>
        <w:tc>
          <w:tcPr>
            <w:tcW w:w="350" w:type="pct"/>
            <w:vMerge w:val="restart"/>
            <w:shd w:val="clear" w:color="auto" w:fill="auto"/>
            <w:tcMar>
              <w:top w:w="15" w:type="dxa"/>
              <w:left w:w="113" w:type="dxa"/>
              <w:bottom w:w="72" w:type="dxa"/>
              <w:right w:w="113" w:type="dxa"/>
            </w:tcMar>
            <w:vAlign w:val="center"/>
          </w:tcPr>
          <w:p w14:paraId="17E1992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p>
          <w:p w14:paraId="3E87701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p>
          <w:p w14:paraId="3CE67CA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p>
          <w:p w14:paraId="14C9DB4B">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p>
          <w:p w14:paraId="34FA0A2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p>
          <w:p w14:paraId="7981748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权益资本成本</w:t>
            </w:r>
          </w:p>
        </w:tc>
        <w:tc>
          <w:tcPr>
            <w:tcW w:w="4123" w:type="pct"/>
            <w:shd w:val="clear" w:color="auto" w:fill="auto"/>
            <w:tcMar>
              <w:top w:w="15" w:type="dxa"/>
              <w:left w:w="113" w:type="dxa"/>
              <w:bottom w:w="72" w:type="dxa"/>
              <w:right w:w="113" w:type="dxa"/>
            </w:tcMar>
            <w:vAlign w:val="center"/>
          </w:tcPr>
          <w:p w14:paraId="676CDFB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 </w:t>
            </w:r>
            <w:r>
              <w:pict>
                <v:shape id="_x0000_i1026" o:spt="75" type="#_x0000_t75" style="height:50.55pt;width:211.6pt;" filled="f" o:preferrelative="t" stroked="f" coordsize="21600,21600">
                  <v:path/>
                  <v:fill on="f" focussize="0,0"/>
                  <v:stroke on="f"/>
                  <v:imagedata r:id="rId12" o:title=""/>
                  <o:lock v:ext="edit" aspectratio="t"/>
                  <w10:wrap type="none"/>
                  <w10:anchorlock/>
                </v:shape>
              </w:pict>
            </w:r>
          </w:p>
        </w:tc>
      </w:tr>
      <w:tr w14:paraId="1D56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0" w:hRule="atLeast"/>
        </w:trPr>
        <w:tc>
          <w:tcPr>
            <w:tcW w:w="525" w:type="pct"/>
            <w:vMerge w:val="continue"/>
            <w:shd w:val="clear" w:color="auto" w:fill="auto"/>
            <w:tcMar>
              <w:top w:w="72" w:type="dxa"/>
              <w:left w:w="144" w:type="dxa"/>
              <w:bottom w:w="72" w:type="dxa"/>
              <w:right w:w="144" w:type="dxa"/>
            </w:tcMar>
            <w:vAlign w:val="top"/>
          </w:tcPr>
          <w:p w14:paraId="0B21D21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350" w:type="pct"/>
            <w:vMerge w:val="continue"/>
            <w:shd w:val="clear" w:color="auto" w:fill="auto"/>
            <w:tcMar>
              <w:top w:w="15" w:type="dxa"/>
              <w:left w:w="113" w:type="dxa"/>
              <w:bottom w:w="72" w:type="dxa"/>
              <w:right w:w="113" w:type="dxa"/>
            </w:tcMar>
            <w:vAlign w:val="center"/>
          </w:tcPr>
          <w:p w14:paraId="120A6DD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4123" w:type="pct"/>
            <w:shd w:val="clear" w:color="auto" w:fill="auto"/>
            <w:tcMar>
              <w:top w:w="15" w:type="dxa"/>
              <w:left w:w="113" w:type="dxa"/>
              <w:bottom w:w="72" w:type="dxa"/>
              <w:right w:w="113" w:type="dxa"/>
            </w:tcMar>
            <w:vAlign w:val="center"/>
          </w:tcPr>
          <w:p w14:paraId="2410275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pict>
                <v:shape id="_x0000_s1033" o:spid="_x0000_s1033" o:spt="75" type="#_x0000_t75" style="position:absolute;left:0pt;margin-left:4.4pt;margin-top:20.4pt;height:67.1pt;width:213.15pt;mso-wrap-distance-left:9pt;mso-wrap-distance-right:9pt;z-index:-251650048;mso-width-relative:page;mso-height-relative:page;" filled="f" o:preferrelative="t" stroked="f" coordsize="21600,21600" wrapcoords="21592 -2 0 0 0 21600 21592 21602 8 21602 21600 21600 21600 0 8 -2 21592 -2">
                  <v:path/>
                  <v:fill on="f" focussize="0,0"/>
                  <v:stroke on="f"/>
                  <v:imagedata r:id="rId13" o:title=""/>
                  <o:lock v:ext="edit" aspectratio="t"/>
                  <w10:wrap type="tight"/>
                </v:shape>
              </w:pict>
            </w:r>
            <w:r>
              <w:rPr>
                <w:rFonts w:hint="eastAsia" w:ascii="宋体" w:hAnsi="宋体" w:eastAsia="宋体" w:cs="宋体"/>
                <w:i w:val="0"/>
                <w:iCs w:val="0"/>
                <w:color w:val="000000" w:themeColor="text1"/>
                <w:kern w:val="24"/>
                <w:sz w:val="21"/>
                <w:szCs w:val="21"/>
                <w:u w:val="none"/>
              </w:rPr>
              <w:t>1.股利固定增长模型：</w:t>
            </w:r>
          </w:p>
          <w:p w14:paraId="05F03F7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olor w:val="000000" w:themeColor="text1"/>
                <w:kern w:val="24"/>
                <w:sz w:val="21"/>
                <w:szCs w:val="21"/>
                <w:u w:val="none"/>
              </w:rPr>
            </w:pPr>
          </w:p>
          <w:p w14:paraId="6F81B392">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i w:val="0"/>
                <w:iCs w:val="0"/>
                <w:color w:val="000000" w:themeColor="text1"/>
                <w:kern w:val="24"/>
                <w:sz w:val="21"/>
                <w:szCs w:val="21"/>
                <w:u w:val="none"/>
              </w:rPr>
            </w:pPr>
          </w:p>
          <w:p w14:paraId="3FCAC34F">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i w:val="0"/>
                <w:iCs w:val="0"/>
                <w:color w:val="000000" w:themeColor="text1"/>
                <w:kern w:val="24"/>
                <w:sz w:val="21"/>
                <w:szCs w:val="21"/>
                <w:u w:val="none"/>
              </w:rPr>
            </w:pPr>
          </w:p>
          <w:p w14:paraId="514B8497">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i w:val="0"/>
                <w:iCs w:val="0"/>
                <w:color w:val="000000" w:themeColor="text1"/>
                <w:kern w:val="24"/>
                <w:sz w:val="21"/>
                <w:szCs w:val="21"/>
                <w:u w:val="none"/>
              </w:rPr>
            </w:pPr>
          </w:p>
          <w:p w14:paraId="594CED50">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i w:val="0"/>
                <w:iCs w:val="0"/>
                <w:color w:val="000000" w:themeColor="text1"/>
                <w:kern w:val="24"/>
                <w:sz w:val="21"/>
                <w:szCs w:val="21"/>
                <w:u w:val="none"/>
              </w:rPr>
            </w:pPr>
            <w:r>
              <w:rPr>
                <w:rFonts w:hint="eastAsia" w:ascii="宋体" w:hAnsi="宋体" w:cs="宋体"/>
                <w:i w:val="0"/>
                <w:iCs w:val="0"/>
                <w:color w:val="000000" w:themeColor="text1"/>
                <w:kern w:val="24"/>
                <w:sz w:val="21"/>
                <w:szCs w:val="21"/>
                <w:u w:val="none"/>
                <w:lang w:val="en-US" w:eastAsia="zh-CN"/>
              </w:rPr>
              <w:t>2.</w:t>
            </w:r>
            <w:r>
              <w:rPr>
                <w:rFonts w:hint="eastAsia" w:ascii="宋体" w:hAnsi="宋体" w:eastAsia="宋体" w:cs="宋体"/>
                <w:i w:val="0"/>
                <w:iCs w:val="0"/>
                <w:color w:val="000000" w:themeColor="text1"/>
                <w:kern w:val="24"/>
                <w:sz w:val="21"/>
                <w:szCs w:val="21"/>
                <w:u w:val="none"/>
              </w:rPr>
              <w:t>资本资产定价模型</w:t>
            </w:r>
          </w:p>
          <w:p w14:paraId="092752F5">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i w:val="0"/>
                <w:iCs w:val="0"/>
                <w:color w:val="000000" w:themeColor="text1"/>
                <w:kern w:val="24"/>
                <w:sz w:val="21"/>
                <w:szCs w:val="21"/>
                <w:u w:val="none"/>
              </w:rPr>
            </w:pPr>
            <w:r>
              <w:pict>
                <v:shape id="_x0000_i1027" o:spt="75" type="#_x0000_t75" style="height:19.7pt;width:135.4pt;" filled="f" o:preferrelative="t" stroked="f" coordsize="21600,21600">
                  <v:path/>
                  <v:fill on="f" focussize="0,0"/>
                  <v:stroke on="f"/>
                  <v:imagedata r:id="rId14" o:title=""/>
                  <o:lock v:ext="edit" aspectratio="t"/>
                  <w10:wrap type="none"/>
                  <w10:anchorlock/>
                </v:shape>
              </w:pict>
            </w:r>
          </w:p>
        </w:tc>
      </w:tr>
      <w:tr w14:paraId="1A50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trPr>
        <w:tc>
          <w:tcPr>
            <w:tcW w:w="525" w:type="pct"/>
            <w:vMerge w:val="continue"/>
            <w:shd w:val="clear" w:color="auto" w:fill="auto"/>
            <w:tcMar>
              <w:top w:w="72" w:type="dxa"/>
              <w:left w:w="144" w:type="dxa"/>
              <w:bottom w:w="72" w:type="dxa"/>
              <w:right w:w="144" w:type="dxa"/>
            </w:tcMar>
            <w:vAlign w:val="top"/>
          </w:tcPr>
          <w:p w14:paraId="685E493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350" w:type="pct"/>
            <w:vMerge w:val="continue"/>
            <w:shd w:val="clear" w:color="auto" w:fill="auto"/>
            <w:tcMar>
              <w:top w:w="15" w:type="dxa"/>
              <w:left w:w="113" w:type="dxa"/>
              <w:bottom w:w="72" w:type="dxa"/>
              <w:right w:w="113" w:type="dxa"/>
            </w:tcMar>
            <w:vAlign w:val="center"/>
          </w:tcPr>
          <w:p w14:paraId="753016E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21"/>
                <w:szCs w:val="21"/>
                <w:u w:val="none"/>
              </w:rPr>
            </w:pPr>
          </w:p>
        </w:tc>
        <w:tc>
          <w:tcPr>
            <w:tcW w:w="4123" w:type="pct"/>
            <w:shd w:val="clear" w:color="auto" w:fill="auto"/>
            <w:tcMar>
              <w:top w:w="15" w:type="dxa"/>
              <w:left w:w="113" w:type="dxa"/>
              <w:bottom w:w="72" w:type="dxa"/>
              <w:right w:w="113" w:type="dxa"/>
            </w:tcMar>
            <w:vAlign w:val="center"/>
          </w:tcPr>
          <w:p w14:paraId="70A4DB1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留存收益资本成本与普通股票资本成本计算方法相同，不考虑筹资费用</w:t>
            </w:r>
          </w:p>
        </w:tc>
      </w:tr>
    </w:tbl>
    <w:p w14:paraId="545D69F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031"/>
        <w:gridCol w:w="8449"/>
      </w:tblGrid>
      <w:tr w14:paraId="3FAC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trPr>
        <w:tc>
          <w:tcPr>
            <w:tcW w:w="969" w:type="pct"/>
            <w:shd w:val="clear" w:color="auto" w:fill="auto"/>
            <w:tcMar>
              <w:top w:w="15" w:type="dxa"/>
              <w:left w:w="113" w:type="dxa"/>
              <w:bottom w:w="72" w:type="dxa"/>
              <w:right w:w="113" w:type="dxa"/>
            </w:tcMar>
            <w:vAlign w:val="center"/>
          </w:tcPr>
          <w:p w14:paraId="34963714">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加权平均资本成本</w:t>
            </w:r>
          </w:p>
        </w:tc>
        <w:tc>
          <w:tcPr>
            <w:tcW w:w="4030" w:type="pct"/>
            <w:shd w:val="clear" w:color="auto" w:fill="auto"/>
            <w:tcMar>
              <w:top w:w="15" w:type="dxa"/>
              <w:left w:w="113" w:type="dxa"/>
              <w:bottom w:w="72" w:type="dxa"/>
              <w:right w:w="113" w:type="dxa"/>
            </w:tcMar>
            <w:vAlign w:val="center"/>
          </w:tcPr>
          <w:p w14:paraId="7C08F75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（1）权重：账面价值权数、市场价值权数、目标价值权数</w:t>
            </w:r>
          </w:p>
          <w:p w14:paraId="484D7F9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（2）个别资本成本</w:t>
            </w:r>
          </w:p>
        </w:tc>
      </w:tr>
      <w:tr w14:paraId="49F5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5" w:hRule="atLeast"/>
        </w:trPr>
        <w:tc>
          <w:tcPr>
            <w:tcW w:w="969" w:type="pct"/>
            <w:shd w:val="clear" w:color="auto" w:fill="auto"/>
            <w:tcMar>
              <w:top w:w="15" w:type="dxa"/>
              <w:left w:w="113" w:type="dxa"/>
              <w:bottom w:w="72" w:type="dxa"/>
              <w:right w:w="113" w:type="dxa"/>
            </w:tcMar>
            <w:vAlign w:val="center"/>
          </w:tcPr>
          <w:p w14:paraId="5791C18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边际资本成本</w:t>
            </w:r>
          </w:p>
        </w:tc>
        <w:tc>
          <w:tcPr>
            <w:tcW w:w="4030" w:type="pct"/>
            <w:shd w:val="clear" w:color="auto" w:fill="auto"/>
            <w:tcMar>
              <w:top w:w="15" w:type="dxa"/>
              <w:left w:w="113" w:type="dxa"/>
              <w:bottom w:w="72" w:type="dxa"/>
              <w:right w:w="113" w:type="dxa"/>
            </w:tcMar>
            <w:vAlign w:val="center"/>
          </w:tcPr>
          <w:p w14:paraId="6C7063A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用于追加筹资决策，采用加权平均法，一般按照</w:t>
            </w:r>
            <w:r>
              <w:rPr>
                <w:rFonts w:hint="eastAsia" w:ascii="宋体" w:hAnsi="宋体" w:eastAsia="宋体" w:cs="宋体"/>
                <w:b w:val="0"/>
                <w:bCs w:val="0"/>
                <w:i w:val="0"/>
                <w:iCs w:val="0"/>
                <w:color w:val="FF0000"/>
                <w:kern w:val="24"/>
                <w:sz w:val="21"/>
                <w:szCs w:val="21"/>
                <w:u w:val="none"/>
              </w:rPr>
              <w:t>目标价值权数</w:t>
            </w:r>
            <w:r>
              <w:rPr>
                <w:rFonts w:hint="eastAsia" w:ascii="宋体" w:hAnsi="宋体" w:eastAsia="宋体" w:cs="宋体"/>
                <w:i w:val="0"/>
                <w:iCs w:val="0"/>
                <w:color w:val="000000" w:themeColor="text1"/>
                <w:kern w:val="24"/>
                <w:sz w:val="21"/>
                <w:szCs w:val="21"/>
                <w:u w:val="none"/>
              </w:rPr>
              <w:t>。</w:t>
            </w:r>
          </w:p>
        </w:tc>
      </w:tr>
      <w:tr w14:paraId="2233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5" w:hRule="atLeast"/>
        </w:trPr>
        <w:tc>
          <w:tcPr>
            <w:tcW w:w="969" w:type="pct"/>
            <w:shd w:val="clear" w:color="auto" w:fill="auto"/>
            <w:tcMar>
              <w:top w:w="15" w:type="dxa"/>
              <w:left w:w="113" w:type="dxa"/>
              <w:bottom w:w="72" w:type="dxa"/>
              <w:right w:w="113" w:type="dxa"/>
            </w:tcMar>
            <w:vAlign w:val="center"/>
          </w:tcPr>
          <w:p w14:paraId="5D742AB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项目资本成本</w:t>
            </w:r>
          </w:p>
        </w:tc>
        <w:tc>
          <w:tcPr>
            <w:tcW w:w="4030" w:type="pct"/>
            <w:shd w:val="clear" w:color="auto" w:fill="auto"/>
            <w:tcMar>
              <w:top w:w="15" w:type="dxa"/>
              <w:left w:w="113" w:type="dxa"/>
              <w:bottom w:w="72" w:type="dxa"/>
              <w:right w:w="113" w:type="dxa"/>
            </w:tcMar>
            <w:vAlign w:val="center"/>
          </w:tcPr>
          <w:p w14:paraId="5FA93BD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卸载可比公司财务杠杆</w:t>
            </w:r>
          </w:p>
          <w:p w14:paraId="777BFA9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β资产=β权益÷【1+（1-T）×负债/权益】</w:t>
            </w:r>
          </w:p>
          <w:p w14:paraId="4B369F7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β资产是假设全部用权益资本融资的β，此时没有财务风险。</w:t>
            </w:r>
          </w:p>
          <w:p w14:paraId="6A951B3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2.加载目标企业财务杠杆</w:t>
            </w:r>
          </w:p>
          <w:p w14:paraId="331DC13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β权益=β资产×【1+（1-T）×负债/权益】</w:t>
            </w:r>
          </w:p>
          <w:p w14:paraId="3FFCD56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3.根据目标企业的β权益计算股东要求的报酬率</w:t>
            </w:r>
          </w:p>
          <w:p w14:paraId="767A370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股东要求的报酬率=无风险利率+β权益×风险溢价</w:t>
            </w:r>
          </w:p>
          <w:p w14:paraId="73376F7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4.计算目标企业的加权平均成本</w:t>
            </w:r>
          </w:p>
          <w:p w14:paraId="46E8783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综合平均成本=负债利率×（1-税率）×负债/资本+股东权益成本×股东权益/资本</w:t>
            </w:r>
          </w:p>
        </w:tc>
      </w:tr>
    </w:tbl>
    <w:p w14:paraId="2501AF28">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总结</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个别资成本由低至高排序：</w:t>
      </w:r>
    </w:p>
    <w:p w14:paraId="02DEBF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rPr>
        <w:t>银行借款＜公司债券＜优先股票＜留存收益＜普通股票</w:t>
      </w:r>
    </w:p>
    <w:p w14:paraId="352DFFF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p>
    <w:p w14:paraId="18AE83B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某企业发行普通股</w:t>
      </w:r>
      <w:r>
        <w:rPr>
          <w:rFonts w:hint="eastAsia" w:ascii="宋体" w:hAnsi="宋体" w:eastAsia="宋体" w:cs="宋体"/>
          <w:b w:val="0"/>
          <w:bCs/>
          <w:color w:val="000000" w:themeColor="text1"/>
          <w:sz w:val="21"/>
          <w:szCs w:val="21"/>
          <w:lang w:val="en-US" w:eastAsia="zh-CN"/>
        </w:rPr>
        <w:t>1 000</w:t>
      </w:r>
      <w:r>
        <w:rPr>
          <w:rFonts w:hint="eastAsia" w:ascii="宋体" w:hAnsi="宋体" w:eastAsia="宋体" w:cs="宋体"/>
          <w:b w:val="0"/>
          <w:bCs/>
          <w:color w:val="000000" w:themeColor="text1"/>
          <w:sz w:val="21"/>
          <w:szCs w:val="21"/>
        </w:rPr>
        <w:t>万股，每股面值</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元，发行价格为每股</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元，筹资费率为</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，每年股利固定为</w:t>
      </w:r>
      <w:r>
        <w:rPr>
          <w:rFonts w:hint="eastAsia" w:ascii="宋体" w:hAnsi="宋体" w:eastAsia="宋体" w:cs="宋体"/>
          <w:b w:val="0"/>
          <w:bCs/>
          <w:color w:val="000000" w:themeColor="text1"/>
          <w:sz w:val="21"/>
          <w:szCs w:val="21"/>
          <w:lang w:val="en-US" w:eastAsia="zh-CN"/>
        </w:rPr>
        <w:t>0.2</w:t>
      </w:r>
      <w:r>
        <w:rPr>
          <w:rFonts w:hint="eastAsia" w:ascii="宋体" w:hAnsi="宋体" w:eastAsia="宋体" w:cs="宋体"/>
          <w:b w:val="0"/>
          <w:bCs/>
          <w:color w:val="000000" w:themeColor="text1"/>
          <w:sz w:val="21"/>
          <w:szCs w:val="21"/>
        </w:rPr>
        <w:t>元，则该普通股资本成本为（  ）。</w:t>
      </w:r>
    </w:p>
    <w:p w14:paraId="3E2655C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A.4%</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B.4.17%    </w:t>
      </w:r>
    </w:p>
    <w:p w14:paraId="28F2EC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C.16.17%             </w:t>
      </w:r>
      <w:r>
        <w:rPr>
          <w:rFonts w:hint="eastAsia" w:ascii="宋体" w:hAnsi="宋体" w:eastAsia="宋体" w:cs="宋体"/>
          <w:b w:val="0"/>
          <w:bCs/>
          <w:color w:val="000000" w:themeColor="text1"/>
          <w:sz w:val="21"/>
          <w:szCs w:val="21"/>
          <w:lang w:val="en-US" w:eastAsia="zh-CN"/>
        </w:rPr>
        <w:tab/>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D.20%</w:t>
      </w:r>
    </w:p>
    <w:p w14:paraId="4E9995F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B</w:t>
      </w:r>
    </w:p>
    <w:p w14:paraId="4355D9D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该普通股资本成本＝ ＝</w:t>
      </w:r>
      <w:r>
        <w:rPr>
          <w:rFonts w:hint="eastAsia" w:ascii="宋体" w:hAnsi="宋体" w:eastAsia="宋体" w:cs="宋体"/>
          <w:b w:val="0"/>
          <w:bCs/>
          <w:color w:val="000000" w:themeColor="text1"/>
          <w:sz w:val="21"/>
          <w:szCs w:val="21"/>
          <w:lang w:val="en-US" w:eastAsia="zh-CN"/>
        </w:rPr>
        <w:t>4.17%</w:t>
      </w:r>
      <w:r>
        <w:rPr>
          <w:rFonts w:hint="eastAsia" w:ascii="宋体" w:hAnsi="宋体" w:eastAsia="宋体" w:cs="宋体"/>
          <w:b w:val="0"/>
          <w:bCs/>
          <w:color w:val="000000" w:themeColor="text1"/>
          <w:sz w:val="21"/>
          <w:szCs w:val="21"/>
        </w:rPr>
        <w:t>。故选</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项。</w:t>
      </w:r>
    </w:p>
    <w:p w14:paraId="47D8AD5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DA9000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某公司普通股</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系数为</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，此时一年期国债利率</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，市场平均报酬率</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，则该普通股资本成本率为（  ）。</w:t>
      </w:r>
    </w:p>
    <w:p w14:paraId="289D747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A.20%        </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B.15%       </w:t>
      </w:r>
    </w:p>
    <w:p w14:paraId="4120BFC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C.7.25%</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D.10%</w:t>
      </w:r>
    </w:p>
    <w:p w14:paraId="48531CB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390BC8E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FF0000"/>
          <w:sz w:val="21"/>
          <w:szCs w:val="21"/>
          <w:lang w:val="en-US" w:eastAsia="zh-CN"/>
        </w:rPr>
        <w:t>K</w:t>
      </w:r>
      <w:r>
        <w:rPr>
          <w:rFonts w:hint="eastAsia" w:ascii="宋体" w:hAnsi="宋体" w:eastAsia="宋体" w:cs="宋体"/>
          <w:b w:val="0"/>
          <w:bCs/>
          <w:color w:val="FFFF00"/>
          <w:sz w:val="21"/>
          <w:szCs w:val="21"/>
          <w:vertAlign w:val="subscript"/>
          <w:lang w:val="en-US" w:eastAsia="zh-CN"/>
        </w:rPr>
        <w:t>s</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5%+1.5×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15%-5%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 xml:space="preserve">20% </w:t>
      </w:r>
      <w:r>
        <w:rPr>
          <w:rFonts w:hint="eastAsia" w:ascii="宋体" w:hAnsi="宋体" w:eastAsia="宋体" w:cs="宋体"/>
          <w:b w:val="0"/>
          <w:bCs/>
          <w:color w:val="000000" w:themeColor="text1"/>
          <w:sz w:val="21"/>
          <w:szCs w:val="21"/>
        </w:rPr>
        <w:t>。故选</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w:t>
      </w:r>
    </w:p>
    <w:p w14:paraId="079DA73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D41101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多选题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下列各项资本成本计算中，需要考虑筹资费用的有（  ）。</w:t>
      </w:r>
    </w:p>
    <w:p w14:paraId="7786F1B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银行借款</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长期债券       </w:t>
      </w:r>
    </w:p>
    <w:p w14:paraId="67E1733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普通股</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rPr>
        <w:t xml:space="preserve">      </w:t>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留存收益</w:t>
      </w:r>
    </w:p>
    <w:p w14:paraId="1AC2117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ABC</w:t>
      </w:r>
    </w:p>
    <w:p w14:paraId="24455E3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留存收益直接从企业内部利润中取得，没有筹资费用，其他均需考虑筹资费用。故选</w:t>
      </w:r>
      <w:r>
        <w:rPr>
          <w:rFonts w:hint="eastAsia" w:ascii="宋体" w:hAnsi="宋体" w:eastAsia="宋体" w:cs="宋体"/>
          <w:b w:val="0"/>
          <w:bCs/>
          <w:color w:val="000000" w:themeColor="text1"/>
          <w:sz w:val="21"/>
          <w:szCs w:val="21"/>
          <w:lang w:val="en-US" w:eastAsia="zh-CN"/>
        </w:rPr>
        <w:t>ABC</w:t>
      </w:r>
      <w:r>
        <w:rPr>
          <w:rFonts w:hint="eastAsia" w:ascii="宋体" w:hAnsi="宋体" w:eastAsia="宋体" w:cs="宋体"/>
          <w:b w:val="0"/>
          <w:bCs/>
          <w:color w:val="000000" w:themeColor="text1"/>
          <w:sz w:val="21"/>
          <w:szCs w:val="21"/>
        </w:rPr>
        <w:t>项。</w:t>
      </w:r>
    </w:p>
    <w:p w14:paraId="0DE5583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2A7F8A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在不考虑筹款限制的前提下，下列筹资方式中个别资本成本最高的通常是（  ）。</w:t>
      </w:r>
    </w:p>
    <w:p w14:paraId="4EA14C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 xml:space="preserve">发行普通股           </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 xml:space="preserve">留存收益筹资      </w:t>
      </w:r>
    </w:p>
    <w:p w14:paraId="7559A64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长期借款筹资</w:t>
      </w:r>
      <w:r>
        <w:rPr>
          <w:rFonts w:hint="eastAsia" w:ascii="宋体" w:hAnsi="宋体" w:eastAsia="宋体" w:cs="宋体"/>
          <w:b w:val="0"/>
          <w:bCs/>
          <w:color w:val="000000" w:themeColor="text1"/>
          <w:sz w:val="21"/>
          <w:szCs w:val="21"/>
        </w:rPr>
        <w:tab/>
      </w: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发行公司债券</w:t>
      </w:r>
    </w:p>
    <w:p w14:paraId="7BA2F35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2762031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普通股资本成本率＞留存收益资本成本率＞发行债券资本成本率＞长期借款资本成本率。故选</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w:t>
      </w:r>
    </w:p>
    <w:p w14:paraId="0FB2B41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312E94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某公司普通股目前的股价为</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元</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股，筹资费率为</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，刚刚支付的每股股利为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元，股利固定增长率</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，则该企业利用留存收益的资本成本率为（  ）。</w:t>
      </w:r>
    </w:p>
    <w:p w14:paraId="61D599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A.10.16%</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w:t>
      </w:r>
    </w:p>
    <w:p w14:paraId="034782A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B.10%        </w:t>
      </w:r>
    </w:p>
    <w:p w14:paraId="5929947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C.8%</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w:t>
      </w:r>
    </w:p>
    <w:p w14:paraId="0678E87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D.8.16%</w:t>
      </w:r>
    </w:p>
    <w:p w14:paraId="0FE03D1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53BD0A8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留存收益资本成本率＝</w:t>
      </w:r>
      <w:r>
        <w:rPr>
          <w:rFonts w:hint="eastAsia" w:ascii="宋体" w:hAnsi="宋体" w:eastAsia="宋体" w:cs="宋体"/>
          <w:b w:val="0"/>
          <w:bCs/>
          <w:color w:val="000000" w:themeColor="text1"/>
          <w:sz w:val="21"/>
          <w:szCs w:val="21"/>
          <w:lang w:val="en-US" w:eastAsia="zh-CN"/>
        </w:rPr>
        <w:t>100%+2%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10.16%</w:t>
      </w:r>
      <w:r>
        <w:rPr>
          <w:rFonts w:hint="eastAsia" w:ascii="宋体" w:hAnsi="宋体" w:eastAsia="宋体" w:cs="宋体"/>
          <w:b w:val="0"/>
          <w:bCs/>
          <w:color w:val="000000" w:themeColor="text1"/>
          <w:sz w:val="21"/>
          <w:szCs w:val="21"/>
        </w:rPr>
        <w:t>。故选</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w:t>
      </w:r>
    </w:p>
    <w:p w14:paraId="5486FA4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12559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某企业预计的资本结构中，债务资本与权益资本的比例为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，债务税前资本成本为</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。目前市场上的无风险报酬率为</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，市场风险溢价为</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，公司股票的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系数为</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，企业所得税税率为</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，则该企业加权平均资本成本为（  ）。</w:t>
      </w:r>
    </w:p>
    <w:p w14:paraId="00C874C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A.12.84%</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B.9.96%           C.14%</w:t>
      </w:r>
      <w:r>
        <w:rPr>
          <w:rFonts w:hint="eastAsia" w:ascii="宋体" w:hAnsi="宋体" w:eastAsia="宋体" w:cs="宋体"/>
          <w:b w:val="0"/>
          <w:bCs/>
          <w:color w:val="000000" w:themeColor="text1"/>
          <w:sz w:val="21"/>
          <w:szCs w:val="21"/>
          <w:lang w:val="en-US" w:eastAsia="zh-CN"/>
        </w:rPr>
        <w:tab/>
      </w:r>
      <w:r>
        <w:rPr>
          <w:rFonts w:hint="eastAsia" w:ascii="宋体" w:hAnsi="宋体" w:eastAsia="宋体" w:cs="宋体"/>
          <w:b w:val="0"/>
          <w:bCs/>
          <w:color w:val="000000" w:themeColor="text1"/>
          <w:sz w:val="21"/>
          <w:szCs w:val="21"/>
          <w:lang w:val="en-US" w:eastAsia="zh-CN"/>
        </w:rPr>
        <w:t xml:space="preserve">     D.12%</w:t>
      </w:r>
    </w:p>
    <w:p w14:paraId="0DBEBCA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A</w:t>
      </w:r>
    </w:p>
    <w:p w14:paraId="0DE9D4E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债务税后资本成本＝</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4.5%</w:t>
      </w:r>
      <w:r>
        <w:rPr>
          <w:rFonts w:hint="eastAsia" w:ascii="宋体" w:hAnsi="宋体" w:eastAsia="宋体" w:cs="宋体"/>
          <w:b w:val="0"/>
          <w:bCs/>
          <w:color w:val="000000" w:themeColor="text1"/>
          <w:sz w:val="21"/>
          <w:szCs w:val="21"/>
        </w:rPr>
        <w:t>，权益资本成本＝</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1.2×12%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18.4%</w:t>
      </w:r>
      <w:r>
        <w:rPr>
          <w:rFonts w:hint="eastAsia" w:ascii="宋体" w:hAnsi="宋体" w:eastAsia="宋体" w:cs="宋体"/>
          <w:b w:val="0"/>
          <w:bCs/>
          <w:color w:val="000000" w:themeColor="text1"/>
          <w:sz w:val="21"/>
          <w:szCs w:val="21"/>
        </w:rPr>
        <w:t>，加权平均资本成本＝</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×18.4%</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12.84%</w:t>
      </w:r>
      <w:r>
        <w:rPr>
          <w:rFonts w:hint="eastAsia" w:ascii="宋体" w:hAnsi="宋体" w:eastAsia="宋体" w:cs="宋体"/>
          <w:b w:val="0"/>
          <w:bCs/>
          <w:color w:val="000000" w:themeColor="text1"/>
          <w:sz w:val="21"/>
          <w:szCs w:val="21"/>
        </w:rPr>
        <w:t>。故选</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项。</w:t>
      </w:r>
    </w:p>
    <w:p w14:paraId="7D4C1FE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E31905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公司拟添置一套市场价格为</w:t>
      </w:r>
      <w:r>
        <w:rPr>
          <w:rFonts w:hint="eastAsia" w:ascii="宋体" w:hAnsi="宋体" w:eastAsia="宋体" w:cs="宋体"/>
          <w:b w:val="0"/>
          <w:bCs/>
          <w:color w:val="000000" w:themeColor="text1"/>
          <w:sz w:val="21"/>
          <w:szCs w:val="21"/>
          <w:lang w:val="en-US" w:eastAsia="zh-CN"/>
        </w:rPr>
        <w:t>6000</w:t>
      </w:r>
      <w:r>
        <w:rPr>
          <w:rFonts w:hint="eastAsia" w:ascii="宋体" w:hAnsi="宋体" w:eastAsia="宋体" w:cs="宋体"/>
          <w:b w:val="0"/>
          <w:bCs/>
          <w:color w:val="000000" w:themeColor="text1"/>
          <w:sz w:val="21"/>
          <w:szCs w:val="21"/>
        </w:rPr>
        <w:t>万元的设备，需筹集一笔资金。现有三个筹资方案可供选择。</w:t>
      </w:r>
    </w:p>
    <w:p w14:paraId="6C88EC6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）发行普通股。该公司普通股的</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，一年期国债利率为</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，市场平均报酬率为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w:t>
      </w:r>
    </w:p>
    <w:p w14:paraId="616AA6D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）发行债券。该债券期限</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年，票面利率</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，按面值发行。发行筹资费用率</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，公司适用的所得税税率为</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w:t>
      </w:r>
    </w:p>
    <w:p w14:paraId="7BB7681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）发行优先股票，发行价格</w:t>
      </w:r>
      <w:r>
        <w:rPr>
          <w:rFonts w:hint="eastAsia" w:ascii="宋体" w:hAnsi="宋体" w:eastAsia="宋体" w:cs="宋体"/>
          <w:b w:val="0"/>
          <w:bCs/>
          <w:color w:val="000000" w:themeColor="text1"/>
          <w:sz w:val="21"/>
          <w:szCs w:val="21"/>
          <w:lang w:val="en-US" w:eastAsia="zh-CN"/>
        </w:rPr>
        <w:t>120</w:t>
      </w:r>
      <w:r>
        <w:rPr>
          <w:rFonts w:hint="eastAsia" w:ascii="宋体" w:hAnsi="宋体" w:eastAsia="宋体" w:cs="宋体"/>
          <w:b w:val="0"/>
          <w:bCs/>
          <w:color w:val="000000" w:themeColor="text1"/>
          <w:sz w:val="21"/>
          <w:szCs w:val="21"/>
        </w:rPr>
        <w:t>元，面值</w:t>
      </w:r>
      <w:r>
        <w:rPr>
          <w:rFonts w:hint="eastAsia" w:ascii="宋体" w:hAnsi="宋体" w:eastAsia="宋体" w:cs="宋体"/>
          <w:b w:val="0"/>
          <w:bCs/>
          <w:color w:val="000000" w:themeColor="text1"/>
          <w:sz w:val="21"/>
          <w:szCs w:val="21"/>
          <w:lang w:val="en-US" w:eastAsia="zh-CN"/>
        </w:rPr>
        <w:t>100</w:t>
      </w:r>
      <w:r>
        <w:rPr>
          <w:rFonts w:hint="eastAsia" w:ascii="宋体" w:hAnsi="宋体" w:eastAsia="宋体" w:cs="宋体"/>
          <w:b w:val="0"/>
          <w:bCs/>
          <w:color w:val="000000" w:themeColor="text1"/>
          <w:sz w:val="21"/>
          <w:szCs w:val="21"/>
        </w:rPr>
        <w:t>元，年股息率为</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，发行筹资费用率为</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p>
    <w:p w14:paraId="7F0733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）利用资本资产定价模型计算普通股资本成本。</w:t>
      </w:r>
    </w:p>
    <w:p w14:paraId="0676D2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）利用非折现模式（即一般模式）计算债券资本成本。</w:t>
      </w:r>
    </w:p>
    <w:p w14:paraId="406EAFD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）利用一般模式计算优先股票资本成本。</w:t>
      </w:r>
    </w:p>
    <w:p w14:paraId="5419F1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）根据以上计算结果，为</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公司选择筹资方案，并说明理由。</w:t>
      </w:r>
    </w:p>
    <w:p w14:paraId="63230EB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p>
    <w:p w14:paraId="537E628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）普通股资本成本</w:t>
      </w:r>
      <w:r>
        <w:rPr>
          <w:rFonts w:hint="eastAsia" w:ascii="宋体" w:hAnsi="宋体" w:eastAsia="宋体" w:cs="宋体"/>
          <w:b w:val="0"/>
          <w:bCs/>
          <w:color w:val="000000" w:themeColor="text1"/>
          <w:sz w:val="21"/>
          <w:szCs w:val="21"/>
          <w:lang w:val="en-US" w:eastAsia="zh-CN"/>
        </w:rPr>
        <w:t>=4%+2×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10%-4%</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=16%</w:t>
      </w:r>
    </w:p>
    <w:p w14:paraId="5326DA9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）债券资本成本</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=6.12%</w:t>
      </w:r>
    </w:p>
    <w:p w14:paraId="73F0E88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）优先股资本成本</w:t>
      </w:r>
      <w:r>
        <w:rPr>
          <w:rFonts w:hint="eastAsia" w:ascii="宋体" w:hAnsi="宋体" w:eastAsia="宋体" w:cs="宋体"/>
          <w:b w:val="0"/>
          <w:bCs/>
          <w:color w:val="000000" w:themeColor="text1"/>
          <w:sz w:val="21"/>
          <w:szCs w:val="21"/>
          <w:lang w:val="en-US" w:eastAsia="zh-CN"/>
        </w:rPr>
        <w:t>=100×10%/120×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=8.59%</w:t>
      </w:r>
    </w:p>
    <w:p w14:paraId="3F70AB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）根据上述计算结果，</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公司应该选择发行债券筹资方式，其资本成本最低</w:t>
      </w:r>
    </w:p>
    <w:p w14:paraId="65A9D7C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92A7B8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甲公司是一家上市公司，主营保健品生产和销售。</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日，为对公司业绩进行评价，需估算其资本成本。相关资料如下：</w:t>
      </w:r>
    </w:p>
    <w:p w14:paraId="43E8D12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）甲公司目前长期资本中有长期债券</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万份，普通股</w:t>
      </w:r>
      <w:r>
        <w:rPr>
          <w:rFonts w:hint="eastAsia" w:ascii="宋体" w:hAnsi="宋体" w:eastAsia="宋体" w:cs="宋体"/>
          <w:b w:val="0"/>
          <w:bCs/>
          <w:color w:val="000000" w:themeColor="text1"/>
          <w:sz w:val="21"/>
          <w:szCs w:val="21"/>
          <w:lang w:val="en-US" w:eastAsia="zh-CN"/>
        </w:rPr>
        <w:t>600</w:t>
      </w:r>
      <w:r>
        <w:rPr>
          <w:rFonts w:hint="eastAsia" w:ascii="宋体" w:hAnsi="宋体" w:eastAsia="宋体" w:cs="宋体"/>
          <w:b w:val="0"/>
          <w:bCs/>
          <w:color w:val="000000" w:themeColor="text1"/>
          <w:sz w:val="21"/>
          <w:szCs w:val="21"/>
        </w:rPr>
        <w:t>万股，没有其他长期债务和优先股。长期债券发行于</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w:t>
      </w:r>
      <w:r>
        <w:rPr>
          <w:rFonts w:hint="eastAsia" w:ascii="宋体" w:hAnsi="宋体" w:eastAsia="宋体" w:cs="宋体"/>
          <w:b w:val="0"/>
          <w:bCs/>
          <w:color w:val="000000" w:themeColor="text1"/>
          <w:sz w:val="21"/>
          <w:szCs w:val="21"/>
          <w:lang w:val="en-US" w:eastAsia="zh-CN"/>
        </w:rPr>
        <w:t>7</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日，期限</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年，票面价值</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元，票面利率</w:t>
      </w:r>
      <w:r>
        <w:rPr>
          <w:rFonts w:hint="eastAsia" w:ascii="宋体" w:hAnsi="宋体" w:eastAsia="宋体" w:cs="宋体"/>
          <w:b w:val="0"/>
          <w:bCs/>
          <w:color w:val="000000" w:themeColor="text1"/>
          <w:sz w:val="21"/>
          <w:szCs w:val="21"/>
          <w:lang w:val="en-US" w:eastAsia="zh-CN"/>
        </w:rPr>
        <w:t>8%</w:t>
      </w:r>
      <w:r>
        <w:rPr>
          <w:rFonts w:hint="eastAsia" w:ascii="宋体" w:hAnsi="宋体" w:eastAsia="宋体" w:cs="宋体"/>
          <w:b w:val="0"/>
          <w:bCs/>
          <w:color w:val="000000" w:themeColor="text1"/>
          <w:sz w:val="21"/>
          <w:szCs w:val="21"/>
        </w:rPr>
        <w:t>，每年</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30</w:t>
      </w:r>
      <w:r>
        <w:rPr>
          <w:rFonts w:hint="eastAsia" w:ascii="宋体" w:hAnsi="宋体" w:eastAsia="宋体" w:cs="宋体"/>
          <w:b w:val="0"/>
          <w:bCs/>
          <w:color w:val="000000" w:themeColor="text1"/>
          <w:sz w:val="21"/>
          <w:szCs w:val="21"/>
        </w:rPr>
        <w:t>日和</w:t>
      </w:r>
      <w:r>
        <w:rPr>
          <w:rFonts w:hint="eastAsia" w:ascii="宋体" w:hAnsi="宋体" w:eastAsia="宋体" w:cs="宋体"/>
          <w:b w:val="0"/>
          <w:bCs/>
          <w:color w:val="000000" w:themeColor="text1"/>
          <w:sz w:val="21"/>
          <w:szCs w:val="21"/>
          <w:lang w:val="en-US" w:eastAsia="zh-CN"/>
        </w:rPr>
        <w:t>12</w:t>
      </w:r>
      <w:r>
        <w:rPr>
          <w:rFonts w:hint="eastAsia" w:ascii="宋体" w:hAnsi="宋体" w:eastAsia="宋体" w:cs="宋体"/>
          <w:b w:val="0"/>
          <w:bCs/>
          <w:color w:val="000000" w:themeColor="text1"/>
          <w:sz w:val="21"/>
          <w:szCs w:val="21"/>
        </w:rPr>
        <w:t>月</w:t>
      </w:r>
      <w:r>
        <w:rPr>
          <w:rFonts w:hint="eastAsia" w:ascii="宋体" w:hAnsi="宋体" w:eastAsia="宋体" w:cs="宋体"/>
          <w:b w:val="0"/>
          <w:bCs/>
          <w:color w:val="000000" w:themeColor="text1"/>
          <w:sz w:val="21"/>
          <w:szCs w:val="21"/>
          <w:lang w:val="en-US" w:eastAsia="zh-CN"/>
        </w:rPr>
        <w:t>31</w:t>
      </w:r>
      <w:r>
        <w:rPr>
          <w:rFonts w:hint="eastAsia" w:ascii="宋体" w:hAnsi="宋体" w:eastAsia="宋体" w:cs="宋体"/>
          <w:b w:val="0"/>
          <w:bCs/>
          <w:color w:val="000000" w:themeColor="text1"/>
          <w:sz w:val="21"/>
          <w:szCs w:val="21"/>
        </w:rPr>
        <w:t>日付息。公司目前长期债券每份市价</w:t>
      </w:r>
      <w:r>
        <w:rPr>
          <w:rFonts w:hint="eastAsia" w:ascii="宋体" w:hAnsi="宋体" w:eastAsia="宋体" w:cs="宋体"/>
          <w:b w:val="0"/>
          <w:bCs/>
          <w:color w:val="000000" w:themeColor="text1"/>
          <w:sz w:val="21"/>
          <w:szCs w:val="21"/>
          <w:lang w:val="en-US" w:eastAsia="zh-CN"/>
        </w:rPr>
        <w:t>935.33</w:t>
      </w:r>
      <w:r>
        <w:rPr>
          <w:rFonts w:hint="eastAsia" w:ascii="宋体" w:hAnsi="宋体" w:eastAsia="宋体" w:cs="宋体"/>
          <w:b w:val="0"/>
          <w:bCs/>
          <w:color w:val="000000" w:themeColor="text1"/>
          <w:sz w:val="21"/>
          <w:szCs w:val="21"/>
        </w:rPr>
        <w:t>元，普通股每股市价</w:t>
      </w:r>
      <w:r>
        <w:rPr>
          <w:rFonts w:hint="eastAsia" w:ascii="宋体" w:hAnsi="宋体" w:eastAsia="宋体" w:cs="宋体"/>
          <w:b w:val="0"/>
          <w:bCs/>
          <w:color w:val="000000" w:themeColor="text1"/>
          <w:sz w:val="21"/>
          <w:szCs w:val="21"/>
          <w:lang w:val="en-US" w:eastAsia="zh-CN"/>
        </w:rPr>
        <w:t>10</w:t>
      </w:r>
      <w:r>
        <w:rPr>
          <w:rFonts w:hint="eastAsia" w:ascii="宋体" w:hAnsi="宋体" w:eastAsia="宋体" w:cs="宋体"/>
          <w:b w:val="0"/>
          <w:bCs/>
          <w:color w:val="000000" w:themeColor="text1"/>
          <w:sz w:val="21"/>
          <w:szCs w:val="21"/>
        </w:rPr>
        <w:t>元。</w:t>
      </w:r>
    </w:p>
    <w:p w14:paraId="11766CD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）目前无风险利率</w:t>
      </w:r>
      <w:r>
        <w:rPr>
          <w:rFonts w:hint="eastAsia" w:ascii="宋体" w:hAnsi="宋体" w:eastAsia="宋体" w:cs="宋体"/>
          <w:b w:val="0"/>
          <w:bCs/>
          <w:color w:val="000000" w:themeColor="text1"/>
          <w:sz w:val="21"/>
          <w:szCs w:val="21"/>
          <w:lang w:val="en-US" w:eastAsia="zh-CN"/>
        </w:rPr>
        <w:t>6%</w:t>
      </w:r>
      <w:r>
        <w:rPr>
          <w:rFonts w:hint="eastAsia" w:ascii="宋体" w:hAnsi="宋体" w:eastAsia="宋体" w:cs="宋体"/>
          <w:b w:val="0"/>
          <w:bCs/>
          <w:color w:val="000000" w:themeColor="text1"/>
          <w:sz w:val="21"/>
          <w:szCs w:val="21"/>
        </w:rPr>
        <w:t>，股票市场平均收益率</w:t>
      </w:r>
      <w:r>
        <w:rPr>
          <w:rFonts w:hint="eastAsia" w:ascii="宋体" w:hAnsi="宋体" w:eastAsia="宋体" w:cs="宋体"/>
          <w:b w:val="0"/>
          <w:bCs/>
          <w:color w:val="000000" w:themeColor="text1"/>
          <w:sz w:val="21"/>
          <w:szCs w:val="21"/>
          <w:lang w:val="en-US" w:eastAsia="zh-CN"/>
        </w:rPr>
        <w:t>11%</w:t>
      </w:r>
      <w:r>
        <w:rPr>
          <w:rFonts w:hint="eastAsia" w:ascii="宋体" w:hAnsi="宋体" w:eastAsia="宋体" w:cs="宋体"/>
          <w:b w:val="0"/>
          <w:bCs/>
          <w:color w:val="000000" w:themeColor="text1"/>
          <w:sz w:val="21"/>
          <w:szCs w:val="21"/>
        </w:rPr>
        <w:t>，甲公司普通股贝塔系数</w:t>
      </w:r>
      <w:r>
        <w:rPr>
          <w:rFonts w:hint="eastAsia" w:ascii="宋体" w:hAnsi="宋体" w:eastAsia="宋体" w:cs="宋体"/>
          <w:b w:val="0"/>
          <w:bCs/>
          <w:color w:val="000000" w:themeColor="text1"/>
          <w:sz w:val="21"/>
          <w:szCs w:val="21"/>
          <w:lang w:val="en-US" w:eastAsia="zh-CN"/>
        </w:rPr>
        <w:t>1.4</w:t>
      </w:r>
      <w:r>
        <w:rPr>
          <w:rFonts w:hint="eastAsia" w:ascii="宋体" w:hAnsi="宋体" w:eastAsia="宋体" w:cs="宋体"/>
          <w:b w:val="0"/>
          <w:bCs/>
          <w:color w:val="000000" w:themeColor="text1"/>
          <w:sz w:val="21"/>
          <w:szCs w:val="21"/>
        </w:rPr>
        <w:t>。</w:t>
      </w:r>
    </w:p>
    <w:p w14:paraId="654A9B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）甲公司的企业所得税税率</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w:t>
      </w:r>
    </w:p>
    <w:p w14:paraId="6510F24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w:t>
      </w:r>
    </w:p>
    <w:p w14:paraId="7DBEA8E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）不考虑货币时间价值假设长期债券按年付息，到期还本的计算其税后资本成本率。</w:t>
      </w:r>
    </w:p>
    <w:p w14:paraId="6BB7FD1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）用资本资产定价模型计算甲公司普通股资本成本。</w:t>
      </w:r>
    </w:p>
    <w:p w14:paraId="7627DEA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）以公司目前的实际市场价值为权重，计算甲公司加权平均资本成本。</w:t>
      </w:r>
    </w:p>
    <w:p w14:paraId="1AE40E6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）在计算公司加权平均资本成本时，有哪几种权重计算方法</w:t>
      </w:r>
      <w:r>
        <w:rPr>
          <w:rFonts w:hint="eastAsia" w:ascii="宋体" w:hAnsi="宋体" w:eastAsia="宋体" w:cs="宋体"/>
          <w:b w:val="0"/>
          <w:bCs/>
          <w:color w:val="000000" w:themeColor="text1"/>
          <w:sz w:val="21"/>
          <w:szCs w:val="21"/>
          <w:lang w:val="en-US" w:eastAsia="zh-CN"/>
        </w:rPr>
        <w:t>?</w:t>
      </w:r>
    </w:p>
    <w:p w14:paraId="139F97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p>
    <w:p w14:paraId="1DF434E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）长期债券的资本成本率</w:t>
      </w:r>
    </w:p>
    <w:p w14:paraId="7FEE63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=1000×8%×</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/935.33×100%=6.41%.</w:t>
      </w:r>
    </w:p>
    <w:p w14:paraId="70B1E06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）普通股资本成本：</w:t>
      </w:r>
      <w:r>
        <w:rPr>
          <w:rFonts w:hint="eastAsia" w:ascii="宋体" w:hAnsi="宋体" w:eastAsia="宋体" w:cs="宋体"/>
          <w:b w:val="0"/>
          <w:bCs/>
          <w:color w:val="000000" w:themeColor="text1"/>
          <w:sz w:val="21"/>
          <w:szCs w:val="21"/>
          <w:lang w:val="en-US" w:eastAsia="zh-CN"/>
        </w:rPr>
        <w:t>6%+1.4×</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11%-6%</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=13%</w:t>
      </w:r>
    </w:p>
    <w:p w14:paraId="2525E0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）加权平均资本成本：</w:t>
      </w:r>
    </w:p>
    <w:p w14:paraId="704CFB4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加权平均资本成本</w:t>
      </w:r>
      <w:r>
        <w:rPr>
          <w:rFonts w:hint="eastAsia" w:ascii="宋体" w:hAnsi="宋体" w:eastAsia="宋体" w:cs="宋体"/>
          <w:b w:val="0"/>
          <w:bCs/>
          <w:color w:val="000000" w:themeColor="text1"/>
          <w:sz w:val="21"/>
          <w:szCs w:val="21"/>
          <w:lang w:val="en-US" w:eastAsia="zh-CN"/>
        </w:rPr>
        <w:t>=1×935.33/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1×935.33+600×10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×6.41%+600×10/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1×935.33+600×10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×13%=12.11%</w:t>
      </w:r>
    </w:p>
    <w:p w14:paraId="229019D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）计算公司的加权平均资本，有三种权重依据可供选择，即账面价值权重、实际市场价值权重和目标资本结构权重。</w:t>
      </w:r>
    </w:p>
    <w:p w14:paraId="09A6F3B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058A182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企业要投资一个新项目，新项目的经营风险与企业原有资产经营风险一致。为筹集新项目所需资金，该项目拟通过借款和留存收益进行筹资，借款利息率为</w:t>
      </w:r>
      <w:r>
        <w:rPr>
          <w:rFonts w:hint="eastAsia" w:ascii="宋体" w:hAnsi="宋体" w:eastAsia="宋体" w:cs="宋体"/>
          <w:b w:val="0"/>
          <w:bCs/>
          <w:color w:val="000000" w:themeColor="text1"/>
          <w:sz w:val="21"/>
          <w:szCs w:val="21"/>
          <w:lang w:val="en-US" w:eastAsia="zh-CN"/>
        </w:rPr>
        <w:t>7.47%</w:t>
      </w:r>
      <w:r>
        <w:rPr>
          <w:rFonts w:hint="eastAsia" w:ascii="宋体" w:hAnsi="宋体" w:eastAsia="宋体" w:cs="宋体"/>
          <w:b w:val="0"/>
          <w:bCs/>
          <w:color w:val="000000" w:themeColor="text1"/>
          <w:sz w:val="21"/>
          <w:szCs w:val="21"/>
        </w:rPr>
        <w:t>，公司目前的普通股</w:t>
      </w:r>
      <w:r>
        <w:rPr>
          <w:rFonts w:hint="eastAsia" w:ascii="宋体" w:hAnsi="宋体" w:eastAsia="宋体" w:cs="宋体"/>
          <w:b w:val="0"/>
          <w:bCs/>
          <w:color w:val="000000" w:themeColor="text1"/>
          <w:sz w:val="21"/>
          <w:szCs w:val="21"/>
          <w:lang w:val="en-US" w:eastAsia="zh-CN"/>
        </w:rPr>
        <w:t>β</w:t>
      </w:r>
      <w:r>
        <w:rPr>
          <w:rFonts w:hint="eastAsia" w:ascii="宋体" w:hAnsi="宋体" w:eastAsia="宋体" w:cs="宋体"/>
          <w:b w:val="0"/>
          <w:bCs/>
          <w:color w:val="000000" w:themeColor="text1"/>
          <w:sz w:val="21"/>
          <w:szCs w:val="21"/>
        </w:rPr>
        <w:t>系数</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，无风险报酬率</w:t>
      </w:r>
      <w:r>
        <w:rPr>
          <w:rFonts w:hint="eastAsia" w:ascii="宋体" w:hAnsi="宋体" w:eastAsia="宋体" w:cs="宋体"/>
          <w:b w:val="0"/>
          <w:bCs/>
          <w:color w:val="000000" w:themeColor="text1"/>
          <w:sz w:val="21"/>
          <w:szCs w:val="21"/>
          <w:lang w:val="en-US" w:eastAsia="zh-CN"/>
        </w:rPr>
        <w:t>3.4%</w:t>
      </w:r>
      <w:r>
        <w:rPr>
          <w:rFonts w:hint="eastAsia" w:ascii="宋体" w:hAnsi="宋体" w:eastAsia="宋体" w:cs="宋体"/>
          <w:b w:val="0"/>
          <w:bCs/>
          <w:color w:val="000000" w:themeColor="text1"/>
          <w:sz w:val="21"/>
          <w:szCs w:val="21"/>
        </w:rPr>
        <w:t>，市场组合必要报酬率</w:t>
      </w:r>
      <w:r>
        <w:rPr>
          <w:rFonts w:hint="eastAsia" w:ascii="宋体" w:hAnsi="宋体" w:eastAsia="宋体" w:cs="宋体"/>
          <w:b w:val="0"/>
          <w:bCs/>
          <w:color w:val="000000" w:themeColor="text1"/>
          <w:sz w:val="21"/>
          <w:szCs w:val="21"/>
          <w:lang w:val="en-US" w:eastAsia="zh-CN"/>
        </w:rPr>
        <w:t>7.4%</w:t>
      </w:r>
      <w:r>
        <w:rPr>
          <w:rFonts w:hint="eastAsia" w:ascii="宋体" w:hAnsi="宋体" w:eastAsia="宋体" w:cs="宋体"/>
          <w:b w:val="0"/>
          <w:bCs/>
          <w:color w:val="000000" w:themeColor="text1"/>
          <w:sz w:val="21"/>
          <w:szCs w:val="21"/>
        </w:rPr>
        <w:t>。当前公司资本结构（负债</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权益）为</w:t>
      </w:r>
      <w:r>
        <w:rPr>
          <w:rFonts w:hint="eastAsia" w:ascii="宋体" w:hAnsi="宋体" w:eastAsia="宋体" w:cs="宋体"/>
          <w:b w:val="0"/>
          <w:bCs/>
          <w:color w:val="000000" w:themeColor="text1"/>
          <w:sz w:val="21"/>
          <w:szCs w:val="21"/>
          <w:lang w:val="en-US" w:eastAsia="zh-CN"/>
        </w:rPr>
        <w:t>2/3</w:t>
      </w:r>
      <w:r>
        <w:rPr>
          <w:rFonts w:hint="eastAsia" w:ascii="宋体" w:hAnsi="宋体" w:eastAsia="宋体" w:cs="宋体"/>
          <w:b w:val="0"/>
          <w:bCs/>
          <w:color w:val="000000" w:themeColor="text1"/>
          <w:sz w:val="21"/>
          <w:szCs w:val="21"/>
        </w:rPr>
        <w:t>，目标资本结构（负债</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权益）为</w:t>
      </w:r>
      <w:r>
        <w:rPr>
          <w:rFonts w:hint="eastAsia" w:ascii="宋体" w:hAnsi="宋体" w:eastAsia="宋体" w:cs="宋体"/>
          <w:b w:val="0"/>
          <w:bCs/>
          <w:color w:val="000000" w:themeColor="text1"/>
          <w:sz w:val="21"/>
          <w:szCs w:val="21"/>
          <w:lang w:val="en-US" w:eastAsia="zh-CN"/>
        </w:rPr>
        <w:t>1/1</w:t>
      </w:r>
      <w:r>
        <w:rPr>
          <w:rFonts w:hint="eastAsia" w:ascii="宋体" w:hAnsi="宋体" w:eastAsia="宋体" w:cs="宋体"/>
          <w:b w:val="0"/>
          <w:bCs/>
          <w:color w:val="000000" w:themeColor="text1"/>
          <w:sz w:val="21"/>
          <w:szCs w:val="21"/>
        </w:rPr>
        <w:t>，公司所得税税率</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w:t>
      </w:r>
    </w:p>
    <w:p w14:paraId="14D7BE9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要求计算下列指标：</w:t>
      </w:r>
    </w:p>
    <w:p w14:paraId="2FDA9CB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）债务资本成本；</w:t>
      </w:r>
    </w:p>
    <w:p w14:paraId="3426005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）贝塔资产；</w:t>
      </w:r>
    </w:p>
    <w:p w14:paraId="2B876E8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）新项目有负债的贝塔权益；</w:t>
      </w:r>
    </w:p>
    <w:p w14:paraId="55FB55C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）股权资本成本；</w:t>
      </w:r>
    </w:p>
    <w:p w14:paraId="1CB36B9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）加权资本成本。</w:t>
      </w:r>
    </w:p>
    <w:p w14:paraId="3E5FF2D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）税后债务资本成本</w:t>
      </w:r>
      <w:r>
        <w:rPr>
          <w:rFonts w:hint="eastAsia" w:ascii="宋体" w:hAnsi="宋体" w:eastAsia="宋体" w:cs="宋体"/>
          <w:b w:val="0"/>
          <w:bCs/>
          <w:color w:val="000000" w:themeColor="text1"/>
          <w:sz w:val="21"/>
          <w:szCs w:val="21"/>
          <w:lang w:val="en-US" w:eastAsia="zh-CN"/>
        </w:rPr>
        <w:t>=7.47%×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=5.60%</w:t>
      </w:r>
    </w:p>
    <w:p w14:paraId="056D70F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）贝塔资产</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p>
    <w:p w14:paraId="66469C2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）贝塔权益</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=1.75</w:t>
      </w:r>
    </w:p>
    <w:p w14:paraId="6BFAB20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）股权资本成本</w:t>
      </w:r>
      <w:r>
        <w:rPr>
          <w:rFonts w:hint="eastAsia" w:ascii="宋体" w:hAnsi="宋体" w:eastAsia="宋体" w:cs="宋体"/>
          <w:b w:val="0"/>
          <w:bCs/>
          <w:color w:val="000000" w:themeColor="text1"/>
          <w:sz w:val="21"/>
          <w:szCs w:val="21"/>
          <w:lang w:val="en-US" w:eastAsia="zh-CN"/>
        </w:rPr>
        <w:t>=3.4%+1.75×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7.4%-3.4%</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=10.40%</w:t>
      </w:r>
    </w:p>
    <w:p w14:paraId="5F6ABA7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）加权资本成本</w:t>
      </w:r>
      <w:r>
        <w:rPr>
          <w:rFonts w:hint="eastAsia" w:ascii="宋体" w:hAnsi="宋体" w:eastAsia="宋体" w:cs="宋体"/>
          <w:b w:val="0"/>
          <w:bCs/>
          <w:color w:val="000000" w:themeColor="text1"/>
          <w:sz w:val="21"/>
          <w:szCs w:val="21"/>
          <w:lang w:val="en-US" w:eastAsia="zh-CN"/>
        </w:rPr>
        <w:t>=5.6%×50%+10.4%×50%=8%</w:t>
      </w:r>
      <w:r>
        <w:rPr>
          <w:rFonts w:hint="eastAsia" w:ascii="宋体" w:hAnsi="宋体" w:eastAsia="宋体" w:cs="宋体"/>
          <w:b w:val="0"/>
          <w:bCs/>
          <w:color w:val="000000" w:themeColor="text1"/>
          <w:sz w:val="21"/>
          <w:szCs w:val="21"/>
        </w:rPr>
        <w:t>。</w:t>
      </w:r>
    </w:p>
    <w:p w14:paraId="23E1EA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793B7CB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7DC9AF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CECFD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6BE1252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3】</w:t>
      </w:r>
      <w:r>
        <w:rPr>
          <w:rFonts w:hint="eastAsia" w:ascii="宋体" w:hAnsi="宋体" w:eastAsia="宋体" w:cs="宋体"/>
          <w:b w:val="0"/>
          <w:bCs/>
          <w:color w:val="FF0000"/>
          <w:sz w:val="21"/>
          <w:szCs w:val="21"/>
        </w:rPr>
        <w:t>杠杆效应</w:t>
      </w:r>
    </w:p>
    <w:p w14:paraId="1681FFA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（一）经营杠杆的含义、计量及经营风险</w:t>
      </w:r>
    </w:p>
    <w:p w14:paraId="57647CA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（二）财务杠杆的含义、计量及财务风险</w:t>
      </w:r>
    </w:p>
    <w:p w14:paraId="1EE094F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（三）总杠杆的含义、计量及总风险</w:t>
      </w:r>
    </w:p>
    <w:p w14:paraId="2A10C8F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第六章 投资管理</w:t>
      </w:r>
    </w:p>
    <w:p w14:paraId="6CA7875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54C902F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本章属于非常重点章节，考分在</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分左右，主观题和客观题都会涉及，考点如下：</w:t>
      </w:r>
    </w:p>
    <w:p w14:paraId="1AD2640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（一）企业投资分类</w:t>
      </w:r>
    </w:p>
    <w:p w14:paraId="5EE680A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（二）投资项目财务评价指标</w:t>
      </w:r>
    </w:p>
    <w:p w14:paraId="7F91A58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（三）项目投资管理，包括独立方案决策、互斥方案决策和固定资产更新决策</w:t>
      </w:r>
    </w:p>
    <w:p w14:paraId="44269D0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（四）证券投资管理，包括股票、债券</w:t>
      </w:r>
    </w:p>
    <w:p w14:paraId="2FD7FD9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（五）基金投资与期权投资</w:t>
      </w:r>
    </w:p>
    <w:p w14:paraId="412E2BC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1】</w:t>
      </w:r>
      <w:r>
        <w:rPr>
          <w:rFonts w:hint="eastAsia" w:ascii="宋体" w:hAnsi="宋体" w:eastAsia="宋体" w:cs="宋体"/>
          <w:color w:val="FF0000"/>
          <w:sz w:val="21"/>
          <w:szCs w:val="21"/>
        </w:rPr>
        <w:t>企业投资分类</w:t>
      </w:r>
    </w:p>
    <w:p w14:paraId="2870880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总结</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项目投资、对内投资都属于直接投资；证券投资属于间接投资；而对外投资可以是间接投资，也可以是直接投资。</w:t>
      </w:r>
    </w:p>
    <w:p w14:paraId="5AC50CD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总结</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发展性投资是战略性投资；而维持性投资是战术性投资，如固定资产更新决策。</w:t>
      </w:r>
    </w:p>
    <w:p w14:paraId="0C9B8DA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562B53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下列投资活动中，属于间接投资的是（  ）。</w:t>
      </w:r>
    </w:p>
    <w:p w14:paraId="30DBC89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建设新的生产线</w:t>
      </w:r>
    </w:p>
    <w:p w14:paraId="0913AEF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开办新的子公司</w:t>
      </w:r>
    </w:p>
    <w:p w14:paraId="1CDA64E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吸收合并其他企业</w:t>
      </w:r>
    </w:p>
    <w:p w14:paraId="2CD2A29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购买公司债券</w:t>
      </w:r>
    </w:p>
    <w:p w14:paraId="63378E6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1D5483D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间接投资，是指将资金投放于股票、债券等权益性资产上的企业投资。选项</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属于间接投资。</w:t>
      </w:r>
    </w:p>
    <w:p w14:paraId="0490BA5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7044AFC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按照企业投资的分类，下列各项中，属于发展性投资的有（  ）。</w:t>
      </w:r>
    </w:p>
    <w:p w14:paraId="6DF3621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开发新产品的投资</w:t>
      </w:r>
    </w:p>
    <w:p w14:paraId="005BDCE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更新替换旧设备的投资</w:t>
      </w:r>
    </w:p>
    <w:p w14:paraId="68E6046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企业间兼并合并的投资</w:t>
      </w:r>
    </w:p>
    <w:p w14:paraId="7887CCE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大幅度扩大生产规模的投资</w:t>
      </w:r>
    </w:p>
    <w:p w14:paraId="67FC8BE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ACD</w:t>
      </w:r>
    </w:p>
    <w:p w14:paraId="75CB4F1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发展性投资也可以称为战略性投资，如企业间兼并合并的投资、转换新行业和开发新产品投资、大幅度扩大生产规模的投资等。更新替换旧设备的投资属于维持性投资。</w:t>
      </w:r>
    </w:p>
    <w:p w14:paraId="38A2F12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p>
    <w:p w14:paraId="410C96A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投资项目财务评价指标</w:t>
      </w:r>
    </w:p>
    <w:p w14:paraId="478FC9C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现金流入</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现金流出</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现金净流量</w:t>
      </w:r>
    </w:p>
    <w:p w14:paraId="3CC6BA9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具体现金流量</w:t>
      </w:r>
    </w:p>
    <w:p w14:paraId="5DA47F4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）投资期现金流量</w:t>
      </w:r>
    </w:p>
    <w:p w14:paraId="4F7A76A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长期资产投资、营运资金垫支</w:t>
      </w:r>
    </w:p>
    <w:p w14:paraId="60064C9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）营运期现金流量</w:t>
      </w:r>
    </w:p>
    <w:p w14:paraId="1CBF7C7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营业现金流量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税后收入</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税后付现成本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折旧抵税</w:t>
      </w:r>
    </w:p>
    <w:p w14:paraId="50497B4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）终结点现金流量</w:t>
      </w:r>
    </w:p>
    <w:p w14:paraId="6C4037A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固定资产变价净收入</w:t>
      </w:r>
    </w:p>
    <w:p w14:paraId="12B069B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固定资产变现净收益的对现金流量的影响（纳税或抵税）</w:t>
      </w:r>
    </w:p>
    <w:p w14:paraId="29FEF45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收回垫支营运资金</w:t>
      </w:r>
      <w:r>
        <w:rPr>
          <w:rFonts w:hint="eastAsia" w:ascii="宋体" w:hAnsi="宋体" w:eastAsia="宋体" w:cs="宋体"/>
          <w:color w:val="auto"/>
          <w:sz w:val="21"/>
          <w:szCs w:val="21"/>
          <w:lang w:val="en-US" w:eastAsia="zh-CN"/>
        </w:rPr>
        <w:t>.</w:t>
      </w:r>
    </w:p>
    <w:p w14:paraId="3E26955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投资项目具体指标</w:t>
      </w:r>
    </w:p>
    <w:p w14:paraId="4917B97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净现值</w:t>
      </w:r>
      <w:r>
        <w:rPr>
          <w:rFonts w:hint="eastAsia" w:ascii="宋体" w:hAnsi="宋体" w:eastAsia="宋体" w:cs="宋体"/>
          <w:color w:val="auto"/>
          <w:sz w:val="21"/>
          <w:szCs w:val="21"/>
          <w:lang w:val="en-US" w:eastAsia="zh-CN"/>
        </w:rPr>
        <w:t>&gt;0</w:t>
      </w:r>
      <w:r>
        <w:rPr>
          <w:rFonts w:hint="eastAsia" w:ascii="宋体" w:hAnsi="宋体" w:eastAsia="宋体" w:cs="宋体"/>
          <w:color w:val="auto"/>
          <w:sz w:val="21"/>
          <w:szCs w:val="21"/>
        </w:rPr>
        <w:t>时，现值指数</w:t>
      </w:r>
      <w:r>
        <w:rPr>
          <w:rFonts w:hint="eastAsia" w:ascii="宋体" w:hAnsi="宋体" w:eastAsia="宋体" w:cs="宋体"/>
          <w:color w:val="auto"/>
          <w:sz w:val="21"/>
          <w:szCs w:val="21"/>
          <w:lang w:val="en-US" w:eastAsia="zh-CN"/>
        </w:rPr>
        <w:t>&gt;1</w:t>
      </w:r>
      <w:r>
        <w:rPr>
          <w:rFonts w:hint="eastAsia" w:ascii="宋体" w:hAnsi="宋体" w:eastAsia="宋体" w:cs="宋体"/>
          <w:color w:val="auto"/>
          <w:sz w:val="21"/>
          <w:szCs w:val="21"/>
        </w:rPr>
        <w:t>，内含收益率</w:t>
      </w:r>
      <w:r>
        <w:rPr>
          <w:rFonts w:hint="eastAsia" w:ascii="宋体" w:hAnsi="宋体" w:eastAsia="宋体" w:cs="宋体"/>
          <w:color w:val="auto"/>
          <w:sz w:val="21"/>
          <w:szCs w:val="21"/>
          <w:lang w:val="en-US" w:eastAsia="zh-CN"/>
        </w:rPr>
        <w:t>&gt;</w:t>
      </w:r>
      <w:r>
        <w:rPr>
          <w:rFonts w:hint="eastAsia" w:ascii="宋体" w:hAnsi="宋体" w:eastAsia="宋体" w:cs="宋体"/>
          <w:color w:val="auto"/>
          <w:sz w:val="21"/>
          <w:szCs w:val="21"/>
        </w:rPr>
        <w:t>项目资本成本</w:t>
      </w:r>
    </w:p>
    <w:p w14:paraId="78A91F9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净现值</w:t>
      </w:r>
      <w:r>
        <w:rPr>
          <w:rFonts w:hint="eastAsia" w:ascii="宋体" w:hAnsi="宋体" w:eastAsia="宋体" w:cs="宋体"/>
          <w:color w:val="auto"/>
          <w:sz w:val="21"/>
          <w:szCs w:val="21"/>
          <w:lang w:val="en-US" w:eastAsia="zh-CN"/>
        </w:rPr>
        <w:t>&lt;0</w:t>
      </w:r>
      <w:r>
        <w:rPr>
          <w:rFonts w:hint="eastAsia" w:ascii="宋体" w:hAnsi="宋体" w:eastAsia="宋体" w:cs="宋体"/>
          <w:color w:val="auto"/>
          <w:sz w:val="21"/>
          <w:szCs w:val="21"/>
        </w:rPr>
        <w:t>时，现值指数</w:t>
      </w:r>
      <w:r>
        <w:rPr>
          <w:rFonts w:hint="eastAsia" w:ascii="宋体" w:hAnsi="宋体" w:eastAsia="宋体" w:cs="宋体"/>
          <w:color w:val="auto"/>
          <w:sz w:val="21"/>
          <w:szCs w:val="21"/>
          <w:lang w:val="en-US" w:eastAsia="zh-CN"/>
        </w:rPr>
        <w:t>&lt;1</w:t>
      </w:r>
      <w:r>
        <w:rPr>
          <w:rFonts w:hint="eastAsia" w:ascii="宋体" w:hAnsi="宋体" w:eastAsia="宋体" w:cs="宋体"/>
          <w:color w:val="auto"/>
          <w:sz w:val="21"/>
          <w:szCs w:val="21"/>
        </w:rPr>
        <w:t>，内含收益率</w:t>
      </w:r>
      <w:r>
        <w:rPr>
          <w:rFonts w:hint="eastAsia" w:ascii="宋体" w:hAnsi="宋体" w:eastAsia="宋体" w:cs="宋体"/>
          <w:color w:val="auto"/>
          <w:sz w:val="21"/>
          <w:szCs w:val="21"/>
          <w:lang w:val="en-US" w:eastAsia="zh-CN"/>
        </w:rPr>
        <w:t>&lt;</w:t>
      </w:r>
      <w:r>
        <w:rPr>
          <w:rFonts w:hint="eastAsia" w:ascii="宋体" w:hAnsi="宋体" w:eastAsia="宋体" w:cs="宋体"/>
          <w:color w:val="auto"/>
          <w:sz w:val="21"/>
          <w:szCs w:val="21"/>
        </w:rPr>
        <w:t>项目资本成本</w:t>
      </w:r>
    </w:p>
    <w:p w14:paraId="6FA24F3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净现值</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时，现值指数</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，内含收益率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项目资本成本</w:t>
      </w:r>
    </w:p>
    <w:p w14:paraId="03A459D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06994EA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甲公司拟就设备处置进行投资决策，该设备于</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年前以</w:t>
      </w:r>
      <w:r>
        <w:rPr>
          <w:rFonts w:hint="eastAsia" w:ascii="宋体" w:hAnsi="宋体" w:eastAsia="宋体" w:cs="宋体"/>
          <w:color w:val="auto"/>
          <w:sz w:val="21"/>
          <w:szCs w:val="21"/>
          <w:lang w:val="en-US" w:eastAsia="zh-CN"/>
        </w:rPr>
        <w:t>30000</w:t>
      </w:r>
      <w:r>
        <w:rPr>
          <w:rFonts w:hint="eastAsia" w:ascii="宋体" w:hAnsi="宋体" w:eastAsia="宋体" w:cs="宋体"/>
          <w:color w:val="auto"/>
          <w:sz w:val="21"/>
          <w:szCs w:val="21"/>
        </w:rPr>
        <w:t>元购入，折旧年限为</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年，按直线法计提折旧，预计残值率为</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。目前可以按</w:t>
      </w:r>
      <w:r>
        <w:rPr>
          <w:rFonts w:hint="eastAsia" w:ascii="宋体" w:hAnsi="宋体" w:eastAsia="宋体" w:cs="宋体"/>
          <w:color w:val="auto"/>
          <w:sz w:val="21"/>
          <w:szCs w:val="21"/>
          <w:lang w:val="en-US" w:eastAsia="zh-CN"/>
        </w:rPr>
        <w:t>8000</w:t>
      </w:r>
      <w:r>
        <w:rPr>
          <w:rFonts w:hint="eastAsia" w:ascii="宋体" w:hAnsi="宋体" w:eastAsia="宋体" w:cs="宋体"/>
          <w:color w:val="auto"/>
          <w:sz w:val="21"/>
          <w:szCs w:val="21"/>
        </w:rPr>
        <w:t>元价格卖出。适用所得税税率为</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，则卖出该设备对甲公司当年现金流量的影响额是（  ）。</w:t>
      </w:r>
    </w:p>
    <w:p w14:paraId="60425C1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增加</w:t>
      </w:r>
      <w:r>
        <w:rPr>
          <w:rFonts w:hint="eastAsia" w:ascii="宋体" w:hAnsi="宋体" w:eastAsia="宋体" w:cs="宋体"/>
          <w:color w:val="auto"/>
          <w:sz w:val="21"/>
          <w:szCs w:val="21"/>
          <w:lang w:val="en-US" w:eastAsia="zh-CN"/>
        </w:rPr>
        <w:t>1225</w:t>
      </w:r>
      <w:r>
        <w:rPr>
          <w:rFonts w:hint="eastAsia" w:ascii="宋体" w:hAnsi="宋体" w:eastAsia="宋体" w:cs="宋体"/>
          <w:color w:val="auto"/>
          <w:sz w:val="21"/>
          <w:szCs w:val="21"/>
        </w:rPr>
        <w:t>元</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w:t>
      </w:r>
    </w:p>
    <w:p w14:paraId="6F98AF3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增加</w:t>
      </w:r>
      <w:r>
        <w:rPr>
          <w:rFonts w:hint="eastAsia" w:ascii="宋体" w:hAnsi="宋体" w:eastAsia="宋体" w:cs="宋体"/>
          <w:color w:val="auto"/>
          <w:sz w:val="21"/>
          <w:szCs w:val="21"/>
          <w:lang w:val="en-US" w:eastAsia="zh-CN"/>
        </w:rPr>
        <w:t>6775</w:t>
      </w:r>
      <w:r>
        <w:rPr>
          <w:rFonts w:hint="eastAsia" w:ascii="宋体" w:hAnsi="宋体" w:eastAsia="宋体" w:cs="宋体"/>
          <w:color w:val="auto"/>
          <w:sz w:val="21"/>
          <w:szCs w:val="21"/>
        </w:rPr>
        <w:t xml:space="preserve">元    </w:t>
      </w:r>
    </w:p>
    <w:p w14:paraId="6B2BC7B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增加</w:t>
      </w:r>
      <w:r>
        <w:rPr>
          <w:rFonts w:hint="eastAsia" w:ascii="宋体" w:hAnsi="宋体" w:eastAsia="宋体" w:cs="宋体"/>
          <w:color w:val="auto"/>
          <w:sz w:val="21"/>
          <w:szCs w:val="21"/>
          <w:lang w:val="en-US" w:eastAsia="zh-CN"/>
        </w:rPr>
        <w:t>8000</w:t>
      </w:r>
      <w:r>
        <w:rPr>
          <w:rFonts w:hint="eastAsia" w:ascii="宋体" w:hAnsi="宋体" w:eastAsia="宋体" w:cs="宋体"/>
          <w:color w:val="auto"/>
          <w:sz w:val="21"/>
          <w:szCs w:val="21"/>
        </w:rPr>
        <w:t xml:space="preserve">元    </w:t>
      </w:r>
      <w:r>
        <w:rPr>
          <w:rFonts w:hint="eastAsia" w:ascii="宋体" w:hAnsi="宋体" w:eastAsia="宋体" w:cs="宋体"/>
          <w:color w:val="auto"/>
          <w:sz w:val="21"/>
          <w:szCs w:val="21"/>
        </w:rPr>
        <w:tab/>
      </w:r>
    </w:p>
    <w:p w14:paraId="17F384F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增加</w:t>
      </w:r>
      <w:r>
        <w:rPr>
          <w:rFonts w:hint="eastAsia" w:ascii="宋体" w:hAnsi="宋体" w:eastAsia="宋体" w:cs="宋体"/>
          <w:color w:val="auto"/>
          <w:sz w:val="21"/>
          <w:szCs w:val="21"/>
          <w:lang w:val="en-US" w:eastAsia="zh-CN"/>
        </w:rPr>
        <w:t>9225</w:t>
      </w:r>
      <w:r>
        <w:rPr>
          <w:rFonts w:hint="eastAsia" w:ascii="宋体" w:hAnsi="宋体" w:eastAsia="宋体" w:cs="宋体"/>
          <w:color w:val="auto"/>
          <w:sz w:val="21"/>
          <w:szCs w:val="21"/>
        </w:rPr>
        <w:t>元</w:t>
      </w:r>
    </w:p>
    <w:p w14:paraId="1DF6EB1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022D97F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年折旧额＝</w:t>
      </w:r>
      <w:r>
        <w:rPr>
          <w:rFonts w:hint="eastAsia" w:ascii="宋体" w:hAnsi="宋体" w:eastAsia="宋体" w:cs="宋体"/>
          <w:color w:val="auto"/>
          <w:sz w:val="21"/>
          <w:szCs w:val="21"/>
          <w:lang w:val="en-US" w:eastAsia="zh-CN"/>
        </w:rPr>
        <w:t>30000×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2850</w:t>
      </w:r>
      <w:r>
        <w:rPr>
          <w:rFonts w:hint="eastAsia" w:ascii="宋体" w:hAnsi="宋体" w:eastAsia="宋体" w:cs="宋体"/>
          <w:color w:val="auto"/>
          <w:sz w:val="21"/>
          <w:szCs w:val="21"/>
        </w:rPr>
        <w:t>（元），账面价值＝</w:t>
      </w:r>
      <w:r>
        <w:rPr>
          <w:rFonts w:hint="eastAsia" w:ascii="宋体" w:hAnsi="宋体" w:eastAsia="宋体" w:cs="宋体"/>
          <w:color w:val="auto"/>
          <w:sz w:val="21"/>
          <w:szCs w:val="21"/>
          <w:lang w:val="en-US" w:eastAsia="zh-CN"/>
        </w:rPr>
        <w:t>30000-2850×6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12900</w:t>
      </w:r>
      <w:r>
        <w:rPr>
          <w:rFonts w:hint="eastAsia" w:ascii="宋体" w:hAnsi="宋体" w:eastAsia="宋体" w:cs="宋体"/>
          <w:color w:val="auto"/>
          <w:sz w:val="21"/>
          <w:szCs w:val="21"/>
        </w:rPr>
        <w:t>（元），变现损失＝</w:t>
      </w:r>
      <w:r>
        <w:rPr>
          <w:rFonts w:hint="eastAsia" w:ascii="宋体" w:hAnsi="宋体" w:eastAsia="宋体" w:cs="宋体"/>
          <w:color w:val="auto"/>
          <w:sz w:val="21"/>
          <w:szCs w:val="21"/>
          <w:lang w:val="en-US" w:eastAsia="zh-CN"/>
        </w:rPr>
        <w:t>12900-8000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4900</w:t>
      </w:r>
      <w:r>
        <w:rPr>
          <w:rFonts w:hint="eastAsia" w:ascii="宋体" w:hAnsi="宋体" w:eastAsia="宋体" w:cs="宋体"/>
          <w:color w:val="auto"/>
          <w:sz w:val="21"/>
          <w:szCs w:val="21"/>
        </w:rPr>
        <w:t>（元），对现金流量的影响额＝</w:t>
      </w:r>
      <w:r>
        <w:rPr>
          <w:rFonts w:hint="eastAsia" w:ascii="宋体" w:hAnsi="宋体" w:eastAsia="宋体" w:cs="宋体"/>
          <w:color w:val="auto"/>
          <w:sz w:val="21"/>
          <w:szCs w:val="21"/>
          <w:lang w:val="en-US" w:eastAsia="zh-CN"/>
        </w:rPr>
        <w:t>8000+4900×25%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9225</w:t>
      </w:r>
      <w:r>
        <w:rPr>
          <w:rFonts w:hint="eastAsia" w:ascii="宋体" w:hAnsi="宋体" w:eastAsia="宋体" w:cs="宋体"/>
          <w:color w:val="auto"/>
          <w:sz w:val="21"/>
          <w:szCs w:val="21"/>
        </w:rPr>
        <w:t>（元）。故选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4D99236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2EE90C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某项目投资</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万元，使用寿命</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年，已知该项目的第</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年经营净现金流量为</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万元，期满处置固定资产残值收入及回收流动资金共</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万元，则该投资项目第</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年的净现金流量为（  ）万元。</w:t>
      </w:r>
    </w:p>
    <w:p w14:paraId="7F883BA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A.8</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p>
    <w:p w14:paraId="1D3F763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B.25       </w:t>
      </w:r>
    </w:p>
    <w:p w14:paraId="6A9071C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C.33</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p>
    <w:p w14:paraId="7D9A5A2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D.43</w:t>
      </w:r>
    </w:p>
    <w:p w14:paraId="52C08B1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0031647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该投资项目第</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年的净现金流量＝</w:t>
      </w:r>
      <w:r>
        <w:rPr>
          <w:rFonts w:hint="eastAsia" w:ascii="宋体" w:hAnsi="宋体" w:eastAsia="宋体" w:cs="宋体"/>
          <w:color w:val="auto"/>
          <w:sz w:val="21"/>
          <w:szCs w:val="21"/>
          <w:lang w:val="en-US" w:eastAsia="zh-CN"/>
        </w:rPr>
        <w:t>25+8</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33</w:t>
      </w:r>
      <w:r>
        <w:rPr>
          <w:rFonts w:hint="eastAsia" w:ascii="宋体" w:hAnsi="宋体" w:eastAsia="宋体" w:cs="宋体"/>
          <w:color w:val="auto"/>
          <w:sz w:val="21"/>
          <w:szCs w:val="21"/>
        </w:rPr>
        <w:t>（万元）。故选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304110A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519DCC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一个投资方案年销售收入是</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万元，年销售成本是</w:t>
      </w:r>
      <w:r>
        <w:rPr>
          <w:rFonts w:hint="eastAsia" w:ascii="宋体" w:hAnsi="宋体" w:eastAsia="宋体" w:cs="宋体"/>
          <w:color w:val="auto"/>
          <w:sz w:val="21"/>
          <w:szCs w:val="21"/>
          <w:lang w:val="en-US" w:eastAsia="zh-CN"/>
        </w:rPr>
        <w:t>180</w:t>
      </w:r>
      <w:r>
        <w:rPr>
          <w:rFonts w:hint="eastAsia" w:ascii="宋体" w:hAnsi="宋体" w:eastAsia="宋体" w:cs="宋体"/>
          <w:color w:val="auto"/>
          <w:sz w:val="21"/>
          <w:szCs w:val="21"/>
        </w:rPr>
        <w:t>万元，其中折旧</w:t>
      </w:r>
      <w:r>
        <w:rPr>
          <w:rFonts w:hint="eastAsia" w:ascii="宋体" w:hAnsi="宋体" w:eastAsia="宋体" w:cs="宋体"/>
          <w:color w:val="auto"/>
          <w:sz w:val="21"/>
          <w:szCs w:val="21"/>
          <w:lang w:val="en-US" w:eastAsia="zh-CN"/>
        </w:rPr>
        <w:t>85</w:t>
      </w:r>
      <w:r>
        <w:rPr>
          <w:rFonts w:hint="eastAsia" w:ascii="宋体" w:hAnsi="宋体" w:eastAsia="宋体" w:cs="宋体"/>
          <w:color w:val="auto"/>
          <w:sz w:val="21"/>
          <w:szCs w:val="21"/>
        </w:rPr>
        <w:t>万元，所得税税率</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，该方案营业现金流量为（  ）万元。</w:t>
      </w:r>
    </w:p>
    <w:p w14:paraId="69457BB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A.120       </w:t>
      </w:r>
      <w:r>
        <w:rPr>
          <w:rFonts w:hint="eastAsia" w:ascii="宋体" w:hAnsi="宋体" w:eastAsia="宋体" w:cs="宋体"/>
          <w:color w:val="auto"/>
          <w:sz w:val="21"/>
          <w:szCs w:val="21"/>
          <w:lang w:val="en-US" w:eastAsia="zh-CN"/>
        </w:rPr>
        <w:tab/>
      </w:r>
    </w:p>
    <w:p w14:paraId="67D2727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B.205     </w:t>
      </w:r>
    </w:p>
    <w:p w14:paraId="20E7E6B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C.183.75</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p>
    <w:p w14:paraId="2D14A23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D.175</w:t>
      </w:r>
    </w:p>
    <w:p w14:paraId="087AEA1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2829D18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该方案营业现金流量＝</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180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180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×25%+85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175</w:t>
      </w:r>
      <w:r>
        <w:rPr>
          <w:rFonts w:hint="eastAsia" w:ascii="宋体" w:hAnsi="宋体" w:eastAsia="宋体" w:cs="宋体"/>
          <w:color w:val="auto"/>
          <w:sz w:val="21"/>
          <w:szCs w:val="21"/>
        </w:rPr>
        <w:t>（万元）。故选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525CEB4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66C77F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下列各项中，会随着贴现率的下降而上升的指标有（  ）</w:t>
      </w:r>
    </w:p>
    <w:p w14:paraId="4BDA977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动态回收期</w:t>
      </w:r>
    </w:p>
    <w:p w14:paraId="54B954B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净现值</w:t>
      </w:r>
    </w:p>
    <w:p w14:paraId="6AF8568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内含收益率        </w:t>
      </w:r>
    </w:p>
    <w:p w14:paraId="55F34EE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现值指数</w:t>
      </w:r>
    </w:p>
    <w:p w14:paraId="2DA59AC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BD</w:t>
      </w:r>
    </w:p>
    <w:p w14:paraId="22A6A58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净现值和现值指数的指标大小与贴现率的变动方向相反，选项</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正确；动态回收期的指标大小与贴现率的变动方向相同，所以贴现率下降，动态回收期也变小，选项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错误；内含收益率不受贴现率的影响，选项</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错误。</w:t>
      </w:r>
    </w:p>
    <w:p w14:paraId="637F4D2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6FFB36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某投资项目只有第一年年初产生现金净流出，随后各年均产生现金净流入，且其动态回收期短于项目的寿命期，则该投资项目的净现值（  ）。</w:t>
      </w:r>
    </w:p>
    <w:p w14:paraId="31A673A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大于</w:t>
      </w:r>
      <w:r>
        <w:rPr>
          <w:rFonts w:hint="eastAsia" w:ascii="宋体" w:hAnsi="宋体" w:eastAsia="宋体" w:cs="宋体"/>
          <w:color w:val="auto"/>
          <w:sz w:val="21"/>
          <w:szCs w:val="21"/>
          <w:lang w:val="en-US" w:eastAsia="zh-CN"/>
        </w:rPr>
        <w:t>0       B.</w:t>
      </w:r>
      <w:r>
        <w:rPr>
          <w:rFonts w:hint="eastAsia" w:ascii="宋体" w:hAnsi="宋体" w:eastAsia="宋体" w:cs="宋体"/>
          <w:color w:val="auto"/>
          <w:sz w:val="21"/>
          <w:szCs w:val="21"/>
        </w:rPr>
        <w:t xml:space="preserve">无法判断        </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等于</w:t>
      </w:r>
      <w:r>
        <w:rPr>
          <w:rFonts w:hint="eastAsia" w:ascii="宋体" w:hAnsi="宋体" w:eastAsia="宋体" w:cs="宋体"/>
          <w:color w:val="auto"/>
          <w:sz w:val="21"/>
          <w:szCs w:val="21"/>
          <w:lang w:val="en-US" w:eastAsia="zh-CN"/>
        </w:rPr>
        <w:t>0              D.</w:t>
      </w:r>
      <w:r>
        <w:rPr>
          <w:rFonts w:hint="eastAsia" w:ascii="宋体" w:hAnsi="宋体" w:eastAsia="宋体" w:cs="宋体"/>
          <w:color w:val="auto"/>
          <w:sz w:val="21"/>
          <w:szCs w:val="21"/>
        </w:rPr>
        <w:t>小于</w:t>
      </w:r>
      <w:r>
        <w:rPr>
          <w:rFonts w:hint="eastAsia" w:ascii="宋体" w:hAnsi="宋体" w:eastAsia="宋体" w:cs="宋体"/>
          <w:color w:val="auto"/>
          <w:sz w:val="21"/>
          <w:szCs w:val="21"/>
          <w:lang w:val="en-US" w:eastAsia="zh-CN"/>
        </w:rPr>
        <w:t>0</w:t>
      </w:r>
    </w:p>
    <w:p w14:paraId="1F81D1C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557CE17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动态回收期是未来现金净流量的现值等于原始投资额现值时所经历的时间。本题中动态回收期短于项目的寿命期，所以项目未来现金净流量现值大于项目原始投资额现值。净现值</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未来现金净流量现值</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原始投资额现值，故净现值＞</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w:t>
      </w:r>
    </w:p>
    <w:p w14:paraId="4F65BF4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263B24E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关于项目决策的内含收益率法，下列表述正确的是（  ）</w:t>
      </w:r>
    </w:p>
    <w:p w14:paraId="1A43CCC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项目的内含收益率大于</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，则项目可行</w:t>
      </w:r>
    </w:p>
    <w:p w14:paraId="438732F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内含收益率不能反映投资项目可能达到的收益率</w:t>
      </w:r>
    </w:p>
    <w:p w14:paraId="3E81FCA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内含收益率指标没有考虑资金时间价值因素</w:t>
      </w:r>
    </w:p>
    <w:p w14:paraId="741482A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内含收益率指标有时无法对互斥方案做出正确决策</w:t>
      </w:r>
    </w:p>
    <w:p w14:paraId="3AA88AE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2A0D55E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项目的内含收益率大于或等于必要投资收益率，则项目可行，所以，选项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的说法不正确。内含收益率就是投资项目可能达到的收益率，所以，选项</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的说法不正确。内含收益率是使净现值等于零的贴现率，所以，内含收益率指标考虑了资金时间价值因素，即选项</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的说法不正确。在互斥投资方案决策时，某一方案原始投资额低，净现值小，但内含收益率可能较高；而另一方案原始投资额高，净现值大，但内含收益率可能较低，所以，选项</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的说法正确。</w:t>
      </w:r>
    </w:p>
    <w:p w14:paraId="24FE58A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7A39A39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在对某独立投资项目进行财务评价时，下列各项中，不能据以判断该项目具有财务可行性的是（  ）。</w:t>
      </w:r>
    </w:p>
    <w:p w14:paraId="39F83A9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以必要收益率作为折现率计算的项目现值指数大于</w:t>
      </w:r>
      <w:r>
        <w:rPr>
          <w:rFonts w:hint="eastAsia" w:ascii="宋体" w:hAnsi="宋体" w:eastAsia="宋体" w:cs="宋体"/>
          <w:color w:val="auto"/>
          <w:sz w:val="21"/>
          <w:szCs w:val="21"/>
          <w:lang w:val="en-US" w:eastAsia="zh-CN"/>
        </w:rPr>
        <w:t xml:space="preserve">1 </w:t>
      </w:r>
    </w:p>
    <w:p w14:paraId="2D530A2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以必要收益率作为折现率计算的年金净流量大于</w:t>
      </w:r>
      <w:r>
        <w:rPr>
          <w:rFonts w:hint="eastAsia" w:ascii="宋体" w:hAnsi="宋体" w:eastAsia="宋体" w:cs="宋体"/>
          <w:color w:val="auto"/>
          <w:sz w:val="21"/>
          <w:szCs w:val="21"/>
          <w:lang w:val="en-US" w:eastAsia="zh-CN"/>
        </w:rPr>
        <w:t>0</w:t>
      </w:r>
    </w:p>
    <w:p w14:paraId="4649C9C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项目静态投资回收期小于项目寿命期</w:t>
      </w:r>
    </w:p>
    <w:p w14:paraId="3CBD3DD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以必要收益率作为折现率计算的项目净现值大于</w:t>
      </w:r>
      <w:r>
        <w:rPr>
          <w:rFonts w:hint="eastAsia" w:ascii="宋体" w:hAnsi="宋体" w:eastAsia="宋体" w:cs="宋体"/>
          <w:color w:val="auto"/>
          <w:sz w:val="21"/>
          <w:szCs w:val="21"/>
          <w:lang w:val="en-US" w:eastAsia="zh-CN"/>
        </w:rPr>
        <w:t>0</w:t>
      </w:r>
    </w:p>
    <w:p w14:paraId="729BD62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791A1CF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静态投资回收期没有考虑货币的时间价值。只考虑了未来现金净流量总和中等于原始投资额的部分，没有考虑超过原始投资额的部分，静态回收期只能用来评价方案优劣，不能用来判断项目的财务可行性。</w:t>
      </w:r>
    </w:p>
    <w:p w14:paraId="2EBBC79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6126106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如果某投资项目在建设起点一次性投入资金，随后每年都有正的现金净流量，在采用内含收益率对该项目进行财务可行性评价时，下列说法错误的是（  ）。</w:t>
      </w:r>
    </w:p>
    <w:p w14:paraId="5995D30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如果内含收益率大于折现率，则项目净现值大于</w:t>
      </w:r>
      <w:r>
        <w:rPr>
          <w:rFonts w:hint="eastAsia" w:ascii="宋体" w:hAnsi="宋体" w:eastAsia="宋体" w:cs="宋体"/>
          <w:color w:val="auto"/>
          <w:sz w:val="21"/>
          <w:szCs w:val="21"/>
          <w:lang w:val="en-US" w:eastAsia="zh-CN"/>
        </w:rPr>
        <w:t>1</w:t>
      </w:r>
    </w:p>
    <w:p w14:paraId="20EE53B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如果内含收益率大于折现率，则项目现值指数大于</w:t>
      </w:r>
      <w:r>
        <w:rPr>
          <w:rFonts w:hint="eastAsia" w:ascii="宋体" w:hAnsi="宋体" w:eastAsia="宋体" w:cs="宋体"/>
          <w:color w:val="auto"/>
          <w:sz w:val="21"/>
          <w:szCs w:val="21"/>
          <w:lang w:val="en-US" w:eastAsia="zh-CN"/>
        </w:rPr>
        <w:t>1</w:t>
      </w:r>
    </w:p>
    <w:p w14:paraId="5CF808F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如果内含收益率小于折现率，则项目现值指数小于</w:t>
      </w:r>
      <w:r>
        <w:rPr>
          <w:rFonts w:hint="eastAsia" w:ascii="宋体" w:hAnsi="宋体" w:eastAsia="宋体" w:cs="宋体"/>
          <w:color w:val="auto"/>
          <w:sz w:val="21"/>
          <w:szCs w:val="21"/>
          <w:lang w:val="en-US" w:eastAsia="zh-CN"/>
        </w:rPr>
        <w:t>0</w:t>
      </w:r>
    </w:p>
    <w:p w14:paraId="1A9A1AA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如果内含收益率等于折现率，则项目动态回收期小于项目寿命期</w:t>
      </w:r>
    </w:p>
    <w:p w14:paraId="1BA3EA9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ACD</w:t>
      </w:r>
    </w:p>
    <w:p w14:paraId="70ABE56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内含收益率是使净现值等于零时的贴现率。内含收益率大于项目折现率时，项目净现值大于</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，即未来现金净流量现值</w:t>
      </w:r>
      <w:r>
        <w:rPr>
          <w:rFonts w:hint="eastAsia" w:ascii="宋体" w:hAnsi="宋体" w:eastAsia="宋体" w:cs="宋体"/>
          <w:color w:val="auto"/>
          <w:sz w:val="21"/>
          <w:szCs w:val="21"/>
          <w:lang w:val="en-US" w:eastAsia="zh-CN"/>
        </w:rPr>
        <w:t>&gt;</w:t>
      </w:r>
      <w:r>
        <w:rPr>
          <w:rFonts w:hint="eastAsia" w:ascii="宋体" w:hAnsi="宋体" w:eastAsia="宋体" w:cs="宋体"/>
          <w:color w:val="auto"/>
          <w:sz w:val="21"/>
          <w:szCs w:val="21"/>
        </w:rPr>
        <w:t>原始投资额现值，现值指数</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未来现金净流量现值</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原始投资额现值</w:t>
      </w:r>
      <w:r>
        <w:rPr>
          <w:rFonts w:hint="eastAsia" w:ascii="宋体" w:hAnsi="宋体" w:eastAsia="宋体" w:cs="宋体"/>
          <w:color w:val="auto"/>
          <w:sz w:val="21"/>
          <w:szCs w:val="21"/>
          <w:lang w:val="en-US" w:eastAsia="zh-CN"/>
        </w:rPr>
        <w:t>&gt;1</w:t>
      </w:r>
      <w:r>
        <w:rPr>
          <w:rFonts w:hint="eastAsia" w:ascii="宋体" w:hAnsi="宋体" w:eastAsia="宋体" w:cs="宋体"/>
          <w:color w:val="auto"/>
          <w:sz w:val="21"/>
          <w:szCs w:val="21"/>
        </w:rPr>
        <w:t>。所以</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错误，</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正确，内含收益率小于项目折现率现值指数大于</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，所以</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错误，内含收益率等于项目折现率时，项目动态回收期等于项目寿命期，所以</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错误。</w:t>
      </w:r>
    </w:p>
    <w:p w14:paraId="6C1D0C8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7778252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对项目计算期相同而原始投资不同的两个互斥投资项目进行决策时，适宜单独采用的方法是（  ）。</w:t>
      </w:r>
    </w:p>
    <w:p w14:paraId="432F7EE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回收期法</w:t>
      </w:r>
    </w:p>
    <w:p w14:paraId="0B78A3A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现值指数法</w:t>
      </w:r>
    </w:p>
    <w:p w14:paraId="464550F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内含收益率法</w:t>
      </w:r>
    </w:p>
    <w:p w14:paraId="420BC69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净现值法</w:t>
      </w:r>
    </w:p>
    <w:p w14:paraId="5A0BB9F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25EA9CB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互斥方案决策以方案的获利数额作为评价标准。因此一般采用净现值法和年金净流量法进行选优的决策。但投资项目的寿命期不同时，年金净流量法是互斥方案最恰当的决策方法。</w:t>
      </w:r>
    </w:p>
    <w:p w14:paraId="2EC74D3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6F308F8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项目投资管理决策</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446"/>
        <w:gridCol w:w="8024"/>
      </w:tblGrid>
      <w:tr w14:paraId="209C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68" w:type="pct"/>
            <w:shd w:val="clear" w:color="auto" w:fill="auto"/>
            <w:tcMar>
              <w:top w:w="72" w:type="dxa"/>
              <w:left w:w="108" w:type="dxa"/>
              <w:bottom w:w="72" w:type="dxa"/>
              <w:right w:w="108" w:type="dxa"/>
            </w:tcMar>
            <w:vAlign w:val="top"/>
          </w:tcPr>
          <w:p w14:paraId="2A5419B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独立项目决策</w:t>
            </w:r>
          </w:p>
        </w:tc>
        <w:tc>
          <w:tcPr>
            <w:tcW w:w="3831" w:type="pct"/>
            <w:shd w:val="clear" w:color="auto" w:fill="auto"/>
            <w:tcMar>
              <w:top w:w="72" w:type="dxa"/>
              <w:left w:w="108" w:type="dxa"/>
              <w:bottom w:w="72" w:type="dxa"/>
              <w:right w:w="108" w:type="dxa"/>
            </w:tcMar>
            <w:vAlign w:val="top"/>
          </w:tcPr>
          <w:p w14:paraId="6CA1425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排序分析时，一般采用内含收益率进行比较决策。</w:t>
            </w:r>
          </w:p>
        </w:tc>
      </w:tr>
      <w:tr w14:paraId="2177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68" w:type="pct"/>
            <w:shd w:val="clear" w:color="auto" w:fill="auto"/>
            <w:tcMar>
              <w:top w:w="72" w:type="dxa"/>
              <w:left w:w="108" w:type="dxa"/>
              <w:bottom w:w="72" w:type="dxa"/>
              <w:right w:w="108" w:type="dxa"/>
            </w:tcMar>
            <w:vAlign w:val="top"/>
          </w:tcPr>
          <w:p w14:paraId="5C6AAD3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互斥方案决策</w:t>
            </w:r>
          </w:p>
        </w:tc>
        <w:tc>
          <w:tcPr>
            <w:tcW w:w="3831" w:type="pct"/>
            <w:shd w:val="clear" w:color="auto" w:fill="auto"/>
            <w:tcMar>
              <w:top w:w="72" w:type="dxa"/>
              <w:left w:w="108" w:type="dxa"/>
              <w:bottom w:w="72" w:type="dxa"/>
              <w:right w:w="108" w:type="dxa"/>
            </w:tcMar>
            <w:vAlign w:val="top"/>
          </w:tcPr>
          <w:p w14:paraId="1B22F77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寿命期相等——净现值比较</w:t>
            </w:r>
          </w:p>
          <w:p w14:paraId="18A80D9A">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寿命期不等——年金净流量法和共同年限法</w:t>
            </w:r>
          </w:p>
        </w:tc>
      </w:tr>
    </w:tbl>
    <w:p w14:paraId="024D184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6143A71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对于两个寿命期相同、原始投资额现值不同的互斥投资方案，下列各项中，最为适用的决策指标是（  ）。</w:t>
      </w:r>
    </w:p>
    <w:p w14:paraId="0E0E8FA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内含收益率    </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净现值     </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动态回收期          </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现值指数</w:t>
      </w:r>
    </w:p>
    <w:p w14:paraId="4B35C04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59A9358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在互斥投资方案的决策中，如果两个项目寿命期相同，可以直接采用净现值作为决策指标。如果两个项目寿命期不同，可采用共同年限法或年金净流量法。</w:t>
      </w:r>
    </w:p>
    <w:p w14:paraId="733392E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8E96A3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对于寿命期不同的互斥投资方案，下列各项中，最为适用的决策指标是（  ）。</w:t>
      </w:r>
    </w:p>
    <w:p w14:paraId="314DCD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动态回收期          </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净现值        </w:t>
      </w:r>
    </w:p>
    <w:p w14:paraId="22CD006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内含收益率          </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年金净流量</w:t>
      </w:r>
    </w:p>
    <w:p w14:paraId="16604D0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08D1208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互斥决策以方案的获利数额作为评价标准，一般采用净现值法和年金净流量法进行选优决策。净现值指标受投资项目寿命期的影响，在项目寿命期不同的情况下，年金净流量是最为适用的决策指标。</w:t>
      </w:r>
    </w:p>
    <w:p w14:paraId="3A9A056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3730A8D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有甲、乙两个互斥方案，甲的寿命期为</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年，年金净流量为</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万，甲方案要求的必要报酬率为</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，乙的寿命期为</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年，年金净流量为</w:t>
      </w:r>
      <w:r>
        <w:rPr>
          <w:rFonts w:hint="eastAsia" w:ascii="宋体" w:hAnsi="宋体" w:eastAsia="宋体" w:cs="宋体"/>
          <w:color w:val="auto"/>
          <w:sz w:val="21"/>
          <w:szCs w:val="21"/>
          <w:lang w:val="en-US" w:eastAsia="zh-CN"/>
        </w:rPr>
        <w:t>80</w:t>
      </w:r>
      <w:r>
        <w:rPr>
          <w:rFonts w:hint="eastAsia" w:ascii="宋体" w:hAnsi="宋体" w:eastAsia="宋体" w:cs="宋体"/>
          <w:color w:val="auto"/>
          <w:sz w:val="21"/>
          <w:szCs w:val="21"/>
        </w:rPr>
        <w:t>万元，乙方案投资人要求的必要报酬率为</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，则下列表述正确的是（  ）</w:t>
      </w:r>
    </w:p>
    <w:p w14:paraId="0469CC6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甲方案较优                             </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乙方案较优</w:t>
      </w:r>
    </w:p>
    <w:p w14:paraId="27A2263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甲方案与乙方案无差别          </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资本成本不同无法比较</w:t>
      </w:r>
    </w:p>
    <w:p w14:paraId="4F6DE97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0A2B6F5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由于资本成本不同，需要比较永续净现值。甲的永续净现值</w:t>
      </w:r>
      <w:r>
        <w:rPr>
          <w:rFonts w:hint="eastAsia" w:ascii="宋体" w:hAnsi="宋体" w:eastAsia="宋体" w:cs="宋体"/>
          <w:color w:val="auto"/>
          <w:sz w:val="21"/>
          <w:szCs w:val="21"/>
          <w:lang w:val="en-US" w:eastAsia="zh-CN"/>
        </w:rPr>
        <w:t>=100/10%=1000</w:t>
      </w:r>
      <w:r>
        <w:rPr>
          <w:rFonts w:hint="eastAsia" w:ascii="宋体" w:hAnsi="宋体" w:eastAsia="宋体" w:cs="宋体"/>
          <w:color w:val="auto"/>
          <w:sz w:val="21"/>
          <w:szCs w:val="21"/>
        </w:rPr>
        <w:t>万元；乙的永续净现值</w:t>
      </w:r>
      <w:r>
        <w:rPr>
          <w:rFonts w:hint="eastAsia" w:ascii="宋体" w:hAnsi="宋体" w:eastAsia="宋体" w:cs="宋体"/>
          <w:color w:val="auto"/>
          <w:sz w:val="21"/>
          <w:szCs w:val="21"/>
          <w:lang w:val="en-US" w:eastAsia="zh-CN"/>
        </w:rPr>
        <w:t>=80/7%=1142.86</w:t>
      </w:r>
      <w:r>
        <w:rPr>
          <w:rFonts w:hint="eastAsia" w:ascii="宋体" w:hAnsi="宋体" w:eastAsia="宋体" w:cs="宋体"/>
          <w:color w:val="auto"/>
          <w:sz w:val="21"/>
          <w:szCs w:val="21"/>
        </w:rPr>
        <w:t>万元，乙方案较优。</w:t>
      </w:r>
    </w:p>
    <w:p w14:paraId="1A8522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F9B50B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pict>
          <v:shape id="_x0000_s1034" o:spid="_x0000_s1034" o:spt="75" type="#_x0000_t75" style="position:absolute;left:0pt;margin-left:127.7pt;margin-top:1.1pt;height:232.3pt;width:243.2pt;mso-wrap-distance-left:9pt;mso-wrap-distance-right:9pt;z-index:-251649024;mso-width-relative:page;mso-height-relative:page;" filled="f" o:preferrelative="t" stroked="f" coordsize="21600,21600" wrapcoords="21592 -2 0 0 0 21600 21592 21602 8 21602 21600 21600 21600 0 8 -2 21592 -2">
            <v:path/>
            <v:fill on="f" focussize="0,0"/>
            <v:stroke on="f"/>
            <v:imagedata r:id="rId15" o:title=""/>
            <o:lock v:ext="edit" aspectratio="t"/>
            <w10:wrap type="tight"/>
          </v:shape>
        </w:pict>
      </w:r>
    </w:p>
    <w:p w14:paraId="20ADFAD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5B9F35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52227F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2ED0AD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128882F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74E06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AF7F77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54FA43E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BBA188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052E2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3B78E0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423F95A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E6A657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甲公司的经营杠杆系数为</w:t>
      </w:r>
      <w:r>
        <w:rPr>
          <w:rFonts w:hint="eastAsia" w:ascii="宋体" w:hAnsi="宋体" w:eastAsia="宋体" w:cs="宋体"/>
          <w:b w:val="0"/>
          <w:bCs/>
          <w:color w:val="000000" w:themeColor="text1"/>
          <w:sz w:val="21"/>
          <w:szCs w:val="21"/>
          <w:lang w:val="en-US" w:eastAsia="zh-CN"/>
        </w:rPr>
        <w:t>1.5</w:t>
      </w:r>
      <w:r>
        <w:rPr>
          <w:rFonts w:hint="eastAsia" w:ascii="宋体" w:hAnsi="宋体" w:eastAsia="宋体" w:cs="宋体"/>
          <w:b w:val="0"/>
          <w:bCs/>
          <w:color w:val="000000" w:themeColor="text1"/>
          <w:sz w:val="21"/>
          <w:szCs w:val="21"/>
        </w:rPr>
        <w:t>，财务杠杆系数为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。如果该公司销售额增长</w:t>
      </w:r>
      <w:r>
        <w:rPr>
          <w:rFonts w:hint="eastAsia" w:ascii="宋体" w:hAnsi="宋体" w:eastAsia="宋体" w:cs="宋体"/>
          <w:b w:val="0"/>
          <w:bCs/>
          <w:color w:val="000000" w:themeColor="text1"/>
          <w:sz w:val="21"/>
          <w:szCs w:val="21"/>
          <w:lang w:val="en-US" w:eastAsia="zh-CN"/>
        </w:rPr>
        <w:t>80%</w:t>
      </w:r>
      <w:r>
        <w:rPr>
          <w:rFonts w:hint="eastAsia" w:ascii="宋体" w:hAnsi="宋体" w:eastAsia="宋体" w:cs="宋体"/>
          <w:b w:val="0"/>
          <w:bCs/>
          <w:color w:val="000000" w:themeColor="text1"/>
          <w:sz w:val="21"/>
          <w:szCs w:val="21"/>
        </w:rPr>
        <w:t>，每股收益增长（  ）。</w:t>
      </w:r>
    </w:p>
    <w:p w14:paraId="4CAAD2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A.120%           B.160%       </w:t>
      </w:r>
    </w:p>
    <w:p w14:paraId="67BDE60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C.240%           D.280%</w:t>
      </w:r>
    </w:p>
    <w:p w14:paraId="0DB060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6021E41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联合杠杆系数</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每股收益变化的百分比</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营业收入变化的百分比</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经营杠杆系数</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财务杠杆系数</w:t>
      </w:r>
      <w:r>
        <w:rPr>
          <w:rFonts w:hint="eastAsia" w:ascii="宋体" w:hAnsi="宋体" w:eastAsia="宋体" w:cs="宋体"/>
          <w:b w:val="0"/>
          <w:bCs/>
          <w:color w:val="000000" w:themeColor="text1"/>
          <w:sz w:val="21"/>
          <w:szCs w:val="21"/>
          <w:lang w:val="en-US" w:eastAsia="zh-CN"/>
        </w:rPr>
        <w:t>=1.5×2=3</w:t>
      </w:r>
      <w:r>
        <w:rPr>
          <w:rFonts w:hint="eastAsia" w:ascii="宋体" w:hAnsi="宋体" w:eastAsia="宋体" w:cs="宋体"/>
          <w:b w:val="0"/>
          <w:bCs/>
          <w:color w:val="000000" w:themeColor="text1"/>
          <w:sz w:val="21"/>
          <w:szCs w:val="21"/>
        </w:rPr>
        <w:t>。所以，每股收益变化的百分比</w:t>
      </w:r>
      <w:r>
        <w:rPr>
          <w:rFonts w:hint="eastAsia" w:ascii="宋体" w:hAnsi="宋体" w:eastAsia="宋体" w:cs="宋体"/>
          <w:b w:val="0"/>
          <w:bCs/>
          <w:color w:val="000000" w:themeColor="text1"/>
          <w:sz w:val="21"/>
          <w:szCs w:val="21"/>
          <w:lang w:val="en-US" w:eastAsia="zh-CN"/>
        </w:rPr>
        <w:t>=3×80%=240%</w:t>
      </w:r>
    </w:p>
    <w:p w14:paraId="392331B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p>
    <w:p w14:paraId="7774B5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某公司基期有关数据如下：销售额为</w:t>
      </w:r>
      <w:r>
        <w:rPr>
          <w:rFonts w:hint="eastAsia" w:ascii="宋体" w:hAnsi="宋体" w:eastAsia="宋体" w:cs="宋体"/>
          <w:b w:val="0"/>
          <w:bCs/>
          <w:color w:val="000000" w:themeColor="text1"/>
          <w:sz w:val="21"/>
          <w:szCs w:val="21"/>
          <w:lang w:val="en-US" w:eastAsia="zh-CN"/>
        </w:rPr>
        <w:t>100</w:t>
      </w:r>
      <w:r>
        <w:rPr>
          <w:rFonts w:hint="eastAsia" w:ascii="宋体" w:hAnsi="宋体" w:eastAsia="宋体" w:cs="宋体"/>
          <w:b w:val="0"/>
          <w:bCs/>
          <w:color w:val="000000" w:themeColor="text1"/>
          <w:sz w:val="21"/>
          <w:szCs w:val="21"/>
        </w:rPr>
        <w:t>万元，变动成本率为</w:t>
      </w:r>
      <w:r>
        <w:rPr>
          <w:rFonts w:hint="eastAsia" w:ascii="宋体" w:hAnsi="宋体" w:eastAsia="宋体" w:cs="宋体"/>
          <w:b w:val="0"/>
          <w:bCs/>
          <w:color w:val="000000" w:themeColor="text1"/>
          <w:sz w:val="21"/>
          <w:szCs w:val="21"/>
          <w:lang w:val="en-US" w:eastAsia="zh-CN"/>
        </w:rPr>
        <w:t>60%</w:t>
      </w:r>
      <w:r>
        <w:rPr>
          <w:rFonts w:hint="eastAsia" w:ascii="宋体" w:hAnsi="宋体" w:eastAsia="宋体" w:cs="宋体"/>
          <w:b w:val="0"/>
          <w:bCs/>
          <w:color w:val="000000" w:themeColor="text1"/>
          <w:sz w:val="21"/>
          <w:szCs w:val="21"/>
        </w:rPr>
        <w:t>，固定成本总额为</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万元，利息费用为</w:t>
      </w:r>
      <w:r>
        <w:rPr>
          <w:rFonts w:hint="eastAsia" w:ascii="宋体" w:hAnsi="宋体" w:eastAsia="宋体" w:cs="宋体"/>
          <w:b w:val="0"/>
          <w:bCs/>
          <w:color w:val="000000" w:themeColor="text1"/>
          <w:sz w:val="21"/>
          <w:szCs w:val="21"/>
          <w:lang w:val="en-US" w:eastAsia="zh-CN"/>
        </w:rPr>
        <w:t>4</w:t>
      </w:r>
      <w:r>
        <w:rPr>
          <w:rFonts w:hint="eastAsia" w:ascii="宋体" w:hAnsi="宋体" w:eastAsia="宋体" w:cs="宋体"/>
          <w:b w:val="0"/>
          <w:bCs/>
          <w:color w:val="000000" w:themeColor="text1"/>
          <w:sz w:val="21"/>
          <w:szCs w:val="21"/>
        </w:rPr>
        <w:t>万元，不考虑其他因素，该公司的总杠杆系数为（  ）。</w:t>
      </w:r>
    </w:p>
    <w:p w14:paraId="5775BF5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 xml:space="preserve">A.1.25               </w:t>
      </w:r>
      <w:r>
        <w:rPr>
          <w:rFonts w:hint="eastAsia" w:ascii="宋体" w:hAnsi="宋体" w:cs="宋体"/>
          <w:b w:val="0"/>
          <w:bCs/>
          <w:color w:val="000000" w:themeColor="text1"/>
          <w:sz w:val="21"/>
          <w:szCs w:val="21"/>
          <w:lang w:val="en-US" w:eastAsia="zh-CN"/>
        </w:rPr>
        <w:t xml:space="preserve">  </w:t>
      </w:r>
      <w:r>
        <w:rPr>
          <w:rFonts w:hint="eastAsia" w:ascii="宋体" w:hAnsi="宋体" w:eastAsia="宋体" w:cs="宋体"/>
          <w:b w:val="0"/>
          <w:bCs/>
          <w:color w:val="000000" w:themeColor="text1"/>
          <w:sz w:val="21"/>
          <w:szCs w:val="21"/>
          <w:lang w:val="en-US" w:eastAsia="zh-CN"/>
        </w:rPr>
        <w:t xml:space="preserve"> B.2         </w:t>
      </w:r>
    </w:p>
    <w:p w14:paraId="50262EA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C.2.5                   D.3.25</w:t>
      </w:r>
    </w:p>
    <w:p w14:paraId="7BF1C32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205EB8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该公司的总杠杆系数</w:t>
      </w:r>
      <w:r>
        <w:rPr>
          <w:rFonts w:hint="eastAsia" w:ascii="宋体" w:hAnsi="宋体" w:eastAsia="宋体" w:cs="宋体"/>
          <w:b w:val="0"/>
          <w:bCs/>
          <w:color w:val="000000" w:themeColor="text1"/>
          <w:sz w:val="21"/>
          <w:szCs w:val="21"/>
          <w:lang w:val="en-US" w:eastAsia="zh-CN"/>
        </w:rPr>
        <w:t>=100×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-20-4]=2.5</w:t>
      </w:r>
      <w:r>
        <w:rPr>
          <w:rFonts w:hint="eastAsia" w:ascii="宋体" w:hAnsi="宋体" w:eastAsia="宋体" w:cs="宋体"/>
          <w:b w:val="0"/>
          <w:bCs/>
          <w:color w:val="000000" w:themeColor="text1"/>
          <w:sz w:val="21"/>
          <w:szCs w:val="21"/>
        </w:rPr>
        <w:t>。</w:t>
      </w:r>
    </w:p>
    <w:p w14:paraId="0AA33C4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345D940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甲公司是一家制造业股份有限公司，生产销售一种产品，产销平衡。</w:t>
      </w:r>
      <w:r>
        <w:rPr>
          <w:rFonts w:hint="eastAsia" w:ascii="宋体" w:hAnsi="宋体" w:eastAsia="宋体" w:cs="宋体"/>
          <w:b w:val="0"/>
          <w:bCs/>
          <w:color w:val="000000" w:themeColor="text1"/>
          <w:sz w:val="21"/>
          <w:szCs w:val="21"/>
          <w:lang w:val="en-US" w:eastAsia="zh-CN"/>
        </w:rPr>
        <w:t>2020</w:t>
      </w:r>
      <w:r>
        <w:rPr>
          <w:rFonts w:hint="eastAsia" w:ascii="宋体" w:hAnsi="宋体" w:eastAsia="宋体" w:cs="宋体"/>
          <w:b w:val="0"/>
          <w:bCs/>
          <w:color w:val="000000" w:themeColor="text1"/>
          <w:sz w:val="21"/>
          <w:szCs w:val="21"/>
        </w:rPr>
        <w:t>年度销售量为</w:t>
      </w:r>
      <w:r>
        <w:rPr>
          <w:rFonts w:hint="eastAsia" w:ascii="宋体" w:hAnsi="宋体" w:eastAsia="宋体" w:cs="宋体"/>
          <w:b w:val="0"/>
          <w:bCs/>
          <w:color w:val="000000" w:themeColor="text1"/>
          <w:sz w:val="21"/>
          <w:szCs w:val="21"/>
          <w:lang w:val="en-US" w:eastAsia="zh-CN"/>
        </w:rPr>
        <w:t>100000</w:t>
      </w:r>
      <w:r>
        <w:rPr>
          <w:rFonts w:hint="eastAsia" w:ascii="宋体" w:hAnsi="宋体" w:eastAsia="宋体" w:cs="宋体"/>
          <w:b w:val="0"/>
          <w:bCs/>
          <w:color w:val="000000" w:themeColor="text1"/>
          <w:sz w:val="21"/>
          <w:szCs w:val="21"/>
        </w:rPr>
        <w:t>件，单价为</w:t>
      </w:r>
      <w:r>
        <w:rPr>
          <w:rFonts w:hint="eastAsia" w:ascii="宋体" w:hAnsi="宋体" w:eastAsia="宋体" w:cs="宋体"/>
          <w:b w:val="0"/>
          <w:bCs/>
          <w:color w:val="000000" w:themeColor="text1"/>
          <w:sz w:val="21"/>
          <w:szCs w:val="21"/>
          <w:lang w:val="en-US" w:eastAsia="zh-CN"/>
        </w:rPr>
        <w:t>0.9</w:t>
      </w:r>
      <w:r>
        <w:rPr>
          <w:rFonts w:hint="eastAsia" w:ascii="宋体" w:hAnsi="宋体" w:eastAsia="宋体" w:cs="宋体"/>
          <w:b w:val="0"/>
          <w:bCs/>
          <w:color w:val="000000" w:themeColor="text1"/>
          <w:sz w:val="21"/>
          <w:szCs w:val="21"/>
        </w:rPr>
        <w:t>万元</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件，单位变动成本为</w:t>
      </w:r>
      <w:r>
        <w:rPr>
          <w:rFonts w:hint="eastAsia" w:ascii="宋体" w:hAnsi="宋体" w:eastAsia="宋体" w:cs="宋体"/>
          <w:b w:val="0"/>
          <w:bCs/>
          <w:color w:val="000000" w:themeColor="text1"/>
          <w:sz w:val="21"/>
          <w:szCs w:val="21"/>
          <w:lang w:val="en-US" w:eastAsia="zh-CN"/>
        </w:rPr>
        <w:t>0.5</w:t>
      </w:r>
      <w:r>
        <w:rPr>
          <w:rFonts w:hint="eastAsia" w:ascii="宋体" w:hAnsi="宋体" w:eastAsia="宋体" w:cs="宋体"/>
          <w:b w:val="0"/>
          <w:bCs/>
          <w:color w:val="000000" w:themeColor="text1"/>
          <w:sz w:val="21"/>
          <w:szCs w:val="21"/>
        </w:rPr>
        <w:t>万元</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件，固定成本总额为</w:t>
      </w:r>
      <w:r>
        <w:rPr>
          <w:rFonts w:hint="eastAsia" w:ascii="宋体" w:hAnsi="宋体" w:eastAsia="宋体" w:cs="宋体"/>
          <w:b w:val="0"/>
          <w:bCs/>
          <w:color w:val="000000" w:themeColor="text1"/>
          <w:sz w:val="21"/>
          <w:szCs w:val="21"/>
          <w:lang w:val="en-US" w:eastAsia="zh-CN"/>
        </w:rPr>
        <w:t>30000</w:t>
      </w:r>
      <w:r>
        <w:rPr>
          <w:rFonts w:hint="eastAsia" w:ascii="宋体" w:hAnsi="宋体" w:eastAsia="宋体" w:cs="宋体"/>
          <w:b w:val="0"/>
          <w:bCs/>
          <w:color w:val="000000" w:themeColor="text1"/>
          <w:sz w:val="21"/>
          <w:szCs w:val="21"/>
        </w:rPr>
        <w:t>万元。</w:t>
      </w:r>
      <w:r>
        <w:rPr>
          <w:rFonts w:hint="eastAsia" w:ascii="宋体" w:hAnsi="宋体" w:eastAsia="宋体" w:cs="宋体"/>
          <w:b w:val="0"/>
          <w:bCs/>
          <w:color w:val="000000" w:themeColor="text1"/>
          <w:sz w:val="21"/>
          <w:szCs w:val="21"/>
          <w:lang w:val="en-US" w:eastAsia="zh-CN"/>
        </w:rPr>
        <w:t>2020</w:t>
      </w:r>
      <w:r>
        <w:rPr>
          <w:rFonts w:hint="eastAsia" w:ascii="宋体" w:hAnsi="宋体" w:eastAsia="宋体" w:cs="宋体"/>
          <w:b w:val="0"/>
          <w:bCs/>
          <w:color w:val="000000" w:themeColor="text1"/>
          <w:sz w:val="21"/>
          <w:szCs w:val="21"/>
        </w:rPr>
        <w:t>年度的利息费用为</w:t>
      </w:r>
      <w:r>
        <w:rPr>
          <w:rFonts w:hint="eastAsia" w:ascii="宋体" w:hAnsi="宋体" w:eastAsia="宋体" w:cs="宋体"/>
          <w:b w:val="0"/>
          <w:bCs/>
          <w:color w:val="000000" w:themeColor="text1"/>
          <w:sz w:val="21"/>
          <w:szCs w:val="21"/>
          <w:lang w:val="en-US" w:eastAsia="zh-CN"/>
        </w:rPr>
        <w:t>2000</w:t>
      </w:r>
      <w:r>
        <w:rPr>
          <w:rFonts w:hint="eastAsia" w:ascii="宋体" w:hAnsi="宋体" w:eastAsia="宋体" w:cs="宋体"/>
          <w:b w:val="0"/>
          <w:bCs/>
          <w:color w:val="000000" w:themeColor="text1"/>
          <w:sz w:val="21"/>
          <w:szCs w:val="21"/>
        </w:rPr>
        <w:t>万元。公司预计</w:t>
      </w:r>
      <w:r>
        <w:rPr>
          <w:rFonts w:hint="eastAsia" w:ascii="宋体" w:hAnsi="宋体" w:eastAsia="宋体" w:cs="宋体"/>
          <w:b w:val="0"/>
          <w:bCs/>
          <w:color w:val="000000" w:themeColor="text1"/>
          <w:sz w:val="21"/>
          <w:szCs w:val="21"/>
          <w:lang w:val="en-US" w:eastAsia="zh-CN"/>
        </w:rPr>
        <w:t>2021</w:t>
      </w:r>
      <w:r>
        <w:rPr>
          <w:rFonts w:hint="eastAsia" w:ascii="宋体" w:hAnsi="宋体" w:eastAsia="宋体" w:cs="宋体"/>
          <w:b w:val="0"/>
          <w:bCs/>
          <w:color w:val="000000" w:themeColor="text1"/>
          <w:sz w:val="21"/>
          <w:szCs w:val="21"/>
        </w:rPr>
        <w:t>年产销量将增长</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，假设单价、单位变动成本与固定成本总额保持稳定不变。</w:t>
      </w:r>
    </w:p>
    <w:p w14:paraId="0AFFAC8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）计算</w:t>
      </w:r>
      <w:r>
        <w:rPr>
          <w:rFonts w:hint="eastAsia" w:ascii="宋体" w:hAnsi="宋体" w:eastAsia="宋体" w:cs="宋体"/>
          <w:b w:val="0"/>
          <w:bCs/>
          <w:color w:val="000000" w:themeColor="text1"/>
          <w:sz w:val="21"/>
          <w:szCs w:val="21"/>
          <w:lang w:val="en-US" w:eastAsia="zh-CN"/>
        </w:rPr>
        <w:t>2020</w:t>
      </w:r>
      <w:r>
        <w:rPr>
          <w:rFonts w:hint="eastAsia" w:ascii="宋体" w:hAnsi="宋体" w:eastAsia="宋体" w:cs="宋体"/>
          <w:b w:val="0"/>
          <w:bCs/>
          <w:color w:val="000000" w:themeColor="text1"/>
          <w:sz w:val="21"/>
          <w:szCs w:val="21"/>
        </w:rPr>
        <w:t>年度的息税前利润。</w:t>
      </w:r>
    </w:p>
    <w:p w14:paraId="75D4897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）以</w:t>
      </w:r>
      <w:r>
        <w:rPr>
          <w:rFonts w:hint="eastAsia" w:ascii="宋体" w:hAnsi="宋体" w:eastAsia="宋体" w:cs="宋体"/>
          <w:b w:val="0"/>
          <w:bCs/>
          <w:color w:val="000000" w:themeColor="text1"/>
          <w:sz w:val="21"/>
          <w:szCs w:val="21"/>
          <w:lang w:val="en-US" w:eastAsia="zh-CN"/>
        </w:rPr>
        <w:t>2020</w:t>
      </w:r>
      <w:r>
        <w:rPr>
          <w:rFonts w:hint="eastAsia" w:ascii="宋体" w:hAnsi="宋体" w:eastAsia="宋体" w:cs="宋体"/>
          <w:b w:val="0"/>
          <w:bCs/>
          <w:color w:val="000000" w:themeColor="text1"/>
          <w:sz w:val="21"/>
          <w:szCs w:val="21"/>
        </w:rPr>
        <w:t>年为基期，计算下列指标：①经营杠杆系数；②财务杠杆系数；③总杠杆系数。</w:t>
      </w:r>
    </w:p>
    <w:p w14:paraId="1DE0F5C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）计算</w:t>
      </w:r>
      <w:r>
        <w:rPr>
          <w:rFonts w:hint="eastAsia" w:ascii="宋体" w:hAnsi="宋体" w:eastAsia="宋体" w:cs="宋体"/>
          <w:b w:val="0"/>
          <w:bCs/>
          <w:color w:val="000000" w:themeColor="text1"/>
          <w:sz w:val="21"/>
          <w:szCs w:val="21"/>
          <w:lang w:val="en-US" w:eastAsia="zh-CN"/>
        </w:rPr>
        <w:t>2021</w:t>
      </w:r>
      <w:r>
        <w:rPr>
          <w:rFonts w:hint="eastAsia" w:ascii="宋体" w:hAnsi="宋体" w:eastAsia="宋体" w:cs="宋体"/>
          <w:b w:val="0"/>
          <w:bCs/>
          <w:color w:val="000000" w:themeColor="text1"/>
          <w:sz w:val="21"/>
          <w:szCs w:val="21"/>
        </w:rPr>
        <w:t>年下列指标：①预计息税前利润；②预计每股收益增长率。</w:t>
      </w:r>
    </w:p>
    <w:p w14:paraId="5C34C6F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p>
    <w:p w14:paraId="5B8156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2020</w:t>
      </w:r>
      <w:r>
        <w:rPr>
          <w:rFonts w:hint="eastAsia" w:ascii="宋体" w:hAnsi="宋体" w:eastAsia="宋体" w:cs="宋体"/>
          <w:b w:val="0"/>
          <w:bCs/>
          <w:color w:val="000000" w:themeColor="text1"/>
          <w:sz w:val="21"/>
          <w:szCs w:val="21"/>
        </w:rPr>
        <w:t>年度的息税前利润</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0.9-0.5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×100000-30000=10000</w:t>
      </w:r>
      <w:r>
        <w:rPr>
          <w:rFonts w:hint="eastAsia" w:ascii="宋体" w:hAnsi="宋体" w:eastAsia="宋体" w:cs="宋体"/>
          <w:b w:val="0"/>
          <w:bCs/>
          <w:color w:val="000000" w:themeColor="text1"/>
          <w:sz w:val="21"/>
          <w:szCs w:val="21"/>
        </w:rPr>
        <w:t>（万元）</w:t>
      </w:r>
    </w:p>
    <w:p w14:paraId="524D4C0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）①经营杠杆系数</w:t>
      </w:r>
      <w:r>
        <w:rPr>
          <w:rFonts w:hint="eastAsia" w:ascii="宋体" w:hAnsi="宋体" w:eastAsia="宋体" w:cs="宋体"/>
          <w:b w:val="0"/>
          <w:bCs/>
          <w:color w:val="000000" w:themeColor="text1"/>
          <w:sz w:val="21"/>
          <w:szCs w:val="21"/>
          <w:lang w:val="en-US" w:eastAsia="zh-CN"/>
        </w:rPr>
        <w:t>=</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0.9-0.5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×100000/10000=4</w:t>
      </w:r>
    </w:p>
    <w:p w14:paraId="2FBD2A1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②</w:t>
      </w:r>
      <w:r>
        <w:rPr>
          <w:rFonts w:hint="eastAsia" w:ascii="宋体" w:hAnsi="宋体" w:eastAsia="宋体" w:cs="宋体"/>
          <w:b w:val="0"/>
          <w:bCs/>
          <w:color w:val="000000" w:themeColor="text1"/>
          <w:sz w:val="21"/>
          <w:szCs w:val="21"/>
        </w:rPr>
        <w:t>财务杠杆系数</w:t>
      </w:r>
      <w:r>
        <w:rPr>
          <w:rFonts w:hint="eastAsia" w:ascii="宋体" w:hAnsi="宋体" w:eastAsia="宋体" w:cs="宋体"/>
          <w:b w:val="0"/>
          <w:bCs/>
          <w:color w:val="000000" w:themeColor="text1"/>
          <w:sz w:val="21"/>
          <w:szCs w:val="21"/>
          <w:lang w:val="en-US" w:eastAsia="zh-CN"/>
        </w:rPr>
        <w:t>=10000/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10000-2000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p>
    <w:p w14:paraId="7EAF802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③</w:t>
      </w:r>
      <w:r>
        <w:rPr>
          <w:rFonts w:hint="eastAsia" w:ascii="宋体" w:hAnsi="宋体" w:eastAsia="宋体" w:cs="宋体"/>
          <w:b w:val="0"/>
          <w:bCs/>
          <w:color w:val="000000" w:themeColor="text1"/>
          <w:sz w:val="21"/>
          <w:szCs w:val="21"/>
        </w:rPr>
        <w:t>总杠杆系数</w:t>
      </w:r>
      <w:r>
        <w:rPr>
          <w:rFonts w:hint="eastAsia" w:ascii="宋体" w:hAnsi="宋体" w:eastAsia="宋体" w:cs="宋体"/>
          <w:b w:val="0"/>
          <w:bCs/>
          <w:color w:val="000000" w:themeColor="text1"/>
          <w:sz w:val="21"/>
          <w:szCs w:val="21"/>
          <w:lang w:val="en-US" w:eastAsia="zh-CN"/>
        </w:rPr>
        <w:t>=4×1.25=5</w:t>
      </w:r>
    </w:p>
    <w:p w14:paraId="386FD50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）①预计息税前利润增长率</w:t>
      </w:r>
      <w:r>
        <w:rPr>
          <w:rFonts w:hint="eastAsia" w:ascii="宋体" w:hAnsi="宋体" w:eastAsia="宋体" w:cs="宋体"/>
          <w:b w:val="0"/>
          <w:bCs/>
          <w:color w:val="000000" w:themeColor="text1"/>
          <w:sz w:val="21"/>
          <w:szCs w:val="21"/>
          <w:lang w:val="en-US" w:eastAsia="zh-CN"/>
        </w:rPr>
        <w:t>=5%×4=20%</w:t>
      </w:r>
    </w:p>
    <w:p w14:paraId="39FC51E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预计息税前利润</w:t>
      </w:r>
      <w:r>
        <w:rPr>
          <w:rFonts w:hint="eastAsia" w:ascii="宋体" w:hAnsi="宋体" w:eastAsia="宋体" w:cs="宋体"/>
          <w:b w:val="0"/>
          <w:bCs/>
          <w:color w:val="000000" w:themeColor="text1"/>
          <w:sz w:val="21"/>
          <w:szCs w:val="21"/>
          <w:lang w:val="en-US" w:eastAsia="zh-CN"/>
        </w:rPr>
        <w:t>=10000×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=12000</w:t>
      </w:r>
      <w:r>
        <w:rPr>
          <w:rFonts w:hint="eastAsia" w:ascii="宋体" w:hAnsi="宋体" w:eastAsia="宋体" w:cs="宋体"/>
          <w:b w:val="0"/>
          <w:bCs/>
          <w:color w:val="000000" w:themeColor="text1"/>
          <w:sz w:val="21"/>
          <w:szCs w:val="21"/>
        </w:rPr>
        <w:t>（万元）</w:t>
      </w:r>
    </w:p>
    <w:p w14:paraId="1670291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②预计每股收益增长率</w:t>
      </w:r>
      <w:r>
        <w:rPr>
          <w:rFonts w:hint="eastAsia" w:ascii="宋体" w:hAnsi="宋体" w:eastAsia="宋体" w:cs="宋体"/>
          <w:b w:val="0"/>
          <w:bCs/>
          <w:color w:val="000000" w:themeColor="text1"/>
          <w:sz w:val="21"/>
          <w:szCs w:val="21"/>
          <w:lang w:val="en-US" w:eastAsia="zh-CN"/>
        </w:rPr>
        <w:t>=5%×5=25%</w:t>
      </w:r>
      <w:r>
        <w:rPr>
          <w:rFonts w:hint="eastAsia" w:ascii="宋体" w:hAnsi="宋体" w:eastAsia="宋体" w:cs="宋体"/>
          <w:b w:val="0"/>
          <w:bCs/>
          <w:color w:val="000000" w:themeColor="text1"/>
          <w:sz w:val="21"/>
          <w:szCs w:val="21"/>
        </w:rPr>
        <w:t>。</w:t>
      </w:r>
    </w:p>
    <w:p w14:paraId="3BDB071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FC48AC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甲公司是一家制造业企业。有关资料如下：</w:t>
      </w:r>
    </w:p>
    <w:p w14:paraId="6895B1B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资料一：</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年度公司产品产销量为</w:t>
      </w:r>
      <w:r>
        <w:rPr>
          <w:rFonts w:hint="eastAsia" w:ascii="宋体" w:hAnsi="宋体" w:eastAsia="宋体" w:cs="宋体"/>
          <w:b w:val="0"/>
          <w:bCs/>
          <w:color w:val="000000" w:themeColor="text1"/>
          <w:sz w:val="21"/>
          <w:szCs w:val="21"/>
          <w:lang w:val="en-US" w:eastAsia="zh-CN"/>
        </w:rPr>
        <w:t>2000</w:t>
      </w:r>
      <w:r>
        <w:rPr>
          <w:rFonts w:hint="eastAsia" w:ascii="宋体" w:hAnsi="宋体" w:eastAsia="宋体" w:cs="宋体"/>
          <w:b w:val="0"/>
          <w:bCs/>
          <w:color w:val="000000" w:themeColor="text1"/>
          <w:sz w:val="21"/>
          <w:szCs w:val="21"/>
        </w:rPr>
        <w:t>万件，产品销售单价为</w:t>
      </w:r>
      <w:r>
        <w:rPr>
          <w:rFonts w:hint="eastAsia" w:ascii="宋体" w:hAnsi="宋体" w:eastAsia="宋体" w:cs="宋体"/>
          <w:b w:val="0"/>
          <w:bCs/>
          <w:color w:val="000000" w:themeColor="text1"/>
          <w:sz w:val="21"/>
          <w:szCs w:val="21"/>
          <w:lang w:val="en-US" w:eastAsia="zh-CN"/>
        </w:rPr>
        <w:t>50</w:t>
      </w:r>
      <w:r>
        <w:rPr>
          <w:rFonts w:hint="eastAsia" w:ascii="宋体" w:hAnsi="宋体" w:eastAsia="宋体" w:cs="宋体"/>
          <w:b w:val="0"/>
          <w:bCs/>
          <w:color w:val="000000" w:themeColor="text1"/>
          <w:sz w:val="21"/>
          <w:szCs w:val="21"/>
        </w:rPr>
        <w:t>元，单位变动成本为</w:t>
      </w:r>
      <w:r>
        <w:rPr>
          <w:rFonts w:hint="eastAsia" w:ascii="宋体" w:hAnsi="宋体" w:eastAsia="宋体" w:cs="宋体"/>
          <w:b w:val="0"/>
          <w:bCs/>
          <w:color w:val="000000" w:themeColor="text1"/>
          <w:sz w:val="21"/>
          <w:szCs w:val="21"/>
          <w:lang w:val="en-US" w:eastAsia="zh-CN"/>
        </w:rPr>
        <w:t>30</w:t>
      </w:r>
      <w:r>
        <w:rPr>
          <w:rFonts w:hint="eastAsia" w:ascii="宋体" w:hAnsi="宋体" w:eastAsia="宋体" w:cs="宋体"/>
          <w:b w:val="0"/>
          <w:bCs/>
          <w:color w:val="000000" w:themeColor="text1"/>
          <w:sz w:val="21"/>
          <w:szCs w:val="21"/>
        </w:rPr>
        <w:t>元，固定成本总额为</w:t>
      </w:r>
      <w:r>
        <w:rPr>
          <w:rFonts w:hint="eastAsia" w:ascii="宋体" w:hAnsi="宋体" w:eastAsia="宋体" w:cs="宋体"/>
          <w:b w:val="0"/>
          <w:bCs/>
          <w:color w:val="000000" w:themeColor="text1"/>
          <w:sz w:val="21"/>
          <w:szCs w:val="21"/>
          <w:lang w:val="en-US" w:eastAsia="zh-CN"/>
        </w:rPr>
        <w:t>20000</w:t>
      </w:r>
      <w:r>
        <w:rPr>
          <w:rFonts w:hint="eastAsia" w:ascii="宋体" w:hAnsi="宋体" w:eastAsia="宋体" w:cs="宋体"/>
          <w:b w:val="0"/>
          <w:bCs/>
          <w:color w:val="000000" w:themeColor="text1"/>
          <w:sz w:val="21"/>
          <w:szCs w:val="21"/>
        </w:rPr>
        <w:t>万元。假设单价、单位变动成本和固定成本总额在</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年保持不变。</w:t>
      </w:r>
    </w:p>
    <w:p w14:paraId="01B83C0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资料二：</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年度公司全部债务资金均为长期借款，借款本金为</w:t>
      </w:r>
      <w:r>
        <w:rPr>
          <w:rFonts w:hint="eastAsia" w:ascii="宋体" w:hAnsi="宋体" w:eastAsia="宋体" w:cs="宋体"/>
          <w:b w:val="0"/>
          <w:bCs/>
          <w:color w:val="000000" w:themeColor="text1"/>
          <w:sz w:val="21"/>
          <w:szCs w:val="21"/>
          <w:lang w:val="en-US" w:eastAsia="zh-CN"/>
        </w:rPr>
        <w:t>200000</w:t>
      </w:r>
      <w:r>
        <w:rPr>
          <w:rFonts w:hint="eastAsia" w:ascii="宋体" w:hAnsi="宋体" w:eastAsia="宋体" w:cs="宋体"/>
          <w:b w:val="0"/>
          <w:bCs/>
          <w:color w:val="000000" w:themeColor="text1"/>
          <w:sz w:val="21"/>
          <w:szCs w:val="21"/>
        </w:rPr>
        <w:t>万元，年利率为</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，全部利息都计入当期费用。假定债务资金和利息水平在</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年保持不变。</w:t>
      </w:r>
    </w:p>
    <w:p w14:paraId="6ED7223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资料三：公司在</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年末预计</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年产销量将比</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年增长</w:t>
      </w:r>
      <w:r>
        <w:rPr>
          <w:rFonts w:hint="eastAsia" w:ascii="宋体" w:hAnsi="宋体" w:eastAsia="宋体" w:cs="宋体"/>
          <w:b w:val="0"/>
          <w:bCs/>
          <w:color w:val="000000" w:themeColor="text1"/>
          <w:sz w:val="21"/>
          <w:szCs w:val="21"/>
          <w:lang w:val="en-US" w:eastAsia="zh-CN"/>
        </w:rPr>
        <w:t>20%</w:t>
      </w:r>
      <w:r>
        <w:rPr>
          <w:rFonts w:hint="eastAsia" w:ascii="宋体" w:hAnsi="宋体" w:eastAsia="宋体" w:cs="宋体"/>
          <w:b w:val="0"/>
          <w:bCs/>
          <w:color w:val="000000" w:themeColor="text1"/>
          <w:sz w:val="21"/>
          <w:szCs w:val="21"/>
        </w:rPr>
        <w:t>。</w:t>
      </w:r>
    </w:p>
    <w:p w14:paraId="5EAAD0D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）根据资料一，计算</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年边际贡献总额和息税前利润；</w:t>
      </w:r>
    </w:p>
    <w:p w14:paraId="64E0F27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）根据资料一和资料二，以</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年为基期计算经营杠杆系数、财务杠杆系数和总杠杆系数。</w:t>
      </w:r>
    </w:p>
    <w:p w14:paraId="409055C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）计算</w:t>
      </w:r>
      <w:r>
        <w:rPr>
          <w:rFonts w:hint="eastAsia" w:ascii="宋体" w:hAnsi="宋体" w:eastAsia="宋体" w:cs="宋体"/>
          <w:b w:val="0"/>
          <w:bCs/>
          <w:color w:val="000000" w:themeColor="text1"/>
          <w:sz w:val="21"/>
          <w:szCs w:val="21"/>
          <w:lang w:val="en-US" w:eastAsia="zh-CN"/>
        </w:rPr>
        <w:t>2017</w:t>
      </w:r>
      <w:r>
        <w:rPr>
          <w:rFonts w:hint="eastAsia" w:ascii="宋体" w:hAnsi="宋体" w:eastAsia="宋体" w:cs="宋体"/>
          <w:b w:val="0"/>
          <w:bCs/>
          <w:color w:val="000000" w:themeColor="text1"/>
          <w:sz w:val="21"/>
          <w:szCs w:val="21"/>
        </w:rPr>
        <w:t>年息税前利润预计增长率和每股收益预计增长率。</w:t>
      </w:r>
    </w:p>
    <w:p w14:paraId="164D439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p>
    <w:p w14:paraId="097C640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）边际贡献总额＝</w:t>
      </w:r>
      <w:r>
        <w:rPr>
          <w:rFonts w:hint="eastAsia" w:ascii="宋体" w:hAnsi="宋体" w:eastAsia="宋体" w:cs="宋体"/>
          <w:b w:val="0"/>
          <w:bCs/>
          <w:color w:val="000000" w:themeColor="text1"/>
          <w:sz w:val="21"/>
          <w:szCs w:val="21"/>
          <w:lang w:val="en-US" w:eastAsia="zh-CN"/>
        </w:rPr>
        <w:t>2000×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40000</w:t>
      </w:r>
      <w:r>
        <w:rPr>
          <w:rFonts w:hint="eastAsia" w:ascii="宋体" w:hAnsi="宋体" w:eastAsia="宋体" w:cs="宋体"/>
          <w:b w:val="0"/>
          <w:bCs/>
          <w:color w:val="000000" w:themeColor="text1"/>
          <w:sz w:val="21"/>
          <w:szCs w:val="21"/>
        </w:rPr>
        <w:t>（万元）</w:t>
      </w:r>
    </w:p>
    <w:p w14:paraId="6695C32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息税前利润＝</w:t>
      </w:r>
      <w:r>
        <w:rPr>
          <w:rFonts w:hint="eastAsia" w:ascii="宋体" w:hAnsi="宋体" w:eastAsia="宋体" w:cs="宋体"/>
          <w:b w:val="0"/>
          <w:bCs/>
          <w:color w:val="000000" w:themeColor="text1"/>
          <w:sz w:val="21"/>
          <w:szCs w:val="21"/>
          <w:lang w:val="en-US" w:eastAsia="zh-CN"/>
        </w:rPr>
        <w:t>40000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20000</w:t>
      </w:r>
      <w:r>
        <w:rPr>
          <w:rFonts w:hint="eastAsia" w:ascii="宋体" w:hAnsi="宋体" w:eastAsia="宋体" w:cs="宋体"/>
          <w:b w:val="0"/>
          <w:bCs/>
          <w:color w:val="000000" w:themeColor="text1"/>
          <w:sz w:val="21"/>
          <w:szCs w:val="21"/>
        </w:rPr>
        <w:t>（万元）</w:t>
      </w:r>
    </w:p>
    <w:p w14:paraId="6BB81A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）经营杠杆系数＝</w:t>
      </w:r>
      <w:r>
        <w:rPr>
          <w:rFonts w:hint="eastAsia" w:ascii="宋体" w:hAnsi="宋体" w:eastAsia="宋体" w:cs="宋体"/>
          <w:b w:val="0"/>
          <w:bCs/>
          <w:color w:val="000000" w:themeColor="text1"/>
          <w:sz w:val="21"/>
          <w:szCs w:val="21"/>
          <w:lang w:val="en-US" w:eastAsia="zh-CN"/>
        </w:rPr>
        <w:t>40000/20000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p>
    <w:p w14:paraId="3617D73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财务杠杆系数＝</w:t>
      </w:r>
      <w:r>
        <w:rPr>
          <w:rFonts w:hint="eastAsia" w:ascii="宋体" w:hAnsi="宋体" w:eastAsia="宋体" w:cs="宋体"/>
          <w:b w:val="0"/>
          <w:bCs/>
          <w:color w:val="000000" w:themeColor="text1"/>
          <w:sz w:val="21"/>
          <w:szCs w:val="21"/>
          <w:lang w:val="en-US" w:eastAsia="zh-CN"/>
        </w:rPr>
        <w:t>20000/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200000×5%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p>
    <w:p w14:paraId="4457339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总杠杆系数＝</w:t>
      </w:r>
      <w:r>
        <w:rPr>
          <w:rFonts w:hint="eastAsia" w:ascii="宋体" w:hAnsi="宋体" w:eastAsia="宋体" w:cs="宋体"/>
          <w:b w:val="0"/>
          <w:bCs/>
          <w:color w:val="000000" w:themeColor="text1"/>
          <w:sz w:val="21"/>
          <w:szCs w:val="21"/>
          <w:lang w:val="en-US" w:eastAsia="zh-CN"/>
        </w:rPr>
        <w:t>2×2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p>
    <w:p w14:paraId="6A7DFB7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或：总杠杆系数＝</w:t>
      </w:r>
      <w:r>
        <w:rPr>
          <w:rFonts w:hint="eastAsia" w:ascii="宋体" w:hAnsi="宋体" w:eastAsia="宋体" w:cs="宋体"/>
          <w:b w:val="0"/>
          <w:bCs/>
          <w:color w:val="000000" w:themeColor="text1"/>
          <w:sz w:val="21"/>
          <w:szCs w:val="21"/>
          <w:lang w:val="en-US" w:eastAsia="zh-CN"/>
        </w:rPr>
        <w:t>40000/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200000×5%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w:t>
      </w:r>
    </w:p>
    <w:p w14:paraId="165BF0A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）息税前利润预计增长率＝</w:t>
      </w:r>
      <w:r>
        <w:rPr>
          <w:rFonts w:hint="eastAsia" w:ascii="宋体" w:hAnsi="宋体" w:eastAsia="宋体" w:cs="宋体"/>
          <w:b w:val="0"/>
          <w:bCs/>
          <w:color w:val="000000" w:themeColor="text1"/>
          <w:sz w:val="21"/>
          <w:szCs w:val="21"/>
          <w:lang w:val="en-US" w:eastAsia="zh-CN"/>
        </w:rPr>
        <w:t>20%×2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40%</w:t>
      </w:r>
    </w:p>
    <w:p w14:paraId="6630029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每股收益预计增长率＝</w:t>
      </w:r>
      <w:r>
        <w:rPr>
          <w:rFonts w:hint="eastAsia" w:ascii="宋体" w:hAnsi="宋体" w:eastAsia="宋体" w:cs="宋体"/>
          <w:b w:val="0"/>
          <w:bCs/>
          <w:color w:val="000000" w:themeColor="text1"/>
          <w:sz w:val="21"/>
          <w:szCs w:val="21"/>
          <w:lang w:val="en-US" w:eastAsia="zh-CN"/>
        </w:rPr>
        <w:t>40%×2</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80%</w:t>
      </w:r>
    </w:p>
    <w:p w14:paraId="181083D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092F715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4】</w:t>
      </w:r>
      <w:r>
        <w:rPr>
          <w:rFonts w:hint="eastAsia" w:ascii="宋体" w:hAnsi="宋体" w:eastAsia="宋体" w:cs="宋体"/>
          <w:b w:val="0"/>
          <w:bCs/>
          <w:color w:val="FF0000"/>
          <w:sz w:val="21"/>
          <w:szCs w:val="21"/>
        </w:rPr>
        <w:t>资本结构理论</w:t>
      </w:r>
    </w:p>
    <w:p w14:paraId="5AA31D0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无税</w:t>
      </w:r>
      <w:r>
        <w:rPr>
          <w:rFonts w:hint="eastAsia" w:ascii="宋体" w:hAnsi="宋体" w:eastAsia="宋体" w:cs="宋体"/>
          <w:b w:val="0"/>
          <w:bCs/>
          <w:color w:val="000000" w:themeColor="text1"/>
          <w:sz w:val="21"/>
          <w:szCs w:val="21"/>
          <w:lang w:val="en-US" w:eastAsia="zh-CN"/>
        </w:rPr>
        <w:t>MM</w:t>
      </w:r>
      <w:r>
        <w:rPr>
          <w:rFonts w:hint="eastAsia" w:ascii="宋体" w:hAnsi="宋体" w:eastAsia="宋体" w:cs="宋体"/>
          <w:b w:val="0"/>
          <w:bCs/>
          <w:color w:val="000000" w:themeColor="text1"/>
          <w:sz w:val="21"/>
          <w:szCs w:val="21"/>
        </w:rPr>
        <w:t>理论、有税</w:t>
      </w:r>
      <w:r>
        <w:rPr>
          <w:rFonts w:hint="eastAsia" w:ascii="宋体" w:hAnsi="宋体" w:eastAsia="宋体" w:cs="宋体"/>
          <w:b w:val="0"/>
          <w:bCs/>
          <w:color w:val="000000" w:themeColor="text1"/>
          <w:sz w:val="21"/>
          <w:szCs w:val="21"/>
          <w:lang w:val="en-US" w:eastAsia="zh-CN"/>
        </w:rPr>
        <w:t>MM</w:t>
      </w:r>
      <w:r>
        <w:rPr>
          <w:rFonts w:hint="eastAsia" w:ascii="宋体" w:hAnsi="宋体" w:eastAsia="宋体" w:cs="宋体"/>
          <w:b w:val="0"/>
          <w:bCs/>
          <w:color w:val="000000" w:themeColor="text1"/>
          <w:sz w:val="21"/>
          <w:szCs w:val="21"/>
        </w:rPr>
        <w:t>理论、权衡理论、代理理论、优序融资理论</w:t>
      </w:r>
    </w:p>
    <w:p w14:paraId="24CEFB8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24E3225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判断题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使企业税后利润最大的资本结构是最佳资本结构。（  ）</w:t>
      </w:r>
    </w:p>
    <w:p w14:paraId="5A3AD8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w:t>
      </w:r>
    </w:p>
    <w:p w14:paraId="74D5B1F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 xml:space="preserve">所谓最佳资本结构，是指在一定条件下使企业平均资本成本率最低、企业价值最大的资本结构。 </w:t>
      </w:r>
    </w:p>
    <w:p w14:paraId="6C03AAA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58111E8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单选题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甲公司目前存在融资需求。如果采用优序融资理论，管理层应当选择的融资顺序是（  ）。</w:t>
      </w:r>
    </w:p>
    <w:p w14:paraId="2F59F1B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内部留存收益、公开增发新股、发行公司债券、发行可转换债券</w:t>
      </w:r>
    </w:p>
    <w:p w14:paraId="4F3D5A4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B.</w:t>
      </w:r>
      <w:r>
        <w:rPr>
          <w:rFonts w:hint="eastAsia" w:ascii="宋体" w:hAnsi="宋体" w:eastAsia="宋体" w:cs="宋体"/>
          <w:b w:val="0"/>
          <w:bCs/>
          <w:color w:val="000000" w:themeColor="text1"/>
          <w:sz w:val="21"/>
          <w:szCs w:val="21"/>
        </w:rPr>
        <w:t>内部留存收益、公开增发新股、发行可转换债券、发行公司债券</w:t>
      </w:r>
    </w:p>
    <w:p w14:paraId="316013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C.</w:t>
      </w:r>
      <w:r>
        <w:rPr>
          <w:rFonts w:hint="eastAsia" w:ascii="宋体" w:hAnsi="宋体" w:eastAsia="宋体" w:cs="宋体"/>
          <w:b w:val="0"/>
          <w:bCs/>
          <w:color w:val="000000" w:themeColor="text1"/>
          <w:sz w:val="21"/>
          <w:szCs w:val="21"/>
        </w:rPr>
        <w:t>内部留存收益、发行公司债券、发行可转换债券、公开增发新股</w:t>
      </w:r>
    </w:p>
    <w:p w14:paraId="7BAAFAF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D.</w:t>
      </w:r>
      <w:r>
        <w:rPr>
          <w:rFonts w:hint="eastAsia" w:ascii="宋体" w:hAnsi="宋体" w:eastAsia="宋体" w:cs="宋体"/>
          <w:b w:val="0"/>
          <w:bCs/>
          <w:color w:val="000000" w:themeColor="text1"/>
          <w:sz w:val="21"/>
          <w:szCs w:val="21"/>
        </w:rPr>
        <w:t>内部留存收益、发行可转换债券、发行公司债券、公开增发新股</w:t>
      </w:r>
    </w:p>
    <w:p w14:paraId="115791F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r>
        <w:rPr>
          <w:rFonts w:hint="eastAsia" w:ascii="宋体" w:hAnsi="宋体" w:eastAsia="宋体" w:cs="宋体"/>
          <w:b w:val="0"/>
          <w:bCs/>
          <w:color w:val="FF0000"/>
          <w:sz w:val="21"/>
          <w:szCs w:val="21"/>
          <w:lang w:val="en-US" w:eastAsia="zh-CN"/>
        </w:rPr>
        <w:t>C</w:t>
      </w:r>
    </w:p>
    <w:p w14:paraId="07277A0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rPr>
        <w:t>解析：</w:t>
      </w:r>
      <w:r>
        <w:rPr>
          <w:rFonts w:hint="eastAsia" w:ascii="宋体" w:hAnsi="宋体" w:eastAsia="宋体" w:cs="宋体"/>
          <w:b w:val="0"/>
          <w:bCs/>
          <w:color w:val="000000" w:themeColor="text1"/>
          <w:sz w:val="21"/>
          <w:szCs w:val="21"/>
        </w:rPr>
        <w:t>优序融资理论认为，筹资优序模式首先是内部筹资（利用留存收益），其次是借款、发行债券、可转换债券，最后是发行新股筹资。</w:t>
      </w:r>
    </w:p>
    <w:p w14:paraId="5BC55AF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p>
    <w:p w14:paraId="20474CD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考点</w:t>
      </w:r>
      <w:r>
        <w:rPr>
          <w:rFonts w:hint="eastAsia" w:ascii="宋体" w:hAnsi="宋体" w:eastAsia="宋体" w:cs="宋体"/>
          <w:b w:val="0"/>
          <w:bCs/>
          <w:color w:val="FF0000"/>
          <w:sz w:val="21"/>
          <w:szCs w:val="21"/>
          <w:lang w:val="en-US" w:eastAsia="zh-CN"/>
        </w:rPr>
        <w:t>5】</w:t>
      </w:r>
      <w:r>
        <w:rPr>
          <w:rFonts w:hint="eastAsia" w:ascii="宋体" w:hAnsi="宋体" w:eastAsia="宋体" w:cs="宋体"/>
          <w:b w:val="0"/>
          <w:bCs/>
          <w:color w:val="FF0000"/>
          <w:sz w:val="21"/>
          <w:szCs w:val="21"/>
        </w:rPr>
        <w:t>资本结构优化</w:t>
      </w:r>
    </w:p>
    <w:p w14:paraId="26552EB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（一）每股收益分析法</w:t>
      </w:r>
    </w:p>
    <w:p w14:paraId="038B073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（二）平均资本成本比较法</w:t>
      </w:r>
    </w:p>
    <w:p w14:paraId="5253F5C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（三）公司价值分析法</w:t>
      </w:r>
    </w:p>
    <w:p w14:paraId="1667766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1B2370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甲公司目前有债务资金</w:t>
      </w:r>
      <w:r>
        <w:rPr>
          <w:rFonts w:hint="eastAsia" w:ascii="宋体" w:hAnsi="宋体" w:eastAsia="宋体" w:cs="宋体"/>
          <w:b w:val="0"/>
          <w:bCs/>
          <w:color w:val="000000" w:themeColor="text1"/>
          <w:sz w:val="21"/>
          <w:szCs w:val="21"/>
          <w:lang w:val="en-US" w:eastAsia="zh-CN"/>
        </w:rPr>
        <w:t>2000</w:t>
      </w:r>
      <w:r>
        <w:rPr>
          <w:rFonts w:hint="eastAsia" w:ascii="宋体" w:hAnsi="宋体" w:eastAsia="宋体" w:cs="宋体"/>
          <w:b w:val="0"/>
          <w:bCs/>
          <w:color w:val="000000" w:themeColor="text1"/>
          <w:sz w:val="21"/>
          <w:szCs w:val="21"/>
        </w:rPr>
        <w:t xml:space="preserve">万元（年利息 </w:t>
      </w:r>
      <w:r>
        <w:rPr>
          <w:rFonts w:hint="eastAsia" w:ascii="宋体" w:hAnsi="宋体" w:eastAsia="宋体" w:cs="宋体"/>
          <w:b w:val="0"/>
          <w:bCs/>
          <w:color w:val="000000" w:themeColor="text1"/>
          <w:sz w:val="21"/>
          <w:szCs w:val="21"/>
          <w:lang w:val="en-US" w:eastAsia="zh-CN"/>
        </w:rPr>
        <w:t>200</w:t>
      </w:r>
      <w:r>
        <w:rPr>
          <w:rFonts w:hint="eastAsia" w:ascii="宋体" w:hAnsi="宋体" w:eastAsia="宋体" w:cs="宋体"/>
          <w:b w:val="0"/>
          <w:bCs/>
          <w:color w:val="000000" w:themeColor="text1"/>
          <w:sz w:val="21"/>
          <w:szCs w:val="21"/>
        </w:rPr>
        <w:t xml:space="preserve">万元），普通股股数 </w:t>
      </w:r>
      <w:r>
        <w:rPr>
          <w:rFonts w:hint="eastAsia" w:ascii="宋体" w:hAnsi="宋体" w:eastAsia="宋体" w:cs="宋体"/>
          <w:b w:val="0"/>
          <w:bCs/>
          <w:color w:val="000000" w:themeColor="text1"/>
          <w:sz w:val="21"/>
          <w:szCs w:val="21"/>
          <w:lang w:val="en-US" w:eastAsia="zh-CN"/>
        </w:rPr>
        <w:t>3000</w:t>
      </w:r>
      <w:r>
        <w:rPr>
          <w:rFonts w:hint="eastAsia" w:ascii="宋体" w:hAnsi="宋体" w:eastAsia="宋体" w:cs="宋体"/>
          <w:b w:val="0"/>
          <w:bCs/>
          <w:color w:val="000000" w:themeColor="text1"/>
          <w:sz w:val="21"/>
          <w:szCs w:val="21"/>
        </w:rPr>
        <w:t>万股。该公司由于有一个较好的新投资项目，需要追加筹资</w:t>
      </w:r>
      <w:r>
        <w:rPr>
          <w:rFonts w:hint="eastAsia" w:ascii="宋体" w:hAnsi="宋体" w:eastAsia="宋体" w:cs="宋体"/>
          <w:b w:val="0"/>
          <w:bCs/>
          <w:color w:val="000000" w:themeColor="text1"/>
          <w:sz w:val="21"/>
          <w:szCs w:val="21"/>
          <w:lang w:val="en-US" w:eastAsia="zh-CN"/>
        </w:rPr>
        <w:t>1500</w:t>
      </w:r>
      <w:r>
        <w:rPr>
          <w:rFonts w:hint="eastAsia" w:ascii="宋体" w:hAnsi="宋体" w:eastAsia="宋体" w:cs="宋体"/>
          <w:b w:val="0"/>
          <w:bCs/>
          <w:color w:val="000000" w:themeColor="text1"/>
          <w:sz w:val="21"/>
          <w:szCs w:val="21"/>
        </w:rPr>
        <w:t xml:space="preserve">万元，有两种筹资方案： </w:t>
      </w:r>
    </w:p>
    <w:p w14:paraId="04DB79A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 xml:space="preserve">A </w:t>
      </w:r>
      <w:r>
        <w:rPr>
          <w:rFonts w:hint="eastAsia" w:ascii="宋体" w:hAnsi="宋体" w:eastAsia="宋体" w:cs="宋体"/>
          <w:b w:val="0"/>
          <w:bCs/>
          <w:color w:val="000000" w:themeColor="text1"/>
          <w:sz w:val="21"/>
          <w:szCs w:val="21"/>
        </w:rPr>
        <w:t>方案：增发普通股</w:t>
      </w:r>
      <w:r>
        <w:rPr>
          <w:rFonts w:hint="eastAsia" w:ascii="宋体" w:hAnsi="宋体" w:eastAsia="宋体" w:cs="宋体"/>
          <w:b w:val="0"/>
          <w:bCs/>
          <w:color w:val="000000" w:themeColor="text1"/>
          <w:sz w:val="21"/>
          <w:szCs w:val="21"/>
          <w:lang w:val="en-US" w:eastAsia="zh-CN"/>
        </w:rPr>
        <w:t>300</w:t>
      </w:r>
      <w:r>
        <w:rPr>
          <w:rFonts w:hint="eastAsia" w:ascii="宋体" w:hAnsi="宋体" w:eastAsia="宋体" w:cs="宋体"/>
          <w:b w:val="0"/>
          <w:bCs/>
          <w:color w:val="000000" w:themeColor="text1"/>
          <w:sz w:val="21"/>
          <w:szCs w:val="21"/>
        </w:rPr>
        <w:t>万股，每股发行价</w:t>
      </w:r>
      <w:r>
        <w:rPr>
          <w:rFonts w:hint="eastAsia" w:ascii="宋体" w:hAnsi="宋体" w:eastAsia="宋体" w:cs="宋体"/>
          <w:b w:val="0"/>
          <w:bCs/>
          <w:color w:val="000000" w:themeColor="text1"/>
          <w:sz w:val="21"/>
          <w:szCs w:val="21"/>
          <w:lang w:val="en-US" w:eastAsia="zh-CN"/>
        </w:rPr>
        <w:t>5</w:t>
      </w:r>
      <w:r>
        <w:rPr>
          <w:rFonts w:hint="eastAsia" w:ascii="宋体" w:hAnsi="宋体" w:eastAsia="宋体" w:cs="宋体"/>
          <w:b w:val="0"/>
          <w:bCs/>
          <w:color w:val="000000" w:themeColor="text1"/>
          <w:sz w:val="21"/>
          <w:szCs w:val="21"/>
        </w:rPr>
        <w:t>元。</w:t>
      </w:r>
    </w:p>
    <w:p w14:paraId="5FEFFCB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 xml:space="preserve">B </w:t>
      </w:r>
      <w:r>
        <w:rPr>
          <w:rFonts w:hint="eastAsia" w:ascii="宋体" w:hAnsi="宋体" w:eastAsia="宋体" w:cs="宋体"/>
          <w:b w:val="0"/>
          <w:bCs/>
          <w:color w:val="000000" w:themeColor="text1"/>
          <w:sz w:val="21"/>
          <w:szCs w:val="21"/>
        </w:rPr>
        <w:t>方案：向银行取得长期借款</w:t>
      </w:r>
      <w:r>
        <w:rPr>
          <w:rFonts w:hint="eastAsia" w:ascii="宋体" w:hAnsi="宋体" w:eastAsia="宋体" w:cs="宋体"/>
          <w:b w:val="0"/>
          <w:bCs/>
          <w:color w:val="000000" w:themeColor="text1"/>
          <w:sz w:val="21"/>
          <w:szCs w:val="21"/>
          <w:lang w:val="en-US" w:eastAsia="zh-CN"/>
        </w:rPr>
        <w:t>1 500</w:t>
      </w:r>
      <w:r>
        <w:rPr>
          <w:rFonts w:hint="eastAsia" w:ascii="宋体" w:hAnsi="宋体" w:eastAsia="宋体" w:cs="宋体"/>
          <w:b w:val="0"/>
          <w:bCs/>
          <w:color w:val="000000" w:themeColor="text1"/>
          <w:sz w:val="21"/>
          <w:szCs w:val="21"/>
        </w:rPr>
        <w:t>万元，利息率</w:t>
      </w:r>
      <w:r>
        <w:rPr>
          <w:rFonts w:hint="eastAsia" w:ascii="宋体" w:hAnsi="宋体" w:eastAsia="宋体" w:cs="宋体"/>
          <w:b w:val="0"/>
          <w:bCs/>
          <w:color w:val="000000" w:themeColor="text1"/>
          <w:sz w:val="21"/>
          <w:szCs w:val="21"/>
          <w:lang w:val="en-US" w:eastAsia="zh-CN"/>
        </w:rPr>
        <w:t xml:space="preserve">10% </w:t>
      </w:r>
      <w:r>
        <w:rPr>
          <w:rFonts w:hint="eastAsia" w:ascii="宋体" w:hAnsi="宋体" w:eastAsia="宋体" w:cs="宋体"/>
          <w:b w:val="0"/>
          <w:bCs/>
          <w:color w:val="000000" w:themeColor="text1"/>
          <w:sz w:val="21"/>
          <w:szCs w:val="21"/>
        </w:rPr>
        <w:t xml:space="preserve">。 </w:t>
      </w:r>
    </w:p>
    <w:p w14:paraId="2BF1C4E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根据财务人员测算，追加筹资后销售额可望达到</w:t>
      </w:r>
      <w:r>
        <w:rPr>
          <w:rFonts w:hint="eastAsia" w:ascii="宋体" w:hAnsi="宋体" w:eastAsia="宋体" w:cs="宋体"/>
          <w:b w:val="0"/>
          <w:bCs/>
          <w:color w:val="000000" w:themeColor="text1"/>
          <w:sz w:val="21"/>
          <w:szCs w:val="21"/>
          <w:lang w:val="en-US" w:eastAsia="zh-CN"/>
        </w:rPr>
        <w:t>6 000</w:t>
      </w:r>
      <w:r>
        <w:rPr>
          <w:rFonts w:hint="eastAsia" w:ascii="宋体" w:hAnsi="宋体" w:eastAsia="宋体" w:cs="宋体"/>
          <w:b w:val="0"/>
          <w:bCs/>
          <w:color w:val="000000" w:themeColor="text1"/>
          <w:sz w:val="21"/>
          <w:szCs w:val="21"/>
        </w:rPr>
        <w:t>万元，变动成本率</w:t>
      </w:r>
      <w:r>
        <w:rPr>
          <w:rFonts w:hint="eastAsia" w:ascii="宋体" w:hAnsi="宋体" w:eastAsia="宋体" w:cs="宋体"/>
          <w:b w:val="0"/>
          <w:bCs/>
          <w:color w:val="000000" w:themeColor="text1"/>
          <w:sz w:val="21"/>
          <w:szCs w:val="21"/>
          <w:lang w:val="en-US" w:eastAsia="zh-CN"/>
        </w:rPr>
        <w:t xml:space="preserve">60% </w:t>
      </w:r>
      <w:r>
        <w:rPr>
          <w:rFonts w:hint="eastAsia" w:ascii="宋体" w:hAnsi="宋体" w:eastAsia="宋体" w:cs="宋体"/>
          <w:b w:val="0"/>
          <w:bCs/>
          <w:color w:val="000000" w:themeColor="text1"/>
          <w:sz w:val="21"/>
          <w:szCs w:val="21"/>
        </w:rPr>
        <w:t>，固定成本为</w:t>
      </w:r>
      <w:r>
        <w:rPr>
          <w:rFonts w:hint="eastAsia" w:ascii="宋体" w:hAnsi="宋体" w:eastAsia="宋体" w:cs="宋体"/>
          <w:b w:val="0"/>
          <w:bCs/>
          <w:color w:val="000000" w:themeColor="text1"/>
          <w:sz w:val="21"/>
          <w:szCs w:val="21"/>
          <w:lang w:val="en-US" w:eastAsia="zh-CN"/>
        </w:rPr>
        <w:t>1 000</w:t>
      </w:r>
      <w:r>
        <w:rPr>
          <w:rFonts w:hint="eastAsia" w:ascii="宋体" w:hAnsi="宋体" w:eastAsia="宋体" w:cs="宋体"/>
          <w:b w:val="0"/>
          <w:bCs/>
          <w:color w:val="000000" w:themeColor="text1"/>
          <w:sz w:val="21"/>
          <w:szCs w:val="21"/>
        </w:rPr>
        <w:t>万元，企业所得税税率为</w:t>
      </w:r>
      <w:r>
        <w:rPr>
          <w:rFonts w:hint="eastAsia" w:ascii="宋体" w:hAnsi="宋体" w:eastAsia="宋体" w:cs="宋体"/>
          <w:b w:val="0"/>
          <w:bCs/>
          <w:color w:val="000000" w:themeColor="text1"/>
          <w:sz w:val="21"/>
          <w:szCs w:val="21"/>
          <w:lang w:val="en-US" w:eastAsia="zh-CN"/>
        </w:rPr>
        <w:t xml:space="preserve">25% </w:t>
      </w:r>
      <w:r>
        <w:rPr>
          <w:rFonts w:hint="eastAsia" w:ascii="宋体" w:hAnsi="宋体" w:eastAsia="宋体" w:cs="宋体"/>
          <w:b w:val="0"/>
          <w:bCs/>
          <w:color w:val="000000" w:themeColor="text1"/>
          <w:sz w:val="21"/>
          <w:szCs w:val="21"/>
        </w:rPr>
        <w:t>，不考虑筹资费用因素。</w:t>
      </w:r>
    </w:p>
    <w:p w14:paraId="277B8DD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要求：计算长期债务和普通股筹资方式的每股收益无差别点，并根据每股收益分析法确定甲公司应该选择的方案</w:t>
      </w:r>
    </w:p>
    <w:p w14:paraId="12D3D8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rPr>
        <w:t>答案：</w:t>
      </w:r>
    </w:p>
    <w:p w14:paraId="4E5FE7F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r>
        <w:pict>
          <v:shape id="_x0000_s1035" o:spid="_x0000_s1035" o:spt="75" type="#_x0000_t75" style="position:absolute;left:0pt;margin-left:96.25pt;margin-top:0pt;height:33.5pt;width:306.05pt;mso-wrap-distance-left:9pt;mso-wrap-distance-right:9pt;z-index:-251648000;mso-width-relative:page;mso-height-relative:page;" filled="f" o:preferrelative="t" stroked="f" coordsize="21600,21600" wrapcoords="21592 -2 0 0 0 21599 21592 21601 8 21601 21600 21599 21600 0 8 -2 21592 -2">
            <v:path/>
            <v:fill on="f" focussize="0,0"/>
            <v:stroke on="f"/>
            <v:imagedata r:id="rId16" o:title=""/>
            <o:lock v:ext="edit" aspectratio="t"/>
            <w10:wrap type="tight"/>
          </v:shape>
        </w:pict>
      </w:r>
    </w:p>
    <w:p w14:paraId="42FAEF0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rPr>
      </w:pPr>
    </w:p>
    <w:p w14:paraId="6852539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解得：每股收益无差别点</w:t>
      </w:r>
      <w:r>
        <w:rPr>
          <w:rFonts w:hint="eastAsia" w:ascii="宋体" w:hAnsi="宋体" w:eastAsia="宋体" w:cs="宋体"/>
          <w:b w:val="0"/>
          <w:bCs/>
          <w:color w:val="000000" w:themeColor="text1"/>
          <w:sz w:val="21"/>
          <w:szCs w:val="21"/>
          <w:lang w:val="en-US" w:eastAsia="zh-CN"/>
        </w:rPr>
        <w:t>EBIT=1850</w:t>
      </w:r>
      <w:r>
        <w:rPr>
          <w:rFonts w:hint="eastAsia" w:ascii="宋体" w:hAnsi="宋体" w:eastAsia="宋体" w:cs="宋体"/>
          <w:b w:val="0"/>
          <w:bCs/>
          <w:color w:val="000000" w:themeColor="text1"/>
          <w:sz w:val="21"/>
          <w:szCs w:val="21"/>
        </w:rPr>
        <w:t>（万元）。</w:t>
      </w:r>
    </w:p>
    <w:p w14:paraId="3DF7C04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预期息税前利润＝</w:t>
      </w:r>
      <w:r>
        <w:rPr>
          <w:rFonts w:hint="eastAsia" w:ascii="宋体" w:hAnsi="宋体" w:eastAsia="宋体" w:cs="宋体"/>
          <w:b w:val="0"/>
          <w:bCs/>
          <w:color w:val="000000" w:themeColor="text1"/>
          <w:sz w:val="21"/>
          <w:szCs w:val="21"/>
          <w:lang w:val="en-US" w:eastAsia="zh-CN"/>
        </w:rPr>
        <w:t>6000×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1-60%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1400</w:t>
      </w:r>
      <w:r>
        <w:rPr>
          <w:rFonts w:hint="eastAsia" w:ascii="宋体" w:hAnsi="宋体" w:eastAsia="宋体" w:cs="宋体"/>
          <w:b w:val="0"/>
          <w:bCs/>
          <w:color w:val="000000" w:themeColor="text1"/>
          <w:sz w:val="21"/>
          <w:szCs w:val="21"/>
        </w:rPr>
        <w:t>（万元），低于无差别点</w:t>
      </w:r>
      <w:r>
        <w:rPr>
          <w:rFonts w:hint="eastAsia" w:ascii="宋体" w:hAnsi="宋体" w:eastAsia="宋体" w:cs="宋体"/>
          <w:b w:val="0"/>
          <w:bCs/>
          <w:color w:val="000000" w:themeColor="text1"/>
          <w:sz w:val="21"/>
          <w:szCs w:val="21"/>
          <w:lang w:val="en-US" w:eastAsia="zh-CN"/>
        </w:rPr>
        <w:t>1850</w:t>
      </w:r>
      <w:r>
        <w:rPr>
          <w:rFonts w:hint="eastAsia" w:ascii="宋体" w:hAnsi="宋体" w:eastAsia="宋体" w:cs="宋体"/>
          <w:b w:val="0"/>
          <w:bCs/>
          <w:color w:val="000000" w:themeColor="text1"/>
          <w:sz w:val="21"/>
          <w:szCs w:val="21"/>
        </w:rPr>
        <w:t>万元，应当采用债务筹资较少的甲方案，即</w:t>
      </w:r>
      <w:r>
        <w:rPr>
          <w:rFonts w:hint="eastAsia" w:ascii="宋体" w:hAnsi="宋体" w:eastAsia="宋体" w:cs="宋体"/>
          <w:b w:val="0"/>
          <w:bCs/>
          <w:color w:val="000000" w:themeColor="text1"/>
          <w:sz w:val="21"/>
          <w:szCs w:val="21"/>
          <w:lang w:val="en-US" w:eastAsia="zh-CN"/>
        </w:rPr>
        <w:t>A</w:t>
      </w:r>
      <w:r>
        <w:rPr>
          <w:rFonts w:hint="eastAsia" w:ascii="宋体" w:hAnsi="宋体" w:eastAsia="宋体" w:cs="宋体"/>
          <w:b w:val="0"/>
          <w:bCs/>
          <w:color w:val="000000" w:themeColor="text1"/>
          <w:sz w:val="21"/>
          <w:szCs w:val="21"/>
        </w:rPr>
        <w:t>方案（增发普通股方案）。</w:t>
      </w:r>
    </w:p>
    <w:p w14:paraId="0D3B20C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p>
    <w:p w14:paraId="784D90F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例</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rPr>
        <w:t>计算分析题</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000000" w:themeColor="text1"/>
          <w:sz w:val="21"/>
          <w:szCs w:val="21"/>
        </w:rPr>
        <w:t>乙公司是一家上市公司，该公司</w:t>
      </w:r>
      <w:r>
        <w:rPr>
          <w:rFonts w:hint="eastAsia" w:ascii="宋体" w:hAnsi="宋体" w:eastAsia="宋体" w:cs="宋体"/>
          <w:b w:val="0"/>
          <w:bCs/>
          <w:color w:val="000000" w:themeColor="text1"/>
          <w:sz w:val="21"/>
          <w:szCs w:val="21"/>
          <w:lang w:val="en-US" w:eastAsia="zh-CN"/>
        </w:rPr>
        <w:t>2014</w:t>
      </w:r>
      <w:r>
        <w:rPr>
          <w:rFonts w:hint="eastAsia" w:ascii="宋体" w:hAnsi="宋体" w:eastAsia="宋体" w:cs="宋体"/>
          <w:b w:val="0"/>
          <w:bCs/>
          <w:color w:val="000000" w:themeColor="text1"/>
          <w:sz w:val="21"/>
          <w:szCs w:val="21"/>
        </w:rPr>
        <w:t>年未资产总计为</w:t>
      </w:r>
      <w:r>
        <w:rPr>
          <w:rFonts w:hint="eastAsia" w:ascii="宋体" w:hAnsi="宋体" w:eastAsia="宋体" w:cs="宋体"/>
          <w:b w:val="0"/>
          <w:bCs/>
          <w:color w:val="000000" w:themeColor="text1"/>
          <w:sz w:val="21"/>
          <w:szCs w:val="21"/>
          <w:lang w:val="en-US" w:eastAsia="zh-CN"/>
        </w:rPr>
        <w:t>10000</w:t>
      </w:r>
      <w:r>
        <w:rPr>
          <w:rFonts w:hint="eastAsia" w:ascii="宋体" w:hAnsi="宋体" w:eastAsia="宋体" w:cs="宋体"/>
          <w:b w:val="0"/>
          <w:bCs/>
          <w:color w:val="000000" w:themeColor="text1"/>
          <w:sz w:val="21"/>
          <w:szCs w:val="21"/>
        </w:rPr>
        <w:t>万元，其中负债合计为</w:t>
      </w:r>
      <w:r>
        <w:rPr>
          <w:rFonts w:hint="eastAsia" w:ascii="宋体" w:hAnsi="宋体" w:eastAsia="宋体" w:cs="宋体"/>
          <w:b w:val="0"/>
          <w:bCs/>
          <w:color w:val="000000" w:themeColor="text1"/>
          <w:sz w:val="21"/>
          <w:szCs w:val="21"/>
          <w:lang w:val="en-US" w:eastAsia="zh-CN"/>
        </w:rPr>
        <w:t>2000</w:t>
      </w:r>
      <w:r>
        <w:rPr>
          <w:rFonts w:hint="eastAsia" w:ascii="宋体" w:hAnsi="宋体" w:eastAsia="宋体" w:cs="宋体"/>
          <w:b w:val="0"/>
          <w:bCs/>
          <w:color w:val="000000" w:themeColor="text1"/>
          <w:sz w:val="21"/>
          <w:szCs w:val="21"/>
        </w:rPr>
        <w:t>万元。该公司适用的所得税税率为</w:t>
      </w:r>
      <w:r>
        <w:rPr>
          <w:rFonts w:hint="eastAsia" w:ascii="宋体" w:hAnsi="宋体" w:eastAsia="宋体" w:cs="宋体"/>
          <w:b w:val="0"/>
          <w:bCs/>
          <w:color w:val="000000" w:themeColor="text1"/>
          <w:sz w:val="21"/>
          <w:szCs w:val="21"/>
          <w:lang w:val="en-US" w:eastAsia="zh-CN"/>
        </w:rPr>
        <w:t>25%</w:t>
      </w:r>
      <w:r>
        <w:rPr>
          <w:rFonts w:hint="eastAsia" w:ascii="宋体" w:hAnsi="宋体" w:eastAsia="宋体" w:cs="宋体"/>
          <w:b w:val="0"/>
          <w:bCs/>
          <w:color w:val="000000" w:themeColor="text1"/>
          <w:sz w:val="21"/>
          <w:szCs w:val="21"/>
        </w:rPr>
        <w:t>。相关资料如下：</w:t>
      </w:r>
    </w:p>
    <w:p w14:paraId="42659D1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资料一：乙公司认为</w:t>
      </w:r>
      <w:r>
        <w:rPr>
          <w:rFonts w:hint="eastAsia" w:ascii="宋体" w:hAnsi="宋体" w:eastAsia="宋体" w:cs="宋体"/>
          <w:b w:val="0"/>
          <w:bCs/>
          <w:color w:val="000000" w:themeColor="text1"/>
          <w:sz w:val="21"/>
          <w:szCs w:val="21"/>
          <w:lang w:val="en-US" w:eastAsia="zh-CN"/>
        </w:rPr>
        <w:t>2014</w:t>
      </w:r>
      <w:r>
        <w:rPr>
          <w:rFonts w:hint="eastAsia" w:ascii="宋体" w:hAnsi="宋体" w:eastAsia="宋体" w:cs="宋体"/>
          <w:b w:val="0"/>
          <w:bCs/>
          <w:color w:val="000000" w:themeColor="text1"/>
          <w:sz w:val="21"/>
          <w:szCs w:val="21"/>
        </w:rPr>
        <w:t>年的资本结构不合理，准备发行债券募集资金用于投资，并利用自有资金回购相应价格的股票，优化资本结构，降低资本成本。假设发行债券不考虑从筹资费用，且债券的市场价值等于其面值，股票回购后该公司总资产账面价值不变，经测算，不同资本结构下的债务利率和运用资本资产定价模型确定的权益资本成本如下表所示：</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41"/>
        <w:gridCol w:w="1297"/>
        <w:gridCol w:w="1226"/>
        <w:gridCol w:w="1418"/>
        <w:gridCol w:w="2506"/>
        <w:gridCol w:w="2454"/>
      </w:tblGrid>
      <w:tr w14:paraId="0700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31" w:hRule="atLeast"/>
        </w:trPr>
        <w:tc>
          <w:tcPr>
            <w:tcW w:w="778" w:type="pct"/>
            <w:shd w:val="clear" w:color="auto" w:fill="auto"/>
            <w:tcMar>
              <w:top w:w="72" w:type="dxa"/>
              <w:left w:w="144" w:type="dxa"/>
              <w:bottom w:w="72" w:type="dxa"/>
              <w:right w:w="144" w:type="dxa"/>
            </w:tcMar>
            <w:vAlign w:val="top"/>
          </w:tcPr>
          <w:p w14:paraId="6810F93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方案</w:t>
            </w:r>
          </w:p>
        </w:tc>
        <w:tc>
          <w:tcPr>
            <w:tcW w:w="615" w:type="pct"/>
            <w:shd w:val="clear" w:color="auto" w:fill="auto"/>
            <w:tcMar>
              <w:top w:w="72" w:type="dxa"/>
              <w:left w:w="144" w:type="dxa"/>
              <w:bottom w:w="72" w:type="dxa"/>
              <w:right w:w="144" w:type="dxa"/>
            </w:tcMar>
            <w:vAlign w:val="top"/>
          </w:tcPr>
          <w:p w14:paraId="632F2271">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负债</w:t>
            </w:r>
          </w:p>
          <w:p w14:paraId="48FA6D4A">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（万元）</w:t>
            </w:r>
          </w:p>
        </w:tc>
        <w:tc>
          <w:tcPr>
            <w:tcW w:w="581" w:type="pct"/>
            <w:shd w:val="clear" w:color="auto" w:fill="auto"/>
            <w:tcMar>
              <w:top w:w="72" w:type="dxa"/>
              <w:left w:w="144" w:type="dxa"/>
              <w:bottom w:w="72" w:type="dxa"/>
              <w:right w:w="144" w:type="dxa"/>
            </w:tcMar>
            <w:vAlign w:val="top"/>
          </w:tcPr>
          <w:p w14:paraId="3CFD407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债务利率</w:t>
            </w:r>
          </w:p>
        </w:tc>
        <w:tc>
          <w:tcPr>
            <w:tcW w:w="672" w:type="pct"/>
            <w:shd w:val="clear" w:color="auto" w:fill="auto"/>
            <w:tcMar>
              <w:top w:w="72" w:type="dxa"/>
              <w:left w:w="144" w:type="dxa"/>
              <w:bottom w:w="72" w:type="dxa"/>
              <w:right w:w="144" w:type="dxa"/>
            </w:tcMar>
            <w:vAlign w:val="top"/>
          </w:tcPr>
          <w:p w14:paraId="127DABE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税后债务资本成本</w:t>
            </w:r>
          </w:p>
        </w:tc>
        <w:tc>
          <w:tcPr>
            <w:tcW w:w="1188" w:type="pct"/>
            <w:shd w:val="clear" w:color="auto" w:fill="auto"/>
            <w:tcMar>
              <w:top w:w="72" w:type="dxa"/>
              <w:left w:w="144" w:type="dxa"/>
              <w:bottom w:w="72" w:type="dxa"/>
              <w:right w:w="144" w:type="dxa"/>
            </w:tcMar>
            <w:vAlign w:val="top"/>
          </w:tcPr>
          <w:p w14:paraId="508FB7A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按资本资产定价模型确定的权益资本成本</w:t>
            </w:r>
          </w:p>
        </w:tc>
        <w:tc>
          <w:tcPr>
            <w:tcW w:w="1163" w:type="pct"/>
            <w:shd w:val="clear" w:color="auto" w:fill="auto"/>
            <w:tcMar>
              <w:top w:w="72" w:type="dxa"/>
              <w:left w:w="144" w:type="dxa"/>
              <w:bottom w:w="72" w:type="dxa"/>
              <w:right w:w="144" w:type="dxa"/>
            </w:tcMar>
            <w:vAlign w:val="top"/>
          </w:tcPr>
          <w:p w14:paraId="53FBC2C7">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以账面价值为权重确定的平均资本成本</w:t>
            </w:r>
          </w:p>
        </w:tc>
      </w:tr>
      <w:tr w14:paraId="12EC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2" w:hRule="atLeast"/>
        </w:trPr>
        <w:tc>
          <w:tcPr>
            <w:tcW w:w="778" w:type="pct"/>
            <w:shd w:val="clear" w:color="auto" w:fill="auto"/>
            <w:tcMar>
              <w:top w:w="72" w:type="dxa"/>
              <w:left w:w="144" w:type="dxa"/>
              <w:bottom w:w="72" w:type="dxa"/>
              <w:right w:w="144" w:type="dxa"/>
            </w:tcMar>
            <w:vAlign w:val="top"/>
          </w:tcPr>
          <w:p w14:paraId="7A3F1087">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原资本结构</w:t>
            </w:r>
          </w:p>
        </w:tc>
        <w:tc>
          <w:tcPr>
            <w:tcW w:w="615" w:type="pct"/>
            <w:shd w:val="clear" w:color="auto" w:fill="auto"/>
            <w:tcMar>
              <w:top w:w="72" w:type="dxa"/>
              <w:left w:w="144" w:type="dxa"/>
              <w:bottom w:w="72" w:type="dxa"/>
              <w:right w:w="144" w:type="dxa"/>
            </w:tcMar>
            <w:vAlign w:val="top"/>
          </w:tcPr>
          <w:p w14:paraId="32DE24CD">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2000</w:t>
            </w:r>
          </w:p>
        </w:tc>
        <w:tc>
          <w:tcPr>
            <w:tcW w:w="581" w:type="pct"/>
            <w:shd w:val="clear" w:color="auto" w:fill="auto"/>
            <w:tcMar>
              <w:top w:w="72" w:type="dxa"/>
              <w:left w:w="144" w:type="dxa"/>
              <w:bottom w:w="72" w:type="dxa"/>
              <w:right w:w="144" w:type="dxa"/>
            </w:tcMar>
            <w:vAlign w:val="top"/>
          </w:tcPr>
          <w:p w14:paraId="3EF7344E">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（A）</w:t>
            </w:r>
          </w:p>
        </w:tc>
        <w:tc>
          <w:tcPr>
            <w:tcW w:w="672" w:type="pct"/>
            <w:shd w:val="clear" w:color="auto" w:fill="auto"/>
            <w:tcMar>
              <w:top w:w="72" w:type="dxa"/>
              <w:left w:w="144" w:type="dxa"/>
              <w:bottom w:w="72" w:type="dxa"/>
              <w:right w:w="144" w:type="dxa"/>
            </w:tcMar>
            <w:vAlign w:val="top"/>
          </w:tcPr>
          <w:p w14:paraId="47AFF363">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4.5%</w:t>
            </w:r>
          </w:p>
        </w:tc>
        <w:tc>
          <w:tcPr>
            <w:tcW w:w="1188" w:type="pct"/>
            <w:shd w:val="clear" w:color="auto" w:fill="auto"/>
            <w:tcMar>
              <w:top w:w="72" w:type="dxa"/>
              <w:left w:w="144" w:type="dxa"/>
              <w:bottom w:w="72" w:type="dxa"/>
              <w:right w:w="144" w:type="dxa"/>
            </w:tcMar>
            <w:vAlign w:val="top"/>
          </w:tcPr>
          <w:p w14:paraId="3F86D976">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11.5%</w:t>
            </w:r>
          </w:p>
        </w:tc>
        <w:tc>
          <w:tcPr>
            <w:tcW w:w="1163" w:type="pct"/>
            <w:shd w:val="clear" w:color="auto" w:fill="auto"/>
            <w:tcMar>
              <w:top w:w="72" w:type="dxa"/>
              <w:left w:w="144" w:type="dxa"/>
              <w:bottom w:w="72" w:type="dxa"/>
              <w:right w:w="144" w:type="dxa"/>
            </w:tcMar>
            <w:vAlign w:val="top"/>
          </w:tcPr>
          <w:p w14:paraId="0485F2E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（C）</w:t>
            </w:r>
          </w:p>
        </w:tc>
      </w:tr>
      <w:tr w14:paraId="047C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trPr>
        <w:tc>
          <w:tcPr>
            <w:tcW w:w="778" w:type="pct"/>
            <w:shd w:val="clear" w:color="auto" w:fill="auto"/>
            <w:tcMar>
              <w:top w:w="72" w:type="dxa"/>
              <w:left w:w="144" w:type="dxa"/>
              <w:bottom w:w="72" w:type="dxa"/>
              <w:right w:w="144" w:type="dxa"/>
            </w:tcMar>
            <w:vAlign w:val="top"/>
          </w:tcPr>
          <w:p w14:paraId="6BEA7BDD">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新资本结构</w:t>
            </w:r>
          </w:p>
        </w:tc>
        <w:tc>
          <w:tcPr>
            <w:tcW w:w="615" w:type="pct"/>
            <w:shd w:val="clear" w:color="auto" w:fill="auto"/>
            <w:tcMar>
              <w:top w:w="72" w:type="dxa"/>
              <w:left w:w="144" w:type="dxa"/>
              <w:bottom w:w="72" w:type="dxa"/>
              <w:right w:w="144" w:type="dxa"/>
            </w:tcMar>
            <w:vAlign w:val="top"/>
          </w:tcPr>
          <w:p w14:paraId="3D570350">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4000</w:t>
            </w:r>
          </w:p>
        </w:tc>
        <w:tc>
          <w:tcPr>
            <w:tcW w:w="581" w:type="pct"/>
            <w:shd w:val="clear" w:color="auto" w:fill="auto"/>
            <w:tcMar>
              <w:top w:w="72" w:type="dxa"/>
              <w:left w:w="144" w:type="dxa"/>
              <w:bottom w:w="72" w:type="dxa"/>
              <w:right w:w="144" w:type="dxa"/>
            </w:tcMar>
            <w:vAlign w:val="top"/>
          </w:tcPr>
          <w:p w14:paraId="7C39E9D2">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7%</w:t>
            </w:r>
          </w:p>
        </w:tc>
        <w:tc>
          <w:tcPr>
            <w:tcW w:w="672" w:type="pct"/>
            <w:shd w:val="clear" w:color="auto" w:fill="auto"/>
            <w:tcMar>
              <w:top w:w="72" w:type="dxa"/>
              <w:left w:w="144" w:type="dxa"/>
              <w:bottom w:w="72" w:type="dxa"/>
              <w:right w:w="144" w:type="dxa"/>
            </w:tcMar>
            <w:vAlign w:val="top"/>
          </w:tcPr>
          <w:p w14:paraId="17A6D85B">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（B）</w:t>
            </w:r>
          </w:p>
        </w:tc>
        <w:tc>
          <w:tcPr>
            <w:tcW w:w="1188" w:type="pct"/>
            <w:shd w:val="clear" w:color="auto" w:fill="auto"/>
            <w:tcMar>
              <w:top w:w="72" w:type="dxa"/>
              <w:left w:w="144" w:type="dxa"/>
              <w:bottom w:w="72" w:type="dxa"/>
              <w:right w:w="144" w:type="dxa"/>
            </w:tcMar>
            <w:vAlign w:val="top"/>
          </w:tcPr>
          <w:p w14:paraId="1A48712E">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13%</w:t>
            </w:r>
          </w:p>
        </w:tc>
        <w:tc>
          <w:tcPr>
            <w:tcW w:w="1163" w:type="pct"/>
            <w:shd w:val="clear" w:color="auto" w:fill="auto"/>
            <w:tcMar>
              <w:top w:w="72" w:type="dxa"/>
              <w:left w:w="144" w:type="dxa"/>
              <w:bottom w:w="72" w:type="dxa"/>
              <w:right w:w="144" w:type="dxa"/>
            </w:tcMar>
            <w:vAlign w:val="top"/>
          </w:tcPr>
          <w:p w14:paraId="22BC37B9">
            <w:pPr>
              <w:pStyle w:val="11"/>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1"/>
                <w:szCs w:val="21"/>
              </w:rPr>
            </w:pPr>
            <w:r>
              <w:rPr>
                <w:rFonts w:hint="eastAsia" w:ascii="宋体" w:hAnsi="宋体" w:eastAsia="宋体" w:cs="宋体"/>
                <w:i w:val="0"/>
                <w:iCs w:val="0"/>
                <w:color w:val="000000" w:themeColor="text1"/>
                <w:kern w:val="24"/>
                <w:sz w:val="21"/>
                <w:szCs w:val="21"/>
                <w:u w:val="none"/>
              </w:rPr>
              <w:t>（D）</w:t>
            </w:r>
          </w:p>
        </w:tc>
      </w:tr>
    </w:tbl>
    <w:p w14:paraId="41A7A174">
      <w:pPr>
        <w:pStyle w:val="3"/>
        <w:keepNext w:val="0"/>
        <w:keepLines w:val="0"/>
        <w:pageBreakBefore w:val="0"/>
        <w:widowControl w:val="0"/>
        <w:kinsoku/>
        <w:wordWrap/>
        <w:overflowPunct/>
        <w:topLinePunct w:val="0"/>
        <w:autoSpaceDE w:val="0"/>
        <w:autoSpaceDN w:val="0"/>
        <w:bidi w:val="0"/>
        <w:adjustRightInd w:val="0"/>
        <w:snapToGrid/>
        <w:spacing w:before="0" w:beforeLines="5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要求</w:t>
      </w:r>
      <w:r>
        <w:rPr>
          <w:rFonts w:hint="eastAsia" w:ascii="宋体" w:hAnsi="宋体" w:eastAsia="宋体" w:cs="宋体"/>
          <w:b w:val="0"/>
          <w:bCs/>
          <w:color w:val="000000" w:themeColor="text1"/>
          <w:sz w:val="21"/>
          <w:szCs w:val="21"/>
          <w:lang w:val="en-US" w:eastAsia="zh-CN"/>
        </w:rPr>
        <w:t>:</w:t>
      </w:r>
    </w:p>
    <w:p w14:paraId="7B35F21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）确定上表</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中英文字母代表的数值（不需要列式计算过程）。</w:t>
      </w:r>
    </w:p>
    <w:p w14:paraId="1D956C7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）根据（</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）的计算结果，判断这两种资本结构中哪种资本结构较优，并说明理由。</w:t>
      </w:r>
    </w:p>
    <w:p w14:paraId="5A02A34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）预计</w:t>
      </w:r>
      <w:r>
        <w:rPr>
          <w:rFonts w:hint="eastAsia" w:ascii="宋体" w:hAnsi="宋体" w:eastAsia="宋体" w:cs="宋体"/>
          <w:b w:val="0"/>
          <w:bCs/>
          <w:color w:val="000000" w:themeColor="text1"/>
          <w:sz w:val="21"/>
          <w:szCs w:val="21"/>
          <w:lang w:val="en-US" w:eastAsia="zh-CN"/>
        </w:rPr>
        <w:t>2015</w:t>
      </w:r>
      <w:r>
        <w:rPr>
          <w:rFonts w:hint="eastAsia" w:ascii="宋体" w:hAnsi="宋体" w:eastAsia="宋体" w:cs="宋体"/>
          <w:b w:val="0"/>
          <w:bCs/>
          <w:color w:val="000000" w:themeColor="text1"/>
          <w:sz w:val="21"/>
          <w:szCs w:val="21"/>
        </w:rPr>
        <w:t>年乙公司的息税前利润为</w:t>
      </w:r>
      <w:r>
        <w:rPr>
          <w:rFonts w:hint="eastAsia" w:ascii="宋体" w:hAnsi="宋体" w:eastAsia="宋体" w:cs="宋体"/>
          <w:b w:val="0"/>
          <w:bCs/>
          <w:color w:val="000000" w:themeColor="text1"/>
          <w:sz w:val="21"/>
          <w:szCs w:val="21"/>
          <w:lang w:val="en-US" w:eastAsia="zh-CN"/>
        </w:rPr>
        <w:t>1400</w:t>
      </w:r>
      <w:r>
        <w:rPr>
          <w:rFonts w:hint="eastAsia" w:ascii="宋体" w:hAnsi="宋体" w:eastAsia="宋体" w:cs="宋体"/>
          <w:b w:val="0"/>
          <w:bCs/>
          <w:color w:val="000000" w:themeColor="text1"/>
          <w:sz w:val="21"/>
          <w:szCs w:val="21"/>
        </w:rPr>
        <w:t>万元，假设</w:t>
      </w:r>
      <w:r>
        <w:rPr>
          <w:rFonts w:hint="eastAsia" w:ascii="宋体" w:hAnsi="宋体" w:eastAsia="宋体" w:cs="宋体"/>
          <w:b w:val="0"/>
          <w:bCs/>
          <w:color w:val="000000" w:themeColor="text1"/>
          <w:sz w:val="21"/>
          <w:szCs w:val="21"/>
          <w:lang w:val="en-US" w:eastAsia="zh-CN"/>
        </w:rPr>
        <w:t>2015</w:t>
      </w:r>
      <w:r>
        <w:rPr>
          <w:rFonts w:hint="eastAsia" w:ascii="宋体" w:hAnsi="宋体" w:eastAsia="宋体" w:cs="宋体"/>
          <w:b w:val="0"/>
          <w:bCs/>
          <w:color w:val="000000" w:themeColor="text1"/>
          <w:sz w:val="21"/>
          <w:szCs w:val="21"/>
        </w:rPr>
        <w:t>年该公司选择债务为</w:t>
      </w:r>
      <w:r>
        <w:rPr>
          <w:rFonts w:hint="eastAsia" w:ascii="宋体" w:hAnsi="宋体" w:eastAsia="宋体" w:cs="宋体"/>
          <w:b w:val="0"/>
          <w:bCs/>
          <w:color w:val="000000" w:themeColor="text1"/>
          <w:sz w:val="21"/>
          <w:szCs w:val="21"/>
          <w:lang w:val="en-US" w:eastAsia="zh-CN"/>
        </w:rPr>
        <w:t xml:space="preserve">4000 </w:t>
      </w:r>
      <w:r>
        <w:rPr>
          <w:rFonts w:hint="eastAsia" w:ascii="宋体" w:hAnsi="宋体" w:eastAsia="宋体" w:cs="宋体"/>
          <w:b w:val="0"/>
          <w:bCs/>
          <w:color w:val="000000" w:themeColor="text1"/>
          <w:sz w:val="21"/>
          <w:szCs w:val="21"/>
        </w:rPr>
        <w:t>万元的资本结构，</w:t>
      </w:r>
      <w:r>
        <w:rPr>
          <w:rFonts w:hint="eastAsia" w:ascii="宋体" w:hAnsi="宋体" w:eastAsia="宋体" w:cs="宋体"/>
          <w:b w:val="0"/>
          <w:bCs/>
          <w:color w:val="000000" w:themeColor="text1"/>
          <w:sz w:val="21"/>
          <w:szCs w:val="21"/>
          <w:lang w:val="en-US" w:eastAsia="zh-CN"/>
        </w:rPr>
        <w:t xml:space="preserve">2016 </w:t>
      </w:r>
      <w:r>
        <w:rPr>
          <w:rFonts w:hint="eastAsia" w:ascii="宋体" w:hAnsi="宋体" w:eastAsia="宋体" w:cs="宋体"/>
          <w:b w:val="0"/>
          <w:bCs/>
          <w:color w:val="000000" w:themeColor="text1"/>
          <w:sz w:val="21"/>
          <w:szCs w:val="21"/>
        </w:rPr>
        <w:t>年的经营杠杆系数（</w:t>
      </w:r>
      <w:r>
        <w:rPr>
          <w:rFonts w:hint="eastAsia" w:ascii="宋体" w:hAnsi="宋体" w:eastAsia="宋体" w:cs="宋体"/>
          <w:b w:val="0"/>
          <w:bCs/>
          <w:color w:val="000000" w:themeColor="text1"/>
          <w:sz w:val="21"/>
          <w:szCs w:val="21"/>
          <w:lang w:val="en-US" w:eastAsia="zh-CN"/>
        </w:rPr>
        <w:t>DOL</w:t>
      </w:r>
      <w:r>
        <w:rPr>
          <w:rFonts w:hint="eastAsia" w:ascii="宋体" w:hAnsi="宋体" w:eastAsia="宋体" w:cs="宋体"/>
          <w:b w:val="0"/>
          <w:bCs/>
          <w:color w:val="000000" w:themeColor="text1"/>
          <w:sz w:val="21"/>
          <w:szCs w:val="21"/>
        </w:rPr>
        <w:t>）为</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，计算该公司</w:t>
      </w: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年的财务杠杆系数（</w:t>
      </w:r>
      <w:r>
        <w:rPr>
          <w:rFonts w:hint="eastAsia" w:ascii="宋体" w:hAnsi="宋体" w:eastAsia="宋体" w:cs="宋体"/>
          <w:b w:val="0"/>
          <w:bCs/>
          <w:color w:val="000000" w:themeColor="text1"/>
          <w:sz w:val="21"/>
          <w:szCs w:val="21"/>
          <w:lang w:val="en-US" w:eastAsia="zh-CN"/>
        </w:rPr>
        <w:t>DOL</w:t>
      </w:r>
      <w:r>
        <w:rPr>
          <w:rFonts w:hint="eastAsia" w:ascii="宋体" w:hAnsi="宋体" w:eastAsia="宋体" w:cs="宋体"/>
          <w:b w:val="0"/>
          <w:bCs/>
          <w:color w:val="000000" w:themeColor="text1"/>
          <w:sz w:val="21"/>
          <w:szCs w:val="21"/>
        </w:rPr>
        <w:t>）和总杠杆系数（</w:t>
      </w:r>
      <w:r>
        <w:rPr>
          <w:rFonts w:hint="eastAsia" w:ascii="宋体" w:hAnsi="宋体" w:eastAsia="宋体" w:cs="宋体"/>
          <w:b w:val="0"/>
          <w:bCs/>
          <w:color w:val="000000" w:themeColor="text1"/>
          <w:sz w:val="21"/>
          <w:szCs w:val="21"/>
          <w:lang w:val="en-US" w:eastAsia="zh-CN"/>
        </w:rPr>
        <w:t>DTL</w:t>
      </w:r>
      <w:r>
        <w:rPr>
          <w:rFonts w:hint="eastAsia" w:ascii="宋体" w:hAnsi="宋体" w:eastAsia="宋体" w:cs="宋体"/>
          <w:b w:val="0"/>
          <w:bCs/>
          <w:color w:val="000000" w:themeColor="text1"/>
          <w:sz w:val="21"/>
          <w:szCs w:val="21"/>
        </w:rPr>
        <w:t>）。</w:t>
      </w:r>
    </w:p>
    <w:p w14:paraId="73741FC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rPr>
        <w:t>答案：</w:t>
      </w:r>
    </w:p>
    <w:p w14:paraId="0AF09C6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A=4.5%/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=6% B=7%×</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=5.25%</w:t>
      </w:r>
    </w:p>
    <w:p w14:paraId="2877840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C=4.5%×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2000/10000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+11.5%×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8000/10000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=10.1% D=5.25%×</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4000/10000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+13%×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6000/10000</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=9.9%</w:t>
      </w:r>
    </w:p>
    <w:p w14:paraId="6C774C2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w:t>
      </w:r>
      <w:r>
        <w:rPr>
          <w:rFonts w:hint="eastAsia" w:ascii="宋体" w:hAnsi="宋体" w:eastAsia="宋体" w:cs="宋体"/>
          <w:b w:val="0"/>
          <w:bCs/>
          <w:color w:val="000000" w:themeColor="text1"/>
          <w:sz w:val="21"/>
          <w:szCs w:val="21"/>
        </w:rPr>
        <w:t>）新资本结构更优。理由：新资本结构下的加权平均资本成本（</w:t>
      </w:r>
      <w:r>
        <w:rPr>
          <w:rFonts w:hint="eastAsia" w:ascii="宋体" w:hAnsi="宋体" w:eastAsia="宋体" w:cs="宋体"/>
          <w:b w:val="0"/>
          <w:bCs/>
          <w:color w:val="000000" w:themeColor="text1"/>
          <w:sz w:val="21"/>
          <w:szCs w:val="21"/>
          <w:lang w:val="en-US" w:eastAsia="zh-CN"/>
        </w:rPr>
        <w:t>9.9%</w:t>
      </w:r>
      <w:r>
        <w:rPr>
          <w:rFonts w:hint="eastAsia" w:ascii="宋体" w:hAnsi="宋体" w:eastAsia="宋体" w:cs="宋体"/>
          <w:b w:val="0"/>
          <w:bCs/>
          <w:color w:val="000000" w:themeColor="text1"/>
          <w:sz w:val="21"/>
          <w:szCs w:val="21"/>
        </w:rPr>
        <w:t>）低于原资本结构的加权平均资本成本。</w:t>
      </w:r>
    </w:p>
    <w:p w14:paraId="55D2383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3</w:t>
      </w:r>
      <w:r>
        <w:rPr>
          <w:rFonts w:hint="eastAsia" w:ascii="宋体" w:hAnsi="宋体" w:eastAsia="宋体" w:cs="宋体"/>
          <w:b w:val="0"/>
          <w:bCs/>
          <w:color w:val="000000" w:themeColor="text1"/>
          <w:sz w:val="21"/>
          <w:szCs w:val="21"/>
        </w:rPr>
        <w:t>）</w:t>
      </w:r>
      <w:r>
        <w:rPr>
          <w:rFonts w:hint="eastAsia" w:ascii="宋体" w:hAnsi="宋体" w:eastAsia="宋体" w:cs="宋体"/>
          <w:b w:val="0"/>
          <w:bCs/>
          <w:color w:val="000000" w:themeColor="text1"/>
          <w:sz w:val="21"/>
          <w:szCs w:val="21"/>
          <w:lang w:val="en-US" w:eastAsia="zh-CN"/>
        </w:rPr>
        <w:t>2015</w:t>
      </w:r>
      <w:r>
        <w:rPr>
          <w:rFonts w:hint="eastAsia" w:ascii="宋体" w:hAnsi="宋体" w:eastAsia="宋体" w:cs="宋体"/>
          <w:b w:val="0"/>
          <w:bCs/>
          <w:color w:val="000000" w:themeColor="text1"/>
          <w:sz w:val="21"/>
          <w:szCs w:val="21"/>
        </w:rPr>
        <w:t>年的税前利润</w:t>
      </w:r>
      <w:r>
        <w:rPr>
          <w:rFonts w:hint="eastAsia" w:ascii="宋体" w:hAnsi="宋体" w:eastAsia="宋体" w:cs="宋体"/>
          <w:b w:val="0"/>
          <w:bCs/>
          <w:color w:val="000000" w:themeColor="text1"/>
          <w:sz w:val="21"/>
          <w:szCs w:val="21"/>
          <w:lang w:val="en-US" w:eastAsia="zh-CN"/>
        </w:rPr>
        <w:t>=1400-4000×7%=1120</w:t>
      </w:r>
      <w:r>
        <w:rPr>
          <w:rFonts w:hint="eastAsia" w:ascii="宋体" w:hAnsi="宋体" w:eastAsia="宋体" w:cs="宋体"/>
          <w:b w:val="0"/>
          <w:bCs/>
          <w:color w:val="000000" w:themeColor="text1"/>
          <w:sz w:val="21"/>
          <w:szCs w:val="21"/>
        </w:rPr>
        <w:t>（万元）</w:t>
      </w:r>
    </w:p>
    <w:p w14:paraId="15B82CA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lang w:val="en-US" w:eastAsia="zh-CN"/>
        </w:rPr>
      </w:pP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年的财务杠杆系数</w:t>
      </w:r>
      <w:r>
        <w:rPr>
          <w:rFonts w:hint="eastAsia" w:ascii="宋体" w:hAnsi="宋体" w:eastAsia="宋体" w:cs="宋体"/>
          <w:b w:val="0"/>
          <w:bCs/>
          <w:color w:val="000000" w:themeColor="text1"/>
          <w:sz w:val="21"/>
          <w:szCs w:val="21"/>
          <w:lang w:val="en-US" w:eastAsia="zh-CN"/>
        </w:rPr>
        <w:t>=2015</w:t>
      </w:r>
      <w:r>
        <w:rPr>
          <w:rFonts w:hint="eastAsia" w:ascii="宋体" w:hAnsi="宋体" w:eastAsia="宋体" w:cs="宋体"/>
          <w:b w:val="0"/>
          <w:bCs/>
          <w:color w:val="000000" w:themeColor="text1"/>
          <w:sz w:val="21"/>
          <w:szCs w:val="21"/>
        </w:rPr>
        <w:t>年息税前利润</w:t>
      </w:r>
      <w:r>
        <w:rPr>
          <w:rFonts w:hint="eastAsia" w:ascii="宋体" w:hAnsi="宋体" w:eastAsia="宋体" w:cs="宋体"/>
          <w:b w:val="0"/>
          <w:bCs/>
          <w:color w:val="000000" w:themeColor="text1"/>
          <w:sz w:val="21"/>
          <w:szCs w:val="21"/>
          <w:lang w:val="en-US" w:eastAsia="zh-CN"/>
        </w:rPr>
        <w:t xml:space="preserve">/2015 </w:t>
      </w:r>
      <w:r>
        <w:rPr>
          <w:rFonts w:hint="eastAsia" w:ascii="宋体" w:hAnsi="宋体" w:eastAsia="宋体" w:cs="宋体"/>
          <w:b w:val="0"/>
          <w:bCs/>
          <w:color w:val="000000" w:themeColor="text1"/>
          <w:sz w:val="21"/>
          <w:szCs w:val="21"/>
        </w:rPr>
        <w:t xml:space="preserve">年税前利润 </w:t>
      </w:r>
      <w:r>
        <w:rPr>
          <w:rFonts w:hint="eastAsia" w:ascii="宋体" w:hAnsi="宋体" w:eastAsia="宋体" w:cs="宋体"/>
          <w:b w:val="0"/>
          <w:bCs/>
          <w:color w:val="000000" w:themeColor="text1"/>
          <w:sz w:val="21"/>
          <w:szCs w:val="21"/>
          <w:lang w:val="en-US" w:eastAsia="zh-CN"/>
        </w:rPr>
        <w:t xml:space="preserve">=1400/1120=1.25                   </w:t>
      </w:r>
    </w:p>
    <w:p w14:paraId="18B307F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color w:val="000000" w:themeColor="text1"/>
          <w:sz w:val="21"/>
          <w:szCs w:val="21"/>
        </w:rPr>
      </w:pPr>
      <w:r>
        <w:rPr>
          <w:rFonts w:hint="eastAsia" w:ascii="宋体" w:hAnsi="宋体" w:eastAsia="宋体" w:cs="宋体"/>
          <w:b w:val="0"/>
          <w:bCs/>
          <w:color w:val="000000" w:themeColor="text1"/>
          <w:sz w:val="21"/>
          <w:szCs w:val="21"/>
          <w:lang w:val="en-US" w:eastAsia="zh-CN"/>
        </w:rPr>
        <w:t>2016</w:t>
      </w:r>
      <w:r>
        <w:rPr>
          <w:rFonts w:hint="eastAsia" w:ascii="宋体" w:hAnsi="宋体" w:eastAsia="宋体" w:cs="宋体"/>
          <w:b w:val="0"/>
          <w:bCs/>
          <w:color w:val="000000" w:themeColor="text1"/>
          <w:sz w:val="21"/>
          <w:szCs w:val="21"/>
        </w:rPr>
        <w:t>年总杠杆系数</w:t>
      </w:r>
      <w:r>
        <w:rPr>
          <w:rFonts w:hint="eastAsia" w:ascii="宋体" w:hAnsi="宋体" w:eastAsia="宋体" w:cs="宋体"/>
          <w:b w:val="0"/>
          <w:bCs/>
          <w:color w:val="000000" w:themeColor="text1"/>
          <w:sz w:val="21"/>
          <w:szCs w:val="21"/>
          <w:lang w:val="en-US" w:eastAsia="zh-CN"/>
        </w:rPr>
        <w:t>=2×1.25=2.5</w:t>
      </w:r>
    </w:p>
    <w:p w14:paraId="68F37FBD">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sz w:val="21"/>
          <w:szCs w:val="21"/>
        </w:rPr>
      </w:pPr>
    </w:p>
    <w:p w14:paraId="382403AA">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sz w:val="21"/>
          <w:szCs w:val="21"/>
        </w:rPr>
      </w:pPr>
    </w:p>
    <w:p w14:paraId="05DAA7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第六章  投资管理</w:t>
      </w:r>
    </w:p>
    <w:p w14:paraId="2AACA6C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969FC0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【例·综合题】甲公司计划在2021年初构建一条新生产线，现有A、B两个互斥投资方案，有关资料如下：</w:t>
      </w:r>
      <w:r>
        <w:rPr>
          <w:rFonts w:hint="eastAsia" w:ascii="宋体" w:hAnsi="宋体" w:eastAsia="宋体" w:cs="宋体"/>
          <w:sz w:val="21"/>
          <w:szCs w:val="21"/>
        </w:rPr>
        <w:br w:type="textWrapping"/>
      </w:r>
      <w:r>
        <w:rPr>
          <w:rFonts w:hint="eastAsia" w:ascii="宋体" w:hAnsi="宋体" w:eastAsia="宋体" w:cs="宋体"/>
          <w:sz w:val="21"/>
          <w:szCs w:val="21"/>
        </w:rPr>
        <w:t>资料一：A方案需要一次性投资30000000元，建设期为0，该生产线可用3年，按直线法计提折旧，净残值为0，第1年可取得税后营业利润10000000元，以后每年递增20%。</w:t>
      </w:r>
      <w:r>
        <w:rPr>
          <w:rFonts w:hint="eastAsia" w:ascii="宋体" w:hAnsi="宋体" w:eastAsia="宋体" w:cs="宋体"/>
          <w:sz w:val="21"/>
          <w:szCs w:val="21"/>
        </w:rPr>
        <w:br w:type="textWrapping"/>
      </w:r>
      <w:r>
        <w:rPr>
          <w:rFonts w:hint="eastAsia" w:ascii="宋体" w:hAnsi="宋体" w:eastAsia="宋体" w:cs="宋体"/>
          <w:sz w:val="21"/>
          <w:szCs w:val="21"/>
        </w:rPr>
        <w:t>资料二：B方案需要一次性投资50000000元，建设期为0，该生产线可用5年，按直线法计提折旧，净残值为0，投产后每年可获得营业收入35000000元，每年付现成本为8000000元。在投产期初需垫支营运资金5000000元，并于营业期满时一次性收回。</w:t>
      </w:r>
    </w:p>
    <w:p w14:paraId="7656F96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资料三：企业适用的所得税税率是25%，项目折现率为8%，</w:t>
      </w:r>
      <w:r>
        <w:rPr>
          <w:rFonts w:hint="eastAsia" w:ascii="宋体" w:hAnsi="宋体" w:eastAsia="宋体" w:cs="宋体"/>
          <w:sz w:val="21"/>
          <w:szCs w:val="21"/>
        </w:rPr>
        <w:br w:type="textWrapping"/>
      </w:r>
      <w:r>
        <w:rPr>
          <w:rFonts w:hint="eastAsia" w:ascii="宋体" w:hAnsi="宋体" w:eastAsia="宋体" w:cs="宋体"/>
          <w:sz w:val="21"/>
          <w:szCs w:val="21"/>
        </w:rPr>
        <w:t>已知：（P/F，8%，3）＝0.7938，（P/F，8%，4）＝0.7350，（P/F，8%，5）＝0.6860;（P/A，8%，3）＝2.5771，（P/A，8%，4）＝3.3121，（P/A，8%，5）＝3.9927。</w:t>
      </w:r>
      <w:r>
        <w:rPr>
          <w:rFonts w:hint="eastAsia" w:ascii="宋体" w:hAnsi="宋体" w:eastAsia="宋体" w:cs="宋体"/>
          <w:sz w:val="21"/>
          <w:szCs w:val="21"/>
        </w:rPr>
        <w:br w:type="textWrapping"/>
      </w:r>
      <w:r>
        <w:rPr>
          <w:rFonts w:hint="eastAsia" w:ascii="宋体" w:hAnsi="宋体" w:eastAsia="宋体" w:cs="宋体"/>
          <w:sz w:val="21"/>
          <w:szCs w:val="21"/>
        </w:rPr>
        <w:t>资料四：为筹集投资所需资金，甲公司在2021年1月1日按面值发行可转换债券，每张面值100元，票面利率为1%，按年计息，每年年末支付一次利息，一年后可以转换为公司股票，转换价格为每股20元。如果按面值发行相同期限、相同付息方式的普通债券，票面利率需要设定为5%。</w:t>
      </w:r>
    </w:p>
    <w:p w14:paraId="7B12AF2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要求：（1）计算A方案每年的营业现金流量、净现值、现值指数。</w:t>
      </w:r>
      <w:r>
        <w:rPr>
          <w:rFonts w:hint="eastAsia" w:ascii="宋体" w:hAnsi="宋体" w:eastAsia="宋体" w:cs="宋体"/>
          <w:sz w:val="21"/>
          <w:szCs w:val="21"/>
        </w:rPr>
        <w:br w:type="textWrapping"/>
      </w:r>
      <w:r>
        <w:rPr>
          <w:rFonts w:hint="eastAsia" w:ascii="宋体" w:hAnsi="宋体" w:eastAsia="宋体" w:cs="宋体"/>
          <w:sz w:val="21"/>
          <w:szCs w:val="21"/>
        </w:rPr>
        <w:t>（2）计算B方案原始投资额、第一到第四年的现金净流量、第五年的现金净流量、净现值。</w:t>
      </w:r>
      <w:r>
        <w:rPr>
          <w:rFonts w:hint="eastAsia" w:ascii="宋体" w:hAnsi="宋体" w:eastAsia="宋体" w:cs="宋体"/>
          <w:sz w:val="21"/>
          <w:szCs w:val="21"/>
        </w:rPr>
        <w:br w:type="textWrapping"/>
      </w:r>
      <w:r>
        <w:rPr>
          <w:rFonts w:hint="eastAsia" w:ascii="宋体" w:hAnsi="宋体" w:eastAsia="宋体" w:cs="宋体"/>
          <w:sz w:val="21"/>
          <w:szCs w:val="21"/>
        </w:rPr>
        <w:t>（3）分别计算两个方案的年金净流量，判断选择哪个方案。</w:t>
      </w:r>
      <w:r>
        <w:rPr>
          <w:rFonts w:hint="eastAsia" w:ascii="宋体" w:hAnsi="宋体" w:eastAsia="宋体" w:cs="宋体"/>
          <w:sz w:val="21"/>
          <w:szCs w:val="21"/>
        </w:rPr>
        <w:br w:type="textWrapping"/>
      </w:r>
      <w:r>
        <w:rPr>
          <w:rFonts w:hint="eastAsia" w:ascii="宋体" w:hAnsi="宋体" w:eastAsia="宋体" w:cs="宋体"/>
          <w:sz w:val="21"/>
          <w:szCs w:val="21"/>
        </w:rPr>
        <w:t>（4）根据计算（3）的结果选择的方案，计算可转换债券在发行当年比一般债券节约的利息支出、可转换债券的转换比率。</w:t>
      </w:r>
    </w:p>
    <w:p w14:paraId="3573DB4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答案：（1）</w:t>
      </w:r>
      <w:r>
        <w:rPr>
          <w:rFonts w:hint="eastAsia" w:ascii="宋体" w:hAnsi="宋体" w:eastAsia="宋体" w:cs="宋体"/>
          <w:sz w:val="21"/>
          <w:szCs w:val="21"/>
        </w:rPr>
        <w:br w:type="textWrapping"/>
      </w:r>
      <w:r>
        <w:rPr>
          <w:rFonts w:hint="eastAsia" w:ascii="宋体" w:hAnsi="宋体" w:eastAsia="宋体" w:cs="宋体"/>
          <w:sz w:val="21"/>
          <w:szCs w:val="21"/>
        </w:rPr>
        <w:t>年折旧＝3000/3＝1000（万元）</w:t>
      </w:r>
      <w:r>
        <w:rPr>
          <w:rFonts w:hint="eastAsia" w:ascii="宋体" w:hAnsi="宋体" w:eastAsia="宋体" w:cs="宋体"/>
          <w:sz w:val="21"/>
          <w:szCs w:val="21"/>
        </w:rPr>
        <w:br w:type="textWrapping"/>
      </w:r>
      <w:r>
        <w:rPr>
          <w:rFonts w:hint="eastAsia" w:ascii="宋体" w:hAnsi="宋体" w:eastAsia="宋体" w:cs="宋体"/>
          <w:sz w:val="21"/>
          <w:szCs w:val="21"/>
        </w:rPr>
        <w:t>第1年营业现金流量＝1000＋1000＝2000（万元）</w:t>
      </w:r>
      <w:r>
        <w:rPr>
          <w:rFonts w:hint="eastAsia" w:ascii="宋体" w:hAnsi="宋体" w:eastAsia="宋体" w:cs="宋体"/>
          <w:sz w:val="21"/>
          <w:szCs w:val="21"/>
        </w:rPr>
        <w:br w:type="textWrapping"/>
      </w:r>
      <w:r>
        <w:rPr>
          <w:rFonts w:hint="eastAsia" w:ascii="宋体" w:hAnsi="宋体" w:eastAsia="宋体" w:cs="宋体"/>
          <w:sz w:val="21"/>
          <w:szCs w:val="21"/>
        </w:rPr>
        <w:t>第2年营业现金流量＝1000×（1＋20%）＋1000＝2200（万元）</w:t>
      </w:r>
      <w:r>
        <w:rPr>
          <w:rFonts w:hint="eastAsia" w:ascii="宋体" w:hAnsi="宋体" w:eastAsia="宋体" w:cs="宋体"/>
          <w:sz w:val="21"/>
          <w:szCs w:val="21"/>
        </w:rPr>
        <w:br w:type="textWrapping"/>
      </w:r>
      <w:r>
        <w:rPr>
          <w:rFonts w:hint="eastAsia" w:ascii="宋体" w:hAnsi="宋体" w:eastAsia="宋体" w:cs="宋体"/>
          <w:sz w:val="21"/>
          <w:szCs w:val="21"/>
        </w:rPr>
        <w:t>第3年营业现金流量＝1000×（1＋20%）2＋1000＝2440（万元）</w:t>
      </w:r>
      <w:r>
        <w:rPr>
          <w:rFonts w:hint="eastAsia" w:ascii="宋体" w:hAnsi="宋体" w:eastAsia="宋体" w:cs="宋体"/>
          <w:sz w:val="21"/>
          <w:szCs w:val="21"/>
        </w:rPr>
        <w:br w:type="textWrapping"/>
      </w:r>
      <w:r>
        <w:rPr>
          <w:rFonts w:hint="eastAsia" w:ascii="宋体" w:hAnsi="宋体" w:eastAsia="宋体" w:cs="宋体"/>
          <w:sz w:val="21"/>
          <w:szCs w:val="21"/>
        </w:rPr>
        <w:t>净现值＝2000/（1＋8%）＋2200/（1＋8%）2＋2440×（P/F，8%，3）－3000 ＝2000/（1＋8%）＋2200/（1＋8%）2＋2440× 0.7938－3000 ＝2674.87（万元）</w:t>
      </w:r>
      <w:r>
        <w:rPr>
          <w:rFonts w:hint="eastAsia" w:ascii="宋体" w:hAnsi="宋体" w:eastAsia="宋体" w:cs="宋体"/>
          <w:sz w:val="21"/>
          <w:szCs w:val="21"/>
        </w:rPr>
        <w:br w:type="textWrapping"/>
      </w:r>
      <w:r>
        <w:rPr>
          <w:rFonts w:hint="eastAsia" w:ascii="宋体" w:hAnsi="宋体" w:eastAsia="宋体" w:cs="宋体"/>
          <w:sz w:val="21"/>
          <w:szCs w:val="21"/>
        </w:rPr>
        <w:t>现值指数＝1＋2674.87/3000＝1.89</w:t>
      </w:r>
    </w:p>
    <w:p w14:paraId="1B43B53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rPr>
        <w:br w:type="textWrapping"/>
      </w:r>
      <w:r>
        <w:rPr>
          <w:rFonts w:hint="eastAsia" w:ascii="宋体" w:hAnsi="宋体" w:eastAsia="宋体" w:cs="宋体"/>
          <w:sz w:val="21"/>
          <w:szCs w:val="21"/>
        </w:rPr>
        <w:t>原始投资额＝5000＋500＝5500（万元）</w:t>
      </w:r>
      <w:r>
        <w:rPr>
          <w:rFonts w:hint="eastAsia" w:ascii="宋体" w:hAnsi="宋体" w:eastAsia="宋体" w:cs="宋体"/>
          <w:sz w:val="21"/>
          <w:szCs w:val="21"/>
        </w:rPr>
        <w:br w:type="textWrapping"/>
      </w:r>
      <w:r>
        <w:rPr>
          <w:rFonts w:hint="eastAsia" w:ascii="宋体" w:hAnsi="宋体" w:eastAsia="宋体" w:cs="宋体"/>
          <w:sz w:val="21"/>
          <w:szCs w:val="21"/>
        </w:rPr>
        <w:t>年折旧额＝5000/5＝1000（万元）</w:t>
      </w:r>
      <w:r>
        <w:rPr>
          <w:rFonts w:hint="eastAsia" w:ascii="宋体" w:hAnsi="宋体" w:eastAsia="宋体" w:cs="宋体"/>
          <w:sz w:val="21"/>
          <w:szCs w:val="21"/>
        </w:rPr>
        <w:br w:type="textWrapping"/>
      </w:r>
      <w:r>
        <w:rPr>
          <w:rFonts w:hint="eastAsia" w:ascii="宋体" w:hAnsi="宋体" w:eastAsia="宋体" w:cs="宋体"/>
          <w:sz w:val="21"/>
          <w:szCs w:val="21"/>
        </w:rPr>
        <w:t>NCF1－4＝（3500－800－1000）×（1－25%）＋1000＝2275（万元）</w:t>
      </w:r>
      <w:r>
        <w:rPr>
          <w:rFonts w:hint="eastAsia" w:ascii="宋体" w:hAnsi="宋体" w:eastAsia="宋体" w:cs="宋体"/>
          <w:sz w:val="21"/>
          <w:szCs w:val="21"/>
        </w:rPr>
        <w:br w:type="textWrapping"/>
      </w:r>
      <w:r>
        <w:rPr>
          <w:rFonts w:hint="eastAsia" w:ascii="宋体" w:hAnsi="宋体" w:eastAsia="宋体" w:cs="宋体"/>
          <w:sz w:val="21"/>
          <w:szCs w:val="21"/>
        </w:rPr>
        <w:t>或者：NCF1－4＝3500×（1－25%）－800×（1－25%）＋1000×25%＝2275（万元）</w:t>
      </w:r>
      <w:r>
        <w:rPr>
          <w:rFonts w:hint="eastAsia" w:ascii="宋体" w:hAnsi="宋体" w:eastAsia="宋体" w:cs="宋体"/>
          <w:sz w:val="21"/>
          <w:szCs w:val="21"/>
        </w:rPr>
        <w:br w:type="textWrapping"/>
      </w:r>
      <w:r>
        <w:rPr>
          <w:rFonts w:hint="eastAsia" w:ascii="宋体" w:hAnsi="宋体" w:eastAsia="宋体" w:cs="宋体"/>
          <w:sz w:val="21"/>
          <w:szCs w:val="21"/>
        </w:rPr>
        <w:t>NCF5＝2275＋500＝2775（万元）</w:t>
      </w:r>
      <w:r>
        <w:rPr>
          <w:rFonts w:hint="eastAsia" w:ascii="宋体" w:hAnsi="宋体" w:eastAsia="宋体" w:cs="宋体"/>
          <w:sz w:val="21"/>
          <w:szCs w:val="21"/>
        </w:rPr>
        <w:br w:type="textWrapping"/>
      </w:r>
      <w:r>
        <w:rPr>
          <w:rFonts w:hint="eastAsia" w:ascii="宋体" w:hAnsi="宋体" w:eastAsia="宋体" w:cs="宋体"/>
          <w:sz w:val="21"/>
          <w:szCs w:val="21"/>
        </w:rPr>
        <w:t>净现值＝2275×（P/A，8%，4）＋2775×（P/F，8%，5）－5500</w:t>
      </w:r>
    </w:p>
    <w:p w14:paraId="0B666EB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＝2275×3.3121＋2775×0.6860－5500＝3938.68（万元）</w:t>
      </w:r>
      <w:r>
        <w:rPr>
          <w:rFonts w:hint="eastAsia" w:ascii="宋体" w:hAnsi="宋体" w:eastAsia="宋体" w:cs="宋体"/>
          <w:sz w:val="21"/>
          <w:szCs w:val="21"/>
        </w:rPr>
        <w:br w:type="textWrapping"/>
      </w:r>
      <w:r>
        <w:rPr>
          <w:rFonts w:hint="eastAsia" w:ascii="宋体" w:hAnsi="宋体" w:eastAsia="宋体" w:cs="宋体"/>
          <w:sz w:val="21"/>
          <w:szCs w:val="21"/>
        </w:rPr>
        <w:t>或者：净现值＝2275×（P/A，8%，5）＋500×（P/F，8%，5）－5500</w:t>
      </w:r>
      <w:r>
        <w:rPr>
          <w:rFonts w:hint="eastAsia" w:ascii="宋体" w:hAnsi="宋体" w:eastAsia="宋体" w:cs="宋体"/>
          <w:sz w:val="21"/>
          <w:szCs w:val="21"/>
        </w:rPr>
        <w:br w:type="textWrapping"/>
      </w:r>
      <w:r>
        <w:rPr>
          <w:rFonts w:hint="eastAsia" w:ascii="宋体" w:hAnsi="宋体" w:eastAsia="宋体" w:cs="宋体"/>
          <w:sz w:val="21"/>
          <w:szCs w:val="21"/>
        </w:rPr>
        <w:t>＝2275×3.9927＋500×0.6860－5500＝3926.39（万元）</w:t>
      </w:r>
      <w:r>
        <w:rPr>
          <w:rFonts w:hint="eastAsia" w:ascii="宋体" w:hAnsi="宋体" w:eastAsia="宋体" w:cs="宋体"/>
          <w:sz w:val="21"/>
          <w:szCs w:val="21"/>
        </w:rPr>
        <w:br w:type="textWrapping"/>
      </w:r>
      <w:r>
        <w:rPr>
          <w:rFonts w:hint="eastAsia" w:ascii="宋体" w:hAnsi="宋体" w:eastAsia="宋体" w:cs="宋体"/>
          <w:sz w:val="21"/>
          <w:szCs w:val="21"/>
        </w:rPr>
        <w:t>说明：两种方法计算结果的差异是系数值不同造成的尾差，都属于正确答案。</w:t>
      </w:r>
    </w:p>
    <w:p w14:paraId="2C0B862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rPr>
        <w:br w:type="textWrapping"/>
      </w:r>
      <w:r>
        <w:rPr>
          <w:rFonts w:hint="eastAsia" w:ascii="宋体" w:hAnsi="宋体" w:eastAsia="宋体" w:cs="宋体"/>
          <w:sz w:val="21"/>
          <w:szCs w:val="21"/>
        </w:rPr>
        <w:t>A方案年金净流量＝2674.87/（P/A，8%，3）＝2674.87/2.5771＝1037.94（万元）</w:t>
      </w:r>
      <w:r>
        <w:rPr>
          <w:rFonts w:hint="eastAsia" w:ascii="宋体" w:hAnsi="宋体" w:eastAsia="宋体" w:cs="宋体"/>
          <w:sz w:val="21"/>
          <w:szCs w:val="21"/>
        </w:rPr>
        <w:br w:type="textWrapping"/>
      </w:r>
      <w:r>
        <w:rPr>
          <w:rFonts w:hint="eastAsia" w:ascii="宋体" w:hAnsi="宋体" w:eastAsia="宋体" w:cs="宋体"/>
          <w:sz w:val="21"/>
          <w:szCs w:val="21"/>
        </w:rPr>
        <w:t>B方案年金净流量＝3938.68/（P/A，8%，5）＝3938.68/3.9927＝986.47（万元）</w:t>
      </w:r>
      <w:r>
        <w:rPr>
          <w:rFonts w:hint="eastAsia" w:ascii="宋体" w:hAnsi="宋体" w:eastAsia="宋体" w:cs="宋体"/>
          <w:sz w:val="21"/>
          <w:szCs w:val="21"/>
        </w:rPr>
        <w:br w:type="textWrapping"/>
      </w:r>
      <w:r>
        <w:rPr>
          <w:rFonts w:hint="eastAsia" w:ascii="宋体" w:hAnsi="宋体" w:eastAsia="宋体" w:cs="宋体"/>
          <w:sz w:val="21"/>
          <w:szCs w:val="21"/>
        </w:rPr>
        <w:t>A方案年金净流量大于B方案，应该选择A方案。</w:t>
      </w:r>
      <w:r>
        <w:rPr>
          <w:rFonts w:hint="eastAsia" w:ascii="宋体" w:hAnsi="宋体" w:eastAsia="宋体" w:cs="宋体"/>
          <w:sz w:val="21"/>
          <w:szCs w:val="21"/>
        </w:rPr>
        <w:br w:type="textWrapping"/>
      </w:r>
      <w:r>
        <w:rPr>
          <w:rFonts w:hint="eastAsia" w:ascii="宋体" w:hAnsi="宋体" w:eastAsia="宋体" w:cs="宋体"/>
          <w:sz w:val="21"/>
          <w:szCs w:val="21"/>
        </w:rPr>
        <w:t>（5）</w:t>
      </w:r>
      <w:r>
        <w:rPr>
          <w:rFonts w:hint="eastAsia" w:ascii="宋体" w:hAnsi="宋体" w:eastAsia="宋体" w:cs="宋体"/>
          <w:sz w:val="21"/>
          <w:szCs w:val="21"/>
        </w:rPr>
        <w:br w:type="textWrapping"/>
      </w:r>
      <w:r>
        <w:rPr>
          <w:rFonts w:hint="eastAsia" w:ascii="宋体" w:hAnsi="宋体" w:eastAsia="宋体" w:cs="宋体"/>
          <w:sz w:val="21"/>
          <w:szCs w:val="21"/>
        </w:rPr>
        <w:t>节省的利息＝3000×（5%－1%）＝120（万元）</w:t>
      </w:r>
      <w:r>
        <w:rPr>
          <w:rFonts w:hint="eastAsia" w:ascii="宋体" w:hAnsi="宋体" w:eastAsia="宋体" w:cs="宋体"/>
          <w:sz w:val="21"/>
          <w:szCs w:val="21"/>
        </w:rPr>
        <w:br w:type="textWrapping"/>
      </w:r>
      <w:r>
        <w:rPr>
          <w:rFonts w:hint="eastAsia" w:ascii="宋体" w:hAnsi="宋体" w:eastAsia="宋体" w:cs="宋体"/>
          <w:sz w:val="21"/>
          <w:szCs w:val="21"/>
        </w:rPr>
        <w:t>转换比率＝100/20＝5</w:t>
      </w:r>
    </w:p>
    <w:p w14:paraId="5D19C08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59A47F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【考点4】固定资产更新决策</w:t>
      </w:r>
    </w:p>
    <w:p w14:paraId="6D80FC4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pict>
          <v:shape id="_x0000_i1028" o:spt="75" type="#_x0000_t75" style="height:91.5pt;width:283.45pt;" filled="f" o:preferrelative="t" stroked="f" coordsize="21600,21600">
            <v:path/>
            <v:fill on="f" focussize="0,0"/>
            <v:stroke on="f"/>
            <v:imagedata r:id="rId17" o:title=""/>
            <o:lock v:ext="edit" aspectratio="t"/>
            <w10:wrap type="none"/>
            <w10:anchorlock/>
          </v:shape>
        </w:pict>
      </w:r>
    </w:p>
    <w:p w14:paraId="4600158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AB5B0E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【例·综合题】安保公司现有旧设备一台，由于节能减排的需要，准备予以更新。贴现率为15%，假定企业所得税税率为25%，则应考虑所得税对现金流量的影响。</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0"/>
        <w:gridCol w:w="2210"/>
        <w:gridCol w:w="2210"/>
      </w:tblGrid>
      <w:tr w14:paraId="3150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tcPr>
          <w:p w14:paraId="5CE3470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tc>
        <w:tc>
          <w:tcPr>
            <w:tcW w:w="1055" w:type="pct"/>
          </w:tcPr>
          <w:p w14:paraId="565C457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旧设备</w:t>
            </w:r>
          </w:p>
        </w:tc>
        <w:tc>
          <w:tcPr>
            <w:tcW w:w="1055" w:type="pct"/>
          </w:tcPr>
          <w:p w14:paraId="4E8372C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新设备</w:t>
            </w:r>
          </w:p>
        </w:tc>
      </w:tr>
      <w:tr w14:paraId="0CE6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tcPr>
          <w:p w14:paraId="0DCE697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原价</w:t>
            </w:r>
            <w:r>
              <w:rPr>
                <w:rFonts w:hint="eastAsia" w:ascii="宋体" w:hAnsi="宋体" w:eastAsia="宋体" w:cs="宋体"/>
                <w:sz w:val="21"/>
                <w:szCs w:val="21"/>
              </w:rPr>
              <w:br w:type="textWrapping"/>
            </w:r>
            <w:r>
              <w:rPr>
                <w:rFonts w:hint="eastAsia" w:ascii="宋体" w:hAnsi="宋体" w:eastAsia="宋体" w:cs="宋体"/>
                <w:sz w:val="21"/>
                <w:szCs w:val="21"/>
              </w:rPr>
              <w:t>预计使用年限</w:t>
            </w:r>
            <w:r>
              <w:rPr>
                <w:rFonts w:hint="eastAsia" w:ascii="宋体" w:hAnsi="宋体" w:eastAsia="宋体" w:cs="宋体"/>
                <w:sz w:val="21"/>
                <w:szCs w:val="21"/>
              </w:rPr>
              <w:br w:type="textWrapping"/>
            </w:r>
            <w:r>
              <w:rPr>
                <w:rFonts w:hint="eastAsia" w:ascii="宋体" w:hAnsi="宋体" w:eastAsia="宋体" w:cs="宋体"/>
                <w:sz w:val="21"/>
                <w:szCs w:val="21"/>
              </w:rPr>
              <w:t>已经使用年限</w:t>
            </w:r>
            <w:r>
              <w:rPr>
                <w:rFonts w:hint="eastAsia" w:ascii="宋体" w:hAnsi="宋体" w:eastAsia="宋体" w:cs="宋体"/>
                <w:sz w:val="21"/>
                <w:szCs w:val="21"/>
              </w:rPr>
              <w:br w:type="textWrapping"/>
            </w:r>
            <w:r>
              <w:rPr>
                <w:rFonts w:hint="eastAsia" w:ascii="宋体" w:hAnsi="宋体" w:eastAsia="宋体" w:cs="宋体"/>
                <w:sz w:val="21"/>
                <w:szCs w:val="21"/>
              </w:rPr>
              <w:t>税法残值</w:t>
            </w:r>
            <w:r>
              <w:rPr>
                <w:rFonts w:hint="eastAsia" w:ascii="宋体" w:hAnsi="宋体" w:eastAsia="宋体" w:cs="宋体"/>
                <w:sz w:val="21"/>
                <w:szCs w:val="21"/>
              </w:rPr>
              <w:br w:type="textWrapping"/>
            </w:r>
            <w:r>
              <w:rPr>
                <w:rFonts w:hint="eastAsia" w:ascii="宋体" w:hAnsi="宋体" w:eastAsia="宋体" w:cs="宋体"/>
                <w:sz w:val="21"/>
                <w:szCs w:val="21"/>
              </w:rPr>
              <w:t>最终报废残值</w:t>
            </w:r>
            <w:r>
              <w:rPr>
                <w:rFonts w:hint="eastAsia" w:ascii="宋体" w:hAnsi="宋体" w:eastAsia="宋体" w:cs="宋体"/>
                <w:sz w:val="21"/>
                <w:szCs w:val="21"/>
              </w:rPr>
              <w:br w:type="textWrapping"/>
            </w:r>
            <w:r>
              <w:rPr>
                <w:rFonts w:hint="eastAsia" w:ascii="宋体" w:hAnsi="宋体" w:eastAsia="宋体" w:cs="宋体"/>
                <w:sz w:val="21"/>
                <w:szCs w:val="21"/>
              </w:rPr>
              <w:t>目前变现价值</w:t>
            </w:r>
            <w:r>
              <w:rPr>
                <w:rFonts w:hint="eastAsia" w:ascii="宋体" w:hAnsi="宋体" w:eastAsia="宋体" w:cs="宋体"/>
                <w:sz w:val="21"/>
                <w:szCs w:val="21"/>
              </w:rPr>
              <w:br w:type="textWrapping"/>
            </w:r>
            <w:r>
              <w:rPr>
                <w:rFonts w:hint="eastAsia" w:ascii="宋体" w:hAnsi="宋体" w:eastAsia="宋体" w:cs="宋体"/>
                <w:sz w:val="21"/>
                <w:szCs w:val="21"/>
              </w:rPr>
              <w:t>每年折旧费（直线法）</w:t>
            </w:r>
            <w:r>
              <w:rPr>
                <w:rFonts w:hint="eastAsia" w:ascii="宋体" w:hAnsi="宋体" w:eastAsia="宋体" w:cs="宋体"/>
                <w:sz w:val="21"/>
                <w:szCs w:val="21"/>
              </w:rPr>
              <w:br w:type="textWrapping"/>
            </w:r>
            <w:r>
              <w:rPr>
                <w:rFonts w:hint="eastAsia" w:ascii="宋体" w:hAnsi="宋体" w:eastAsia="宋体" w:cs="宋体"/>
                <w:sz w:val="21"/>
                <w:szCs w:val="21"/>
              </w:rPr>
              <w:t>每年营运成本</w:t>
            </w:r>
          </w:p>
        </w:tc>
        <w:tc>
          <w:tcPr>
            <w:tcW w:w="1055" w:type="pct"/>
          </w:tcPr>
          <w:p w14:paraId="780023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35000</w:t>
            </w:r>
            <w:r>
              <w:rPr>
                <w:rFonts w:hint="eastAsia" w:ascii="宋体" w:hAnsi="宋体" w:eastAsia="宋体" w:cs="宋体"/>
                <w:sz w:val="21"/>
                <w:szCs w:val="21"/>
              </w:rPr>
              <w:br w:type="textWrapping"/>
            </w:r>
            <w:r>
              <w:rPr>
                <w:rFonts w:hint="eastAsia" w:ascii="宋体" w:hAnsi="宋体" w:eastAsia="宋体" w:cs="宋体"/>
                <w:sz w:val="21"/>
                <w:szCs w:val="21"/>
              </w:rPr>
              <w:t>10年</w:t>
            </w:r>
            <w:r>
              <w:rPr>
                <w:rFonts w:hint="eastAsia" w:ascii="宋体" w:hAnsi="宋体" w:eastAsia="宋体" w:cs="宋体"/>
                <w:sz w:val="21"/>
                <w:szCs w:val="21"/>
              </w:rPr>
              <w:br w:type="textWrapping"/>
            </w:r>
            <w:r>
              <w:rPr>
                <w:rFonts w:hint="eastAsia" w:ascii="宋体" w:hAnsi="宋体" w:eastAsia="宋体" w:cs="宋体"/>
                <w:sz w:val="21"/>
                <w:szCs w:val="21"/>
              </w:rPr>
              <w:t>4年</w:t>
            </w:r>
            <w:r>
              <w:rPr>
                <w:rFonts w:hint="eastAsia" w:ascii="宋体" w:hAnsi="宋体" w:eastAsia="宋体" w:cs="宋体"/>
                <w:sz w:val="21"/>
                <w:szCs w:val="21"/>
              </w:rPr>
              <w:br w:type="textWrapping"/>
            </w:r>
            <w:r>
              <w:rPr>
                <w:rFonts w:hint="eastAsia" w:ascii="宋体" w:hAnsi="宋体" w:eastAsia="宋体" w:cs="宋体"/>
                <w:sz w:val="21"/>
                <w:szCs w:val="21"/>
              </w:rPr>
              <w:t>5000</w:t>
            </w:r>
            <w:r>
              <w:rPr>
                <w:rFonts w:hint="eastAsia" w:ascii="宋体" w:hAnsi="宋体" w:eastAsia="宋体" w:cs="宋体"/>
                <w:sz w:val="21"/>
                <w:szCs w:val="21"/>
              </w:rPr>
              <w:br w:type="textWrapping"/>
            </w:r>
            <w:r>
              <w:rPr>
                <w:rFonts w:hint="eastAsia" w:ascii="宋体" w:hAnsi="宋体" w:eastAsia="宋体" w:cs="宋体"/>
                <w:sz w:val="21"/>
                <w:szCs w:val="21"/>
              </w:rPr>
              <w:t>3500</w:t>
            </w:r>
            <w:r>
              <w:rPr>
                <w:rFonts w:hint="eastAsia" w:ascii="宋体" w:hAnsi="宋体" w:eastAsia="宋体" w:cs="宋体"/>
                <w:sz w:val="21"/>
                <w:szCs w:val="21"/>
              </w:rPr>
              <w:br w:type="textWrapping"/>
            </w:r>
            <w:r>
              <w:rPr>
                <w:rFonts w:hint="eastAsia" w:ascii="宋体" w:hAnsi="宋体" w:eastAsia="宋体" w:cs="宋体"/>
                <w:sz w:val="21"/>
                <w:szCs w:val="21"/>
              </w:rPr>
              <w:t>10000</w:t>
            </w:r>
            <w:r>
              <w:rPr>
                <w:rFonts w:hint="eastAsia" w:ascii="宋体" w:hAnsi="宋体" w:eastAsia="宋体" w:cs="宋体"/>
                <w:sz w:val="21"/>
                <w:szCs w:val="21"/>
              </w:rPr>
              <w:br w:type="textWrapping"/>
            </w:r>
            <w:r>
              <w:rPr>
                <w:rFonts w:hint="eastAsia" w:ascii="宋体" w:hAnsi="宋体" w:eastAsia="宋体" w:cs="宋体"/>
                <w:sz w:val="21"/>
                <w:szCs w:val="21"/>
              </w:rPr>
              <w:t>3000</w:t>
            </w:r>
            <w:r>
              <w:rPr>
                <w:rFonts w:hint="eastAsia" w:ascii="宋体" w:hAnsi="宋体" w:eastAsia="宋体" w:cs="宋体"/>
                <w:sz w:val="21"/>
                <w:szCs w:val="21"/>
              </w:rPr>
              <w:br w:type="textWrapping"/>
            </w:r>
            <w:r>
              <w:rPr>
                <w:rFonts w:hint="eastAsia" w:ascii="宋体" w:hAnsi="宋体" w:eastAsia="宋体" w:cs="宋体"/>
                <w:sz w:val="21"/>
                <w:szCs w:val="21"/>
              </w:rPr>
              <w:t>10500</w:t>
            </w:r>
          </w:p>
        </w:tc>
        <w:tc>
          <w:tcPr>
            <w:tcW w:w="1055" w:type="pct"/>
          </w:tcPr>
          <w:p w14:paraId="2D7C955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36000</w:t>
            </w:r>
            <w:r>
              <w:rPr>
                <w:rFonts w:hint="eastAsia" w:ascii="宋体" w:hAnsi="宋体" w:eastAsia="宋体" w:cs="宋体"/>
                <w:sz w:val="21"/>
                <w:szCs w:val="21"/>
              </w:rPr>
              <w:br w:type="textWrapping"/>
            </w:r>
            <w:r>
              <w:rPr>
                <w:rFonts w:hint="eastAsia" w:ascii="宋体" w:hAnsi="宋体" w:eastAsia="宋体" w:cs="宋体"/>
                <w:sz w:val="21"/>
                <w:szCs w:val="21"/>
              </w:rPr>
              <w:t>10年</w:t>
            </w:r>
            <w:r>
              <w:rPr>
                <w:rFonts w:hint="eastAsia" w:ascii="宋体" w:hAnsi="宋体" w:eastAsia="宋体" w:cs="宋体"/>
                <w:sz w:val="21"/>
                <w:szCs w:val="21"/>
              </w:rPr>
              <w:br w:type="textWrapping"/>
            </w:r>
            <w:r>
              <w:rPr>
                <w:rFonts w:hint="eastAsia" w:ascii="宋体" w:hAnsi="宋体" w:eastAsia="宋体" w:cs="宋体"/>
                <w:sz w:val="21"/>
                <w:szCs w:val="21"/>
              </w:rPr>
              <w:t>0年</w:t>
            </w:r>
            <w:r>
              <w:rPr>
                <w:rFonts w:hint="eastAsia" w:ascii="宋体" w:hAnsi="宋体" w:eastAsia="宋体" w:cs="宋体"/>
                <w:sz w:val="21"/>
                <w:szCs w:val="21"/>
              </w:rPr>
              <w:br w:type="textWrapping"/>
            </w:r>
            <w:r>
              <w:rPr>
                <w:rFonts w:hint="eastAsia" w:ascii="宋体" w:hAnsi="宋体" w:eastAsia="宋体" w:cs="宋体"/>
                <w:sz w:val="21"/>
                <w:szCs w:val="21"/>
              </w:rPr>
              <w:t>4000</w:t>
            </w:r>
            <w:r>
              <w:rPr>
                <w:rFonts w:hint="eastAsia" w:ascii="宋体" w:hAnsi="宋体" w:eastAsia="宋体" w:cs="宋体"/>
                <w:sz w:val="21"/>
                <w:szCs w:val="21"/>
              </w:rPr>
              <w:br w:type="textWrapping"/>
            </w:r>
            <w:r>
              <w:rPr>
                <w:rFonts w:hint="eastAsia" w:ascii="宋体" w:hAnsi="宋体" w:eastAsia="宋体" w:cs="宋体"/>
                <w:sz w:val="21"/>
                <w:szCs w:val="21"/>
              </w:rPr>
              <w:t>4200</w:t>
            </w:r>
            <w:r>
              <w:rPr>
                <w:rFonts w:hint="eastAsia" w:ascii="宋体" w:hAnsi="宋体" w:eastAsia="宋体" w:cs="宋体"/>
                <w:sz w:val="21"/>
                <w:szCs w:val="21"/>
              </w:rPr>
              <w:br w:type="textWrapping"/>
            </w:r>
            <w:r>
              <w:rPr>
                <w:rFonts w:hint="eastAsia" w:ascii="宋体" w:hAnsi="宋体" w:eastAsia="宋体" w:cs="宋体"/>
                <w:sz w:val="21"/>
                <w:szCs w:val="21"/>
              </w:rPr>
              <w:t>36000</w:t>
            </w:r>
            <w:r>
              <w:rPr>
                <w:rFonts w:hint="eastAsia" w:ascii="宋体" w:hAnsi="宋体" w:eastAsia="宋体" w:cs="宋体"/>
                <w:sz w:val="21"/>
                <w:szCs w:val="21"/>
              </w:rPr>
              <w:br w:type="textWrapping"/>
            </w:r>
            <w:r>
              <w:rPr>
                <w:rFonts w:hint="eastAsia" w:ascii="宋体" w:hAnsi="宋体" w:eastAsia="宋体" w:cs="宋体"/>
                <w:sz w:val="21"/>
                <w:szCs w:val="21"/>
              </w:rPr>
              <w:t>3200</w:t>
            </w:r>
            <w:r>
              <w:rPr>
                <w:rFonts w:hint="eastAsia" w:ascii="宋体" w:hAnsi="宋体" w:eastAsia="宋体" w:cs="宋体"/>
                <w:sz w:val="21"/>
                <w:szCs w:val="21"/>
              </w:rPr>
              <w:br w:type="textWrapping"/>
            </w:r>
            <w:r>
              <w:rPr>
                <w:rFonts w:hint="eastAsia" w:ascii="宋体" w:hAnsi="宋体" w:eastAsia="宋体" w:cs="宋体"/>
                <w:sz w:val="21"/>
                <w:szCs w:val="21"/>
              </w:rPr>
              <w:t>8000</w:t>
            </w:r>
          </w:p>
        </w:tc>
      </w:tr>
    </w:tbl>
    <w:p w14:paraId="1F53E2F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（1）新设备</w:t>
      </w:r>
      <w:r>
        <w:rPr>
          <w:rFonts w:hint="eastAsia" w:ascii="宋体" w:hAnsi="宋体" w:eastAsia="宋体" w:cs="宋体"/>
          <w:sz w:val="21"/>
          <w:szCs w:val="21"/>
        </w:rPr>
        <w:br w:type="textWrapping"/>
      </w:r>
      <w:r>
        <w:rPr>
          <w:rFonts w:hint="eastAsia" w:ascii="宋体" w:hAnsi="宋体" w:eastAsia="宋体" w:cs="宋体"/>
          <w:sz w:val="21"/>
          <w:szCs w:val="21"/>
        </w:rPr>
        <w:t>投资期：新设备的购价为36000元</w:t>
      </w:r>
      <w:r>
        <w:rPr>
          <w:rFonts w:hint="eastAsia" w:ascii="宋体" w:hAnsi="宋体" w:eastAsia="宋体" w:cs="宋体"/>
          <w:sz w:val="21"/>
          <w:szCs w:val="21"/>
        </w:rPr>
        <w:br w:type="textWrapping"/>
      </w:r>
      <w:r>
        <w:rPr>
          <w:rFonts w:hint="eastAsia" w:ascii="宋体" w:hAnsi="宋体" w:eastAsia="宋体" w:cs="宋体"/>
          <w:sz w:val="21"/>
          <w:szCs w:val="21"/>
        </w:rPr>
        <w:t>营运期：每年折旧抵税=3200×25%=800（元）</w:t>
      </w:r>
      <w:r>
        <w:rPr>
          <w:rFonts w:hint="eastAsia" w:ascii="宋体" w:hAnsi="宋体" w:eastAsia="宋体" w:cs="宋体"/>
          <w:sz w:val="21"/>
          <w:szCs w:val="21"/>
        </w:rPr>
        <w:br w:type="textWrapping"/>
      </w:r>
      <w:r>
        <w:rPr>
          <w:rFonts w:hint="eastAsia" w:ascii="宋体" w:hAnsi="宋体" w:eastAsia="宋体" w:cs="宋体"/>
          <w:sz w:val="21"/>
          <w:szCs w:val="21"/>
        </w:rPr>
        <w:t>每年税后营运成本＝8000×（1－25%）=6000（元）</w:t>
      </w:r>
      <w:r>
        <w:rPr>
          <w:rFonts w:hint="eastAsia" w:ascii="宋体" w:hAnsi="宋体" w:eastAsia="宋体" w:cs="宋体"/>
          <w:sz w:val="21"/>
          <w:szCs w:val="21"/>
        </w:rPr>
        <w:br w:type="textWrapping"/>
      </w:r>
      <w:r>
        <w:rPr>
          <w:rFonts w:hint="eastAsia" w:ascii="宋体" w:hAnsi="宋体" w:eastAsia="宋体" w:cs="宋体"/>
          <w:sz w:val="21"/>
          <w:szCs w:val="21"/>
        </w:rPr>
        <w:t>终结期：税后残值净收入=4200－（4200－4000）×25%=4150（元）</w:t>
      </w:r>
      <w:r>
        <w:rPr>
          <w:rFonts w:hint="eastAsia" w:ascii="宋体" w:hAnsi="宋体" w:eastAsia="宋体" w:cs="宋体"/>
          <w:sz w:val="21"/>
          <w:szCs w:val="21"/>
        </w:rPr>
        <w:br w:type="textWrapping"/>
      </w:r>
      <w:r>
        <w:rPr>
          <w:rFonts w:hint="eastAsia" w:ascii="宋体" w:hAnsi="宋体" w:eastAsia="宋体" w:cs="宋体"/>
          <w:sz w:val="21"/>
          <w:szCs w:val="21"/>
        </w:rPr>
        <w:t>现金流出总现值=36000＋5200×（P/A，15%，10）- 4150×（P/F，15%，10）=61071.88（元）</w:t>
      </w:r>
      <w:r>
        <w:rPr>
          <w:rFonts w:hint="eastAsia" w:ascii="宋体" w:hAnsi="宋体" w:eastAsia="宋体" w:cs="宋体"/>
          <w:sz w:val="21"/>
          <w:szCs w:val="21"/>
        </w:rPr>
        <w:br w:type="textWrapping"/>
      </w:r>
      <w:r>
        <w:rPr>
          <w:rFonts w:hint="eastAsia" w:ascii="宋体" w:hAnsi="宋体" w:eastAsia="宋体" w:cs="宋体"/>
          <w:sz w:val="21"/>
          <w:szCs w:val="21"/>
        </w:rPr>
        <w:t>年金成本=61071.88/（P/A，15%，10）＝12169（元）</w:t>
      </w:r>
    </w:p>
    <w:p w14:paraId="30DC1BF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（2）旧设备</w:t>
      </w:r>
      <w:r>
        <w:rPr>
          <w:rFonts w:hint="eastAsia" w:ascii="宋体" w:hAnsi="宋体" w:eastAsia="宋体" w:cs="宋体"/>
          <w:sz w:val="21"/>
          <w:szCs w:val="21"/>
        </w:rPr>
        <w:br w:type="textWrapping"/>
      </w:r>
      <w:r>
        <w:rPr>
          <w:rFonts w:hint="eastAsia" w:ascii="宋体" w:hAnsi="宋体" w:eastAsia="宋体" w:cs="宋体"/>
          <w:sz w:val="21"/>
          <w:szCs w:val="21"/>
        </w:rPr>
        <w:t>投资期：</w:t>
      </w:r>
      <w:r>
        <w:rPr>
          <w:rFonts w:hint="eastAsia" w:ascii="宋体" w:hAnsi="宋体" w:eastAsia="宋体" w:cs="宋体"/>
          <w:sz w:val="21"/>
          <w:szCs w:val="21"/>
        </w:rPr>
        <w:br w:type="textWrapping"/>
      </w:r>
      <w:r>
        <w:rPr>
          <w:rFonts w:hint="eastAsia" w:ascii="宋体" w:hAnsi="宋体" w:eastAsia="宋体" w:cs="宋体"/>
          <w:sz w:val="21"/>
          <w:szCs w:val="21"/>
        </w:rPr>
        <w:t>旧设备投资额＝10000＋（23000－10000）×25%=13250（元）</w:t>
      </w:r>
      <w:r>
        <w:rPr>
          <w:rFonts w:hint="eastAsia" w:ascii="宋体" w:hAnsi="宋体" w:eastAsia="宋体" w:cs="宋体"/>
          <w:sz w:val="21"/>
          <w:szCs w:val="21"/>
        </w:rPr>
        <w:br w:type="textWrapping"/>
      </w:r>
      <w:r>
        <w:rPr>
          <w:rFonts w:hint="eastAsia" w:ascii="宋体" w:hAnsi="宋体" w:eastAsia="宋体" w:cs="宋体"/>
          <w:sz w:val="21"/>
          <w:szCs w:val="21"/>
        </w:rPr>
        <w:t>营运期：每年折旧抵税=3000×25%=750（元）</w:t>
      </w:r>
      <w:r>
        <w:rPr>
          <w:rFonts w:hint="eastAsia" w:ascii="宋体" w:hAnsi="宋体" w:eastAsia="宋体" w:cs="宋体"/>
          <w:sz w:val="21"/>
          <w:szCs w:val="21"/>
        </w:rPr>
        <w:br w:type="textWrapping"/>
      </w:r>
      <w:r>
        <w:rPr>
          <w:rFonts w:hint="eastAsia" w:ascii="宋体" w:hAnsi="宋体" w:eastAsia="宋体" w:cs="宋体"/>
          <w:sz w:val="21"/>
          <w:szCs w:val="21"/>
        </w:rPr>
        <w:t>每年税后营运成本=10500×（1-25%）＝7875（元）</w:t>
      </w:r>
      <w:r>
        <w:rPr>
          <w:rFonts w:hint="eastAsia" w:ascii="宋体" w:hAnsi="宋体" w:eastAsia="宋体" w:cs="宋体"/>
          <w:sz w:val="21"/>
          <w:szCs w:val="21"/>
        </w:rPr>
        <w:br w:type="textWrapping"/>
      </w:r>
      <w:r>
        <w:rPr>
          <w:rFonts w:hint="eastAsia" w:ascii="宋体" w:hAnsi="宋体" w:eastAsia="宋体" w:cs="宋体"/>
          <w:sz w:val="21"/>
          <w:szCs w:val="21"/>
        </w:rPr>
        <w:t>终结期：</w:t>
      </w:r>
      <w:r>
        <w:rPr>
          <w:rFonts w:hint="eastAsia" w:ascii="宋体" w:hAnsi="宋体" w:eastAsia="宋体" w:cs="宋体"/>
          <w:sz w:val="21"/>
          <w:szCs w:val="21"/>
        </w:rPr>
        <w:br w:type="textWrapping"/>
      </w:r>
      <w:r>
        <w:rPr>
          <w:rFonts w:hint="eastAsia" w:ascii="宋体" w:hAnsi="宋体" w:eastAsia="宋体" w:cs="宋体"/>
          <w:sz w:val="21"/>
          <w:szCs w:val="21"/>
        </w:rPr>
        <w:t>旧设备税后残值净收入＝3500＋（5000－3500）×25%＝3875（元）</w:t>
      </w:r>
    </w:p>
    <w:p w14:paraId="2145465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现金流出总现值=13250＋7125×（P/A，15%，6）- 3875×（P/F，15%，6）=38539.4（元）</w:t>
      </w:r>
      <w:r>
        <w:rPr>
          <w:rFonts w:hint="eastAsia" w:ascii="宋体" w:hAnsi="宋体" w:eastAsia="宋体" w:cs="宋体"/>
          <w:sz w:val="21"/>
          <w:szCs w:val="21"/>
        </w:rPr>
        <w:br w:type="textWrapping"/>
      </w:r>
      <w:r>
        <w:rPr>
          <w:rFonts w:hint="eastAsia" w:ascii="宋体" w:hAnsi="宋体" w:eastAsia="宋体" w:cs="宋体"/>
          <w:sz w:val="21"/>
          <w:szCs w:val="21"/>
        </w:rPr>
        <w:t>年金成本=38539.4/（P/A，15%，6）＝10183（元）</w:t>
      </w:r>
      <w:r>
        <w:rPr>
          <w:rFonts w:hint="eastAsia" w:ascii="宋体" w:hAnsi="宋体" w:eastAsia="宋体" w:cs="宋体"/>
          <w:sz w:val="21"/>
          <w:szCs w:val="21"/>
        </w:rPr>
        <w:br w:type="textWrapping"/>
      </w:r>
      <w:r>
        <w:rPr>
          <w:rFonts w:hint="eastAsia" w:ascii="宋体" w:hAnsi="宋体" w:eastAsia="宋体" w:cs="宋体"/>
          <w:sz w:val="21"/>
          <w:szCs w:val="21"/>
        </w:rPr>
        <w:t>上述计算表明，继续使用旧设备的年金成本为10183.49元，低于购买新设备的年金成本12168.62元，应采用继续使用旧设备方案。</w:t>
      </w:r>
    </w:p>
    <w:p w14:paraId="0554BB4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第六章  投资管理</w:t>
      </w:r>
    </w:p>
    <w:p w14:paraId="2ED2625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0321668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【例·综合题】乙公司现有生产线已满负荷运转，鉴于其产品在市场上供不应求，公司准备购置一条生产线，公司及生产线的相关资料如下：</w:t>
      </w:r>
      <w:r>
        <w:rPr>
          <w:rFonts w:hint="eastAsia" w:ascii="宋体" w:hAnsi="宋体" w:eastAsia="宋体" w:cs="宋体"/>
          <w:sz w:val="21"/>
          <w:szCs w:val="21"/>
        </w:rPr>
        <w:br w:type="textWrapping"/>
      </w:r>
      <w:r>
        <w:rPr>
          <w:rFonts w:hint="eastAsia" w:ascii="宋体" w:hAnsi="宋体" w:eastAsia="宋体" w:cs="宋体"/>
          <w:sz w:val="21"/>
          <w:szCs w:val="21"/>
        </w:rPr>
        <w:t>资料一：乙公司生产线的购置有两个方案可供选择； A方案生产线的购买成本为7200万元，预计使用6年，采用直线法计提折旧，预计净残值率为10%，生产线投产时需要投入营运资金1200万元，以满足日常经营活动需要，生产线运营期满时垫支的营运资金全部收回，生产线投入使用后，预计每年新增销售收入11880万元，每年新增付现成本8800万元，假定生产线购入后可立即投入使用。</w:t>
      </w:r>
    </w:p>
    <w:p w14:paraId="640AD0C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B方案生产线的购买成本为7200万元，预计使用8年，当设定贴现率为12%时净现值为3228.94万元。</w:t>
      </w:r>
      <w:r>
        <w:rPr>
          <w:rFonts w:hint="eastAsia" w:ascii="宋体" w:hAnsi="宋体" w:eastAsia="宋体" w:cs="宋体"/>
          <w:sz w:val="21"/>
          <w:szCs w:val="21"/>
        </w:rPr>
        <w:br w:type="textWrapping"/>
      </w:r>
      <w:r>
        <w:rPr>
          <w:rFonts w:hint="eastAsia" w:ascii="宋体" w:hAnsi="宋体" w:eastAsia="宋体" w:cs="宋体"/>
          <w:sz w:val="21"/>
          <w:szCs w:val="21"/>
        </w:rPr>
        <w:t>资料二：乙公司适用的企业所得税税率为25%，不考虑其他相关税金，公司要求的最低投资报酬率为12%，部分时间价值系数如下表所示：</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63"/>
        <w:gridCol w:w="1163"/>
        <w:gridCol w:w="1163"/>
        <w:gridCol w:w="1163"/>
        <w:gridCol w:w="1163"/>
        <w:gridCol w:w="1163"/>
        <w:gridCol w:w="1163"/>
        <w:gridCol w:w="1163"/>
      </w:tblGrid>
      <w:tr w14:paraId="46C8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4B9CFBF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年度</w:t>
            </w:r>
          </w:p>
        </w:tc>
        <w:tc>
          <w:tcPr>
            <w:tcW w:w="555" w:type="pct"/>
          </w:tcPr>
          <w:p w14:paraId="1213D69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55" w:type="pct"/>
          </w:tcPr>
          <w:p w14:paraId="0485470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55" w:type="pct"/>
          </w:tcPr>
          <w:p w14:paraId="0F5DEC4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55" w:type="pct"/>
          </w:tcPr>
          <w:p w14:paraId="144F3E2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55" w:type="pct"/>
          </w:tcPr>
          <w:p w14:paraId="4C3D200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555" w:type="pct"/>
          </w:tcPr>
          <w:p w14:paraId="29A546A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555" w:type="pct"/>
          </w:tcPr>
          <w:p w14:paraId="0DF8CE8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555" w:type="pct"/>
          </w:tcPr>
          <w:p w14:paraId="43836F7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8</w:t>
            </w:r>
          </w:p>
        </w:tc>
      </w:tr>
      <w:tr w14:paraId="33E2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07B2FEF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（P/F，12%，n）</w:t>
            </w:r>
          </w:p>
        </w:tc>
        <w:tc>
          <w:tcPr>
            <w:tcW w:w="555" w:type="pct"/>
          </w:tcPr>
          <w:p w14:paraId="03D1618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0.8929</w:t>
            </w:r>
          </w:p>
        </w:tc>
        <w:tc>
          <w:tcPr>
            <w:tcW w:w="555" w:type="pct"/>
          </w:tcPr>
          <w:p w14:paraId="5F248EC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0.7972</w:t>
            </w:r>
          </w:p>
        </w:tc>
        <w:tc>
          <w:tcPr>
            <w:tcW w:w="555" w:type="pct"/>
          </w:tcPr>
          <w:p w14:paraId="08AEC5D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0.7118</w:t>
            </w:r>
          </w:p>
        </w:tc>
        <w:tc>
          <w:tcPr>
            <w:tcW w:w="555" w:type="pct"/>
          </w:tcPr>
          <w:p w14:paraId="5AE48DB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0.6355</w:t>
            </w:r>
          </w:p>
        </w:tc>
        <w:tc>
          <w:tcPr>
            <w:tcW w:w="555" w:type="pct"/>
          </w:tcPr>
          <w:p w14:paraId="65DD6B4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0.5674</w:t>
            </w:r>
          </w:p>
        </w:tc>
        <w:tc>
          <w:tcPr>
            <w:tcW w:w="555" w:type="pct"/>
          </w:tcPr>
          <w:p w14:paraId="0EDA0B3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0.5066</w:t>
            </w:r>
          </w:p>
        </w:tc>
        <w:tc>
          <w:tcPr>
            <w:tcW w:w="555" w:type="pct"/>
          </w:tcPr>
          <w:p w14:paraId="63CFA74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0.4523</w:t>
            </w:r>
          </w:p>
        </w:tc>
        <w:tc>
          <w:tcPr>
            <w:tcW w:w="555" w:type="pct"/>
          </w:tcPr>
          <w:p w14:paraId="5E44296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0.4039</w:t>
            </w:r>
          </w:p>
        </w:tc>
      </w:tr>
      <w:tr w14:paraId="2463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6B0AC74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（P/A，12%，n）</w:t>
            </w:r>
          </w:p>
        </w:tc>
        <w:tc>
          <w:tcPr>
            <w:tcW w:w="555" w:type="pct"/>
          </w:tcPr>
          <w:p w14:paraId="006E495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0.8929</w:t>
            </w:r>
          </w:p>
        </w:tc>
        <w:tc>
          <w:tcPr>
            <w:tcW w:w="555" w:type="pct"/>
          </w:tcPr>
          <w:p w14:paraId="0450ABA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1.6901</w:t>
            </w:r>
          </w:p>
        </w:tc>
        <w:tc>
          <w:tcPr>
            <w:tcW w:w="555" w:type="pct"/>
          </w:tcPr>
          <w:p w14:paraId="4BFFB3F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2.4018</w:t>
            </w:r>
          </w:p>
        </w:tc>
        <w:tc>
          <w:tcPr>
            <w:tcW w:w="555" w:type="pct"/>
          </w:tcPr>
          <w:p w14:paraId="3D3629C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3.0373</w:t>
            </w:r>
          </w:p>
        </w:tc>
        <w:tc>
          <w:tcPr>
            <w:tcW w:w="555" w:type="pct"/>
          </w:tcPr>
          <w:p w14:paraId="0B5E938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3.6048</w:t>
            </w:r>
          </w:p>
        </w:tc>
        <w:tc>
          <w:tcPr>
            <w:tcW w:w="555" w:type="pct"/>
          </w:tcPr>
          <w:p w14:paraId="26E8CA5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4.1114</w:t>
            </w:r>
          </w:p>
        </w:tc>
        <w:tc>
          <w:tcPr>
            <w:tcW w:w="555" w:type="pct"/>
          </w:tcPr>
          <w:p w14:paraId="2C2981C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4.5638</w:t>
            </w:r>
          </w:p>
        </w:tc>
        <w:tc>
          <w:tcPr>
            <w:tcW w:w="555" w:type="pct"/>
          </w:tcPr>
          <w:p w14:paraId="543B9C8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4.9676</w:t>
            </w:r>
          </w:p>
        </w:tc>
      </w:tr>
    </w:tbl>
    <w:p w14:paraId="0E69DCD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资料三：乙公司目前资本结构（按市场价值计算）为：总资本40000万元，其中债务资本16000万元（市场价值等于其账面价值，平均年利率为8%），普通股股本24000万元（市价6元/股，4000万股），公司今年的每股股利（D0）为0.3元，预计股利年增长率为10%.且未来股利政策保持不变。</w:t>
      </w:r>
      <w:r>
        <w:rPr>
          <w:rFonts w:hint="eastAsia" w:ascii="宋体" w:hAnsi="宋体" w:eastAsia="宋体" w:cs="宋体"/>
          <w:sz w:val="21"/>
          <w:szCs w:val="21"/>
        </w:rPr>
        <w:br w:type="textWrapping"/>
      </w:r>
      <w:r>
        <w:rPr>
          <w:rFonts w:hint="eastAsia" w:ascii="宋体" w:hAnsi="宋体" w:eastAsia="宋体" w:cs="宋体"/>
          <w:sz w:val="21"/>
          <w:szCs w:val="21"/>
        </w:rPr>
        <w:t>资料四：乙公司投资所需资金7200万元需要从外部筹措，有两种方案可供选择；方案一为全部增发普通股，增发价格为6元/股。方案二为全部发行债券，债券年利率为10%，按年支付利息，到期一次性归还本金。假设不考虑筹资过程中发生的筹资费用。乙公司预期的年息税前利润为4500万元。</w:t>
      </w:r>
    </w:p>
    <w:p w14:paraId="58725EB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（1）根据资料一和资料二，计算A方案的下列指标：</w:t>
      </w:r>
      <w:r>
        <w:rPr>
          <w:rFonts w:hint="eastAsia" w:ascii="宋体" w:hAnsi="宋体" w:eastAsia="宋体" w:cs="宋体"/>
          <w:sz w:val="21"/>
          <w:szCs w:val="21"/>
        </w:rPr>
        <w:br w:type="textWrapping"/>
      </w:r>
      <w:r>
        <w:rPr>
          <w:rFonts w:hint="eastAsia" w:ascii="宋体" w:hAnsi="宋体" w:eastAsia="宋体" w:cs="宋体"/>
          <w:sz w:val="21"/>
          <w:szCs w:val="21"/>
        </w:rPr>
        <w:t>①投资期现金净流量；</w:t>
      </w:r>
      <w:r>
        <w:rPr>
          <w:rFonts w:hint="eastAsia" w:ascii="宋体" w:hAnsi="宋体" w:eastAsia="宋体" w:cs="宋体"/>
          <w:sz w:val="21"/>
          <w:szCs w:val="21"/>
        </w:rPr>
        <w:br w:type="textWrapping"/>
      </w:r>
      <w:r>
        <w:rPr>
          <w:rFonts w:hint="eastAsia" w:ascii="宋体" w:hAnsi="宋体" w:eastAsia="宋体" w:cs="宋体"/>
          <w:sz w:val="21"/>
          <w:szCs w:val="21"/>
        </w:rPr>
        <w:t>②年折旧额；</w:t>
      </w:r>
      <w:r>
        <w:rPr>
          <w:rFonts w:hint="eastAsia" w:ascii="宋体" w:hAnsi="宋体" w:eastAsia="宋体" w:cs="宋体"/>
          <w:sz w:val="21"/>
          <w:szCs w:val="21"/>
        </w:rPr>
        <w:br w:type="textWrapping"/>
      </w:r>
      <w:r>
        <w:rPr>
          <w:rFonts w:hint="eastAsia" w:ascii="宋体" w:hAnsi="宋体" w:eastAsia="宋体" w:cs="宋体"/>
          <w:sz w:val="21"/>
          <w:szCs w:val="21"/>
        </w:rPr>
        <w:t>③生产线投入使用后第1-5年每年的营业现金净流量；</w:t>
      </w:r>
      <w:r>
        <w:rPr>
          <w:rFonts w:hint="eastAsia" w:ascii="宋体" w:hAnsi="宋体" w:eastAsia="宋体" w:cs="宋体"/>
          <w:sz w:val="21"/>
          <w:szCs w:val="21"/>
        </w:rPr>
        <w:br w:type="textWrapping"/>
      </w:r>
      <w:r>
        <w:rPr>
          <w:rFonts w:hint="eastAsia" w:ascii="宋体" w:hAnsi="宋体" w:eastAsia="宋体" w:cs="宋体"/>
          <w:sz w:val="21"/>
          <w:szCs w:val="21"/>
        </w:rPr>
        <w:t>④生产线投入使用后第6年的现金净流量；</w:t>
      </w:r>
      <w:r>
        <w:rPr>
          <w:rFonts w:hint="eastAsia" w:ascii="宋体" w:hAnsi="宋体" w:eastAsia="宋体" w:cs="宋体"/>
          <w:sz w:val="21"/>
          <w:szCs w:val="21"/>
        </w:rPr>
        <w:br w:type="textWrapping"/>
      </w:r>
      <w:r>
        <w:rPr>
          <w:rFonts w:hint="eastAsia" w:ascii="宋体" w:hAnsi="宋体" w:eastAsia="宋体" w:cs="宋体"/>
          <w:sz w:val="21"/>
          <w:szCs w:val="21"/>
        </w:rPr>
        <w:t>⑤净现值。</w:t>
      </w:r>
      <w:r>
        <w:rPr>
          <w:rFonts w:hint="eastAsia" w:ascii="宋体" w:hAnsi="宋体" w:eastAsia="宋体" w:cs="宋体"/>
          <w:sz w:val="21"/>
          <w:szCs w:val="21"/>
        </w:rPr>
        <w:br w:type="textWrapping"/>
      </w:r>
      <w:r>
        <w:rPr>
          <w:rFonts w:hint="eastAsia" w:ascii="宋体" w:hAnsi="宋体" w:eastAsia="宋体" w:cs="宋体"/>
          <w:sz w:val="21"/>
          <w:szCs w:val="21"/>
        </w:rPr>
        <w:t>（2）分别计算A、B方案的年金净流量，据以判断乙公司应选择哪个方案，并说明理由。</w:t>
      </w:r>
    </w:p>
    <w:p w14:paraId="00D1081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（3）根据资料二，资料三和资料四：</w:t>
      </w:r>
      <w:r>
        <w:rPr>
          <w:rFonts w:hint="eastAsia" w:ascii="宋体" w:hAnsi="宋体" w:eastAsia="宋体" w:cs="宋体"/>
          <w:sz w:val="21"/>
          <w:szCs w:val="21"/>
        </w:rPr>
        <w:br w:type="textWrapping"/>
      </w:r>
      <w:r>
        <w:rPr>
          <w:rFonts w:hint="eastAsia" w:ascii="宋体" w:hAnsi="宋体" w:eastAsia="宋体" w:cs="宋体"/>
          <w:sz w:val="21"/>
          <w:szCs w:val="21"/>
        </w:rPr>
        <w:t xml:space="preserve"> ①计算方案一和方案二的每股收益无差别点（以息税前利润表示）；</w:t>
      </w:r>
      <w:r>
        <w:rPr>
          <w:rFonts w:hint="eastAsia" w:ascii="宋体" w:hAnsi="宋体" w:eastAsia="宋体" w:cs="宋体"/>
          <w:sz w:val="21"/>
          <w:szCs w:val="21"/>
        </w:rPr>
        <w:br w:type="textWrapping"/>
      </w:r>
      <w:r>
        <w:rPr>
          <w:rFonts w:hint="eastAsia" w:ascii="宋体" w:hAnsi="宋体" w:eastAsia="宋体" w:cs="宋体"/>
          <w:sz w:val="21"/>
          <w:szCs w:val="21"/>
        </w:rPr>
        <w:t xml:space="preserve"> ②计算每股收益无差别点的每股收益；</w:t>
      </w:r>
      <w:r>
        <w:rPr>
          <w:rFonts w:hint="eastAsia" w:ascii="宋体" w:hAnsi="宋体" w:eastAsia="宋体" w:cs="宋体"/>
          <w:sz w:val="21"/>
          <w:szCs w:val="21"/>
        </w:rPr>
        <w:br w:type="textWrapping"/>
      </w:r>
      <w:r>
        <w:rPr>
          <w:rFonts w:hint="eastAsia" w:ascii="宋体" w:hAnsi="宋体" w:eastAsia="宋体" w:cs="宋体"/>
          <w:sz w:val="21"/>
          <w:szCs w:val="21"/>
        </w:rPr>
        <w:t xml:space="preserve"> ③运用每股收益分析法判断乙公司应选择哪一种筹资方案，并说明理由。</w:t>
      </w:r>
      <w:r>
        <w:rPr>
          <w:rFonts w:hint="eastAsia" w:ascii="宋体" w:hAnsi="宋体" w:eastAsia="宋体" w:cs="宋体"/>
          <w:sz w:val="21"/>
          <w:szCs w:val="21"/>
        </w:rPr>
        <w:br w:type="textWrapping"/>
      </w:r>
      <w:r>
        <w:rPr>
          <w:rFonts w:hint="eastAsia" w:ascii="宋体" w:hAnsi="宋体" w:eastAsia="宋体" w:cs="宋体"/>
          <w:sz w:val="21"/>
          <w:szCs w:val="21"/>
        </w:rPr>
        <w:t>（4）假定乙公司按方案二进行筹资，根据资料二、资料三和资料四计算：</w:t>
      </w:r>
      <w:r>
        <w:rPr>
          <w:rFonts w:hint="eastAsia" w:ascii="宋体" w:hAnsi="宋体" w:eastAsia="宋体" w:cs="宋体"/>
          <w:sz w:val="21"/>
          <w:szCs w:val="21"/>
        </w:rPr>
        <w:br w:type="textWrapping"/>
      </w:r>
      <w:r>
        <w:rPr>
          <w:rFonts w:hint="eastAsia" w:ascii="宋体" w:hAnsi="宋体" w:eastAsia="宋体" w:cs="宋体"/>
          <w:sz w:val="21"/>
          <w:szCs w:val="21"/>
        </w:rPr>
        <w:t>①乙公司普通股的资本成本；</w:t>
      </w:r>
      <w:r>
        <w:rPr>
          <w:rFonts w:hint="eastAsia" w:ascii="宋体" w:hAnsi="宋体" w:eastAsia="宋体" w:cs="宋体"/>
          <w:sz w:val="21"/>
          <w:szCs w:val="21"/>
        </w:rPr>
        <w:br w:type="textWrapping"/>
      </w:r>
      <w:r>
        <w:rPr>
          <w:rFonts w:hint="eastAsia" w:ascii="宋体" w:hAnsi="宋体" w:eastAsia="宋体" w:cs="宋体"/>
          <w:sz w:val="21"/>
          <w:szCs w:val="21"/>
        </w:rPr>
        <w:t>②筹资后乙公司的加权平均资本成本。</w:t>
      </w:r>
    </w:p>
    <w:p w14:paraId="14C6158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（1）①投资期现金净流量NCF0=-（7200+1200）=-8400（万元）</w:t>
      </w:r>
      <w:r>
        <w:rPr>
          <w:rFonts w:hint="eastAsia" w:ascii="宋体" w:hAnsi="宋体" w:eastAsia="宋体" w:cs="宋体"/>
          <w:sz w:val="21"/>
          <w:szCs w:val="21"/>
        </w:rPr>
        <w:br w:type="textWrapping"/>
      </w:r>
      <w:r>
        <w:rPr>
          <w:rFonts w:hint="eastAsia" w:ascii="宋体" w:hAnsi="宋体" w:eastAsia="宋体" w:cs="宋体"/>
          <w:sz w:val="21"/>
          <w:szCs w:val="21"/>
        </w:rPr>
        <w:t>②年折旧额=7200×（1-10%）/6=1080（万元）</w:t>
      </w:r>
      <w:r>
        <w:rPr>
          <w:rFonts w:hint="eastAsia" w:ascii="宋体" w:hAnsi="宋体" w:eastAsia="宋体" w:cs="宋体"/>
          <w:sz w:val="21"/>
          <w:szCs w:val="21"/>
        </w:rPr>
        <w:br w:type="textWrapping"/>
      </w:r>
      <w:r>
        <w:rPr>
          <w:rFonts w:hint="eastAsia" w:ascii="宋体" w:hAnsi="宋体" w:eastAsia="宋体" w:cs="宋体"/>
          <w:sz w:val="21"/>
          <w:szCs w:val="21"/>
        </w:rPr>
        <w:t>③生产线投入使用后第1-5年每年的营业现金净流量</w:t>
      </w:r>
      <w:r>
        <w:rPr>
          <w:rFonts w:hint="eastAsia" w:ascii="宋体" w:hAnsi="宋体" w:eastAsia="宋体" w:cs="宋体"/>
          <w:sz w:val="21"/>
          <w:szCs w:val="21"/>
        </w:rPr>
        <w:br w:type="textWrapping"/>
      </w:r>
      <w:r>
        <w:rPr>
          <w:rFonts w:hint="eastAsia" w:ascii="宋体" w:hAnsi="宋体" w:eastAsia="宋体" w:cs="宋体"/>
          <w:sz w:val="21"/>
          <w:szCs w:val="21"/>
        </w:rPr>
        <w:t>NCF1～5=（11880-8800）×（1-25%）+1080×25%=2580（万元）</w:t>
      </w:r>
      <w:r>
        <w:rPr>
          <w:rFonts w:hint="eastAsia" w:ascii="宋体" w:hAnsi="宋体" w:eastAsia="宋体" w:cs="宋体"/>
          <w:sz w:val="21"/>
          <w:szCs w:val="21"/>
        </w:rPr>
        <w:br w:type="textWrapping"/>
      </w:r>
      <w:r>
        <w:rPr>
          <w:rFonts w:hint="eastAsia" w:ascii="宋体" w:hAnsi="宋体" w:eastAsia="宋体" w:cs="宋体"/>
          <w:sz w:val="21"/>
          <w:szCs w:val="21"/>
        </w:rPr>
        <w:t>④生产线投入使用后第6年的现金净流量NCF6=2580+1200+7200×10%=4500（万元）</w:t>
      </w:r>
    </w:p>
    <w:p w14:paraId="5D59A05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⑤净现值=-8400+2580×（P/A，12%，5）+4500×（P/F，12%，6）</w:t>
      </w:r>
      <w:r>
        <w:rPr>
          <w:rFonts w:hint="eastAsia" w:ascii="宋体" w:hAnsi="宋体" w:eastAsia="宋体" w:cs="宋体"/>
          <w:sz w:val="21"/>
          <w:szCs w:val="21"/>
        </w:rPr>
        <w:br w:type="textWrapping"/>
      </w:r>
      <w:r>
        <w:rPr>
          <w:rFonts w:hint="eastAsia" w:ascii="宋体" w:hAnsi="宋体" w:eastAsia="宋体" w:cs="宋体"/>
          <w:sz w:val="21"/>
          <w:szCs w:val="21"/>
        </w:rPr>
        <w:t>=-8400+2580×3.6048+4500×0.5066</w:t>
      </w:r>
      <w:r>
        <w:rPr>
          <w:rFonts w:hint="eastAsia" w:ascii="宋体" w:hAnsi="宋体" w:eastAsia="宋体" w:cs="宋体"/>
          <w:sz w:val="21"/>
          <w:szCs w:val="21"/>
        </w:rPr>
        <w:br w:type="textWrapping"/>
      </w:r>
      <w:r>
        <w:rPr>
          <w:rFonts w:hint="eastAsia" w:ascii="宋体" w:hAnsi="宋体" w:eastAsia="宋体" w:cs="宋体"/>
          <w:sz w:val="21"/>
          <w:szCs w:val="21"/>
        </w:rPr>
        <w:t>=3180.08（万元）</w:t>
      </w:r>
      <w:r>
        <w:rPr>
          <w:rFonts w:hint="eastAsia" w:ascii="宋体" w:hAnsi="宋体" w:eastAsia="宋体" w:cs="宋体"/>
          <w:sz w:val="21"/>
          <w:szCs w:val="21"/>
        </w:rPr>
        <w:br w:type="textWrapping"/>
      </w:r>
      <w:r>
        <w:rPr>
          <w:rFonts w:hint="eastAsia" w:ascii="宋体" w:hAnsi="宋体" w:eastAsia="宋体" w:cs="宋体"/>
          <w:sz w:val="21"/>
          <w:szCs w:val="21"/>
        </w:rPr>
        <w:t>（2）A方案的年金净流量=3180.08/（P/A，12%，6）=3180.08/4.1114=773.48（万元）</w:t>
      </w:r>
      <w:r>
        <w:rPr>
          <w:rFonts w:hint="eastAsia" w:ascii="宋体" w:hAnsi="宋体" w:eastAsia="宋体" w:cs="宋体"/>
          <w:sz w:val="21"/>
          <w:szCs w:val="21"/>
        </w:rPr>
        <w:br w:type="textWrapping"/>
      </w:r>
      <w:r>
        <w:rPr>
          <w:rFonts w:hint="eastAsia" w:ascii="宋体" w:hAnsi="宋体" w:eastAsia="宋体" w:cs="宋体"/>
          <w:sz w:val="21"/>
          <w:szCs w:val="21"/>
        </w:rPr>
        <w:t xml:space="preserve"> B方案的年金净流量=3228.94/（P/A，12%，8）=3228.94/4.9676=650（万元）</w:t>
      </w:r>
      <w:r>
        <w:rPr>
          <w:rFonts w:hint="eastAsia" w:ascii="宋体" w:hAnsi="宋体" w:eastAsia="宋体" w:cs="宋体"/>
          <w:sz w:val="21"/>
          <w:szCs w:val="21"/>
        </w:rPr>
        <w:br w:type="textWrapping"/>
      </w:r>
      <w:r>
        <w:rPr>
          <w:rFonts w:hint="eastAsia" w:ascii="宋体" w:hAnsi="宋体" w:eastAsia="宋体" w:cs="宋体"/>
          <w:sz w:val="21"/>
          <w:szCs w:val="21"/>
        </w:rPr>
        <w:t xml:space="preserve"> 由于A方案的年金净流量大于B方案的年金净流量，因此乙公司应选择A方案。</w:t>
      </w:r>
    </w:p>
    <w:p w14:paraId="3221A1A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（3）①（EBIT-16000×8%）×（1-25%）/（4000+7200/6）=（EBIT-16000×8%-7200×10%）×（1-25%）/4000</w:t>
      </w:r>
      <w:r>
        <w:rPr>
          <w:rFonts w:hint="eastAsia" w:ascii="宋体" w:hAnsi="宋体" w:eastAsia="宋体" w:cs="宋体"/>
          <w:sz w:val="21"/>
          <w:szCs w:val="21"/>
        </w:rPr>
        <w:br w:type="textWrapping"/>
      </w:r>
      <w:r>
        <w:rPr>
          <w:rFonts w:hint="eastAsia" w:ascii="宋体" w:hAnsi="宋体" w:eastAsia="宋体" w:cs="宋体"/>
          <w:sz w:val="21"/>
          <w:szCs w:val="21"/>
        </w:rPr>
        <w:t>EBIT=（5200×2000-4000×1280）/（5200-4000）=4400（万元）</w:t>
      </w:r>
      <w:r>
        <w:rPr>
          <w:rFonts w:hint="eastAsia" w:ascii="宋体" w:hAnsi="宋体" w:eastAsia="宋体" w:cs="宋体"/>
          <w:sz w:val="21"/>
          <w:szCs w:val="21"/>
        </w:rPr>
        <w:br w:type="textWrapping"/>
      </w:r>
      <w:r>
        <w:rPr>
          <w:rFonts w:hint="eastAsia" w:ascii="宋体" w:hAnsi="宋体" w:eastAsia="宋体" w:cs="宋体"/>
          <w:sz w:val="21"/>
          <w:szCs w:val="21"/>
        </w:rPr>
        <w:t>②每股收益无差别点的每股收益=（4400-16000×8%）×（1-25%）/（4000+7200/6）=0.45（元）</w:t>
      </w:r>
      <w:r>
        <w:rPr>
          <w:rFonts w:hint="eastAsia" w:ascii="宋体" w:hAnsi="宋体" w:eastAsia="宋体" w:cs="宋体"/>
          <w:sz w:val="21"/>
          <w:szCs w:val="21"/>
        </w:rPr>
        <w:br w:type="textWrapping"/>
      </w:r>
      <w:r>
        <w:rPr>
          <w:rFonts w:hint="eastAsia" w:ascii="宋体" w:hAnsi="宋体" w:eastAsia="宋体" w:cs="宋体"/>
          <w:sz w:val="21"/>
          <w:szCs w:val="21"/>
        </w:rPr>
        <w:t>③该公司预期息税前利润4500万元大于每股收益无差别点的息税前利润，所以应该选择财务杠杆较大的方案二债券筹资。</w:t>
      </w:r>
    </w:p>
    <w:p w14:paraId="6378E0F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（4）①乙公司普通股的资本成本=0.3×（1+10%）/6+10%=15.5%</w:t>
      </w:r>
      <w:r>
        <w:rPr>
          <w:rFonts w:hint="eastAsia" w:ascii="宋体" w:hAnsi="宋体" w:eastAsia="宋体" w:cs="宋体"/>
          <w:sz w:val="21"/>
          <w:szCs w:val="21"/>
        </w:rPr>
        <w:br w:type="textWrapping"/>
      </w:r>
      <w:r>
        <w:rPr>
          <w:rFonts w:hint="eastAsia" w:ascii="宋体" w:hAnsi="宋体" w:eastAsia="宋体" w:cs="宋体"/>
          <w:sz w:val="21"/>
          <w:szCs w:val="21"/>
        </w:rPr>
        <w:t xml:space="preserve"> ②筹资后乙公司的加权平均资本成本=15.5%×24000/（40000+7200）+8%×（1-25%）×16000/（40000+7200）+10%×（1-25%）×7200/（40000+7200）=11.06%。</w:t>
      </w:r>
    </w:p>
    <w:p w14:paraId="2FFA35D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第六章  投资</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管理</w:t>
      </w:r>
    </w:p>
    <w:p w14:paraId="14147F5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08AFFF4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【考点5】证券投资</w:t>
      </w:r>
      <w:r>
        <w:rPr>
          <w:rFonts w:hint="eastAsia" w:ascii="宋体" w:hAnsi="宋体" w:eastAsia="宋体" w:cs="宋体"/>
          <w:sz w:val="21"/>
          <w:szCs w:val="21"/>
        </w:rPr>
        <w:br w:type="textWrapping"/>
      </w:r>
      <w:r>
        <w:rPr>
          <w:rFonts w:hint="eastAsia" w:ascii="宋体" w:hAnsi="宋体" w:eastAsia="宋体" w:cs="宋体"/>
          <w:sz w:val="21"/>
          <w:szCs w:val="21"/>
        </w:rPr>
        <w:t>证券投资的风险是投资者无法获得预期投资收益的可能性。证券投资的风险分为系统性风险和非系统风险两大类别。</w:t>
      </w:r>
      <w:r>
        <w:rPr>
          <w:rFonts w:hint="eastAsia" w:ascii="宋体" w:hAnsi="宋体" w:eastAsia="宋体" w:cs="宋体"/>
          <w:sz w:val="21"/>
          <w:szCs w:val="21"/>
        </w:rPr>
        <w:br w:type="textWrapping"/>
      </w:r>
      <w:r>
        <w:rPr>
          <w:rFonts w:hint="eastAsia" w:ascii="宋体" w:hAnsi="宋体" w:eastAsia="宋体" w:cs="宋体"/>
          <w:sz w:val="21"/>
          <w:szCs w:val="21"/>
        </w:rPr>
        <w:t>系统风险：价格风险、再投资风险、购买力风险。非系统风险：违约风险、变现风险、破产风险</w:t>
      </w:r>
      <w:r>
        <w:rPr>
          <w:rFonts w:hint="eastAsia" w:ascii="宋体" w:hAnsi="宋体" w:eastAsia="宋体" w:cs="宋体"/>
          <w:sz w:val="21"/>
          <w:szCs w:val="21"/>
        </w:rPr>
        <w:br w:type="textWrapping"/>
      </w:r>
      <w:r>
        <w:rPr>
          <w:rFonts w:hint="eastAsia" w:ascii="宋体" w:hAnsi="宋体" w:eastAsia="宋体" w:cs="宋体"/>
          <w:sz w:val="21"/>
          <w:szCs w:val="21"/>
        </w:rPr>
        <w:t>（一）债券投资（债券价值和内部收益率）</w:t>
      </w:r>
      <w:r>
        <w:rPr>
          <w:rFonts w:hint="eastAsia" w:ascii="宋体" w:hAnsi="宋体" w:eastAsia="宋体" w:cs="宋体"/>
          <w:sz w:val="21"/>
          <w:szCs w:val="21"/>
        </w:rPr>
        <w:br w:type="textWrapping"/>
      </w:r>
      <w:r>
        <w:rPr>
          <w:rFonts w:hint="eastAsia" w:ascii="宋体" w:hAnsi="宋体" w:eastAsia="宋体" w:cs="宋体"/>
          <w:sz w:val="21"/>
          <w:szCs w:val="21"/>
        </w:rPr>
        <w:t>（二）股票投资（股票价值和内部收益率）</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9364"/>
      </w:tblGrid>
      <w:tr w14:paraId="4915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pct"/>
          </w:tcPr>
          <w:p w14:paraId="1C7F71D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债券投资</w:t>
            </w:r>
          </w:p>
        </w:tc>
        <w:tc>
          <w:tcPr>
            <w:tcW w:w="4471" w:type="pct"/>
          </w:tcPr>
          <w:p w14:paraId="5326EFA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债券价值影响因素（利率、期限）</w:t>
            </w:r>
            <w:r>
              <w:rPr>
                <w:rFonts w:hint="eastAsia" w:ascii="宋体" w:hAnsi="宋体" w:eastAsia="宋体" w:cs="宋体"/>
                <w:sz w:val="21"/>
                <w:szCs w:val="21"/>
              </w:rPr>
              <w:br w:type="textWrapping"/>
            </w:r>
            <w:r>
              <w:rPr>
                <w:rFonts w:hint="eastAsia" w:ascii="宋体" w:hAnsi="宋体" w:eastAsia="宋体" w:cs="宋体"/>
                <w:sz w:val="21"/>
                <w:szCs w:val="21"/>
              </w:rPr>
              <w:t>原理：现金流入量现值=现金流出量现值</w:t>
            </w:r>
            <w:r>
              <w:rPr>
                <w:rFonts w:hint="eastAsia" w:ascii="宋体" w:hAnsi="宋体" w:eastAsia="宋体" w:cs="宋体"/>
                <w:sz w:val="21"/>
                <w:szCs w:val="21"/>
              </w:rPr>
              <w:br w:type="textWrapping"/>
            </w:r>
            <w:r>
              <w:rPr>
                <w:rFonts w:hint="eastAsia" w:ascii="宋体" w:hAnsi="宋体" w:eastAsia="宋体" w:cs="宋体"/>
                <w:sz w:val="21"/>
                <w:szCs w:val="21"/>
              </w:rPr>
              <w:t>（3）债券收益来源：名义利息收益、利息再投资收益和价差收益。</w:t>
            </w:r>
          </w:p>
        </w:tc>
      </w:tr>
      <w:tr w14:paraId="71C5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pct"/>
          </w:tcPr>
          <w:p w14:paraId="5C8BF20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股票投资</w:t>
            </w:r>
          </w:p>
        </w:tc>
        <w:tc>
          <w:tcPr>
            <w:tcW w:w="4471" w:type="pct"/>
          </w:tcPr>
          <w:p w14:paraId="7E8F2B3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（1）基本模型：假设长期持有股票，只考虑投资于股票所得到的未来现金流量是各期的股利。</w:t>
            </w:r>
            <w:r>
              <w:rPr>
                <w:rFonts w:hint="eastAsia" w:ascii="宋体" w:hAnsi="宋体" w:eastAsia="宋体" w:cs="宋体"/>
                <w:sz w:val="21"/>
                <w:szCs w:val="21"/>
              </w:rPr>
              <w:br w:type="textWrapping"/>
            </w:r>
            <w:r>
              <w:rPr>
                <w:rFonts w:hint="eastAsia" w:ascii="宋体" w:hAnsi="宋体" w:eastAsia="宋体" w:cs="宋体"/>
                <w:sz w:val="21"/>
                <w:szCs w:val="21"/>
              </w:rPr>
              <w:t>（2）股利固定增长模型——各年股利按照固定比例增长</w:t>
            </w:r>
            <w:r>
              <w:rPr>
                <w:rFonts w:hint="eastAsia" w:ascii="宋体" w:hAnsi="宋体" w:eastAsia="宋体" w:cs="宋体"/>
                <w:sz w:val="21"/>
                <w:szCs w:val="21"/>
              </w:rPr>
              <w:br w:type="textWrapping"/>
            </w:r>
            <w:r>
              <w:rPr>
                <w:rFonts w:hint="eastAsia" w:ascii="宋体" w:hAnsi="宋体" w:eastAsia="宋体" w:cs="宋体"/>
                <w:sz w:val="21"/>
                <w:szCs w:val="21"/>
              </w:rPr>
              <w:t> </w:t>
            </w:r>
            <w:r>
              <w:pict>
                <v:shape id="_x0000_i1029" o:spt="75" type="#_x0000_t75" style="height:35.85pt;width:56.7pt;" filled="f" o:preferrelative="t" stroked="f" coordsize="21600,21600">
                  <v:path/>
                  <v:fill on="f" focussize="0,0"/>
                  <v:stroke on="f"/>
                  <v:imagedata r:id="rId18" o:title=""/>
                  <o:lock v:ext="edit" aspectratio="t"/>
                  <w10:wrap type="none"/>
                  <w10:anchorlock/>
                </v:shape>
              </w:pict>
            </w:r>
            <w:r>
              <w:rPr>
                <w:rFonts w:hint="eastAsia" w:ascii="宋体" w:hAnsi="宋体" w:eastAsia="宋体" w:cs="宋体"/>
                <w:sz w:val="21"/>
                <w:szCs w:val="21"/>
              </w:rPr>
              <w:br w:type="textWrapping"/>
            </w:r>
            <w:r>
              <w:rPr>
                <w:rFonts w:hint="eastAsia" w:ascii="宋体" w:hAnsi="宋体" w:eastAsia="宋体" w:cs="宋体"/>
                <w:sz w:val="21"/>
                <w:szCs w:val="21"/>
              </w:rPr>
              <w:t>（3）阶段性增长模型——分段考虑</w:t>
            </w:r>
            <w:r>
              <w:rPr>
                <w:rFonts w:hint="eastAsia" w:ascii="宋体" w:hAnsi="宋体" w:eastAsia="宋体" w:cs="宋体"/>
                <w:sz w:val="21"/>
                <w:szCs w:val="21"/>
              </w:rPr>
              <w:br w:type="textWrapping"/>
            </w:r>
            <w:r>
              <w:rPr>
                <w:rFonts w:hint="eastAsia" w:ascii="宋体" w:hAnsi="宋体" w:eastAsia="宋体" w:cs="宋体"/>
                <w:sz w:val="21"/>
                <w:szCs w:val="21"/>
              </w:rPr>
              <w:t>（4）股票投资的收益来源：股利收益、股利再投资收益、转让价差收益</w:t>
            </w:r>
          </w:p>
        </w:tc>
      </w:tr>
    </w:tbl>
    <w:p w14:paraId="4960C9D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AFEA00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【例·单选题】根据债券估计基本模型，不考虑其他因素的影响，当市场利率上升时，固定利率债券价值的变化方向是（  ）。</w:t>
      </w:r>
      <w:r>
        <w:rPr>
          <w:rFonts w:hint="eastAsia" w:ascii="宋体" w:hAnsi="宋体" w:eastAsia="宋体" w:cs="宋体"/>
          <w:sz w:val="21"/>
          <w:szCs w:val="21"/>
        </w:rPr>
        <w:br w:type="textWrapping"/>
      </w:r>
      <w:r>
        <w:rPr>
          <w:rFonts w:hint="eastAsia" w:ascii="宋体" w:hAnsi="宋体" w:eastAsia="宋体" w:cs="宋体"/>
          <w:sz w:val="21"/>
          <w:szCs w:val="21"/>
        </w:rPr>
        <w:t>A.不确定　　B.不变　</w:t>
      </w:r>
      <w:r>
        <w:rPr>
          <w:rFonts w:hint="eastAsia" w:ascii="宋体" w:hAnsi="宋体" w:eastAsia="宋体" w:cs="宋体"/>
          <w:sz w:val="21"/>
          <w:szCs w:val="21"/>
        </w:rPr>
        <w:br w:type="textWrapping"/>
      </w:r>
      <w:r>
        <w:rPr>
          <w:rFonts w:hint="eastAsia" w:ascii="宋体" w:hAnsi="宋体" w:eastAsia="宋体" w:cs="宋体"/>
          <w:sz w:val="21"/>
          <w:szCs w:val="21"/>
        </w:rPr>
        <w:t>C.下降　　　D.上升</w:t>
      </w:r>
      <w:r>
        <w:rPr>
          <w:rFonts w:hint="eastAsia" w:ascii="宋体" w:hAnsi="宋体" w:eastAsia="宋体" w:cs="宋体"/>
          <w:sz w:val="21"/>
          <w:szCs w:val="21"/>
        </w:rPr>
        <w:br w:type="textWrapping"/>
      </w: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解析：计算固定利率债券价值时，折现率为市场利率，所以市场利率上升会导致债券价值下降。</w:t>
      </w:r>
    </w:p>
    <w:p w14:paraId="1004F60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A38B8F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【例·单选题】某ST公司在2018年3月5日宣布其发行的公司债券本期利息总额为8980万元将无法于原定付息日2018年3月9日全额支付，仅能够支付500万元，则该公司债务的投资者面临的风险是 （  ）。</w:t>
      </w:r>
      <w:r>
        <w:rPr>
          <w:rFonts w:hint="eastAsia" w:ascii="宋体" w:hAnsi="宋体" w:eastAsia="宋体" w:cs="宋体"/>
          <w:sz w:val="21"/>
          <w:szCs w:val="21"/>
        </w:rPr>
        <w:br w:type="textWrapping"/>
      </w:r>
      <w:r>
        <w:rPr>
          <w:rFonts w:hint="eastAsia" w:ascii="宋体" w:hAnsi="宋体" w:eastAsia="宋体" w:cs="宋体"/>
          <w:sz w:val="21"/>
          <w:szCs w:val="21"/>
        </w:rPr>
        <w:t>A.价格风险</w:t>
      </w:r>
      <w:r>
        <w:rPr>
          <w:rFonts w:hint="eastAsia" w:ascii="宋体" w:hAnsi="宋体" w:eastAsia="宋体" w:cs="宋体"/>
          <w:sz w:val="21"/>
          <w:szCs w:val="21"/>
        </w:rPr>
        <w:br w:type="textWrapping"/>
      </w:r>
      <w:r>
        <w:rPr>
          <w:rFonts w:hint="eastAsia" w:ascii="宋体" w:hAnsi="宋体" w:eastAsia="宋体" w:cs="宋体"/>
          <w:sz w:val="21"/>
          <w:szCs w:val="21"/>
        </w:rPr>
        <w:t>B.购买力风险</w:t>
      </w:r>
      <w:r>
        <w:rPr>
          <w:rFonts w:hint="eastAsia" w:ascii="宋体" w:hAnsi="宋体" w:eastAsia="宋体" w:cs="宋体"/>
          <w:sz w:val="21"/>
          <w:szCs w:val="21"/>
        </w:rPr>
        <w:br w:type="textWrapping"/>
      </w:r>
      <w:r>
        <w:rPr>
          <w:rFonts w:hint="eastAsia" w:ascii="宋体" w:hAnsi="宋体" w:eastAsia="宋体" w:cs="宋体"/>
          <w:sz w:val="21"/>
          <w:szCs w:val="21"/>
        </w:rPr>
        <w:t>C.变现风险</w:t>
      </w:r>
      <w:r>
        <w:rPr>
          <w:rFonts w:hint="eastAsia" w:ascii="宋体" w:hAnsi="宋体" w:eastAsia="宋体" w:cs="宋体"/>
          <w:sz w:val="21"/>
          <w:szCs w:val="21"/>
        </w:rPr>
        <w:br w:type="textWrapping"/>
      </w:r>
      <w:r>
        <w:rPr>
          <w:rFonts w:hint="eastAsia" w:ascii="宋体" w:hAnsi="宋体" w:eastAsia="宋体" w:cs="宋体"/>
          <w:sz w:val="21"/>
          <w:szCs w:val="21"/>
        </w:rPr>
        <w:t>D.违约风险</w:t>
      </w:r>
    </w:p>
    <w:p w14:paraId="10F58C9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答案：D</w:t>
      </w:r>
      <w:r>
        <w:rPr>
          <w:rFonts w:hint="eastAsia" w:ascii="宋体" w:hAnsi="宋体" w:eastAsia="宋体" w:cs="宋体"/>
          <w:sz w:val="21"/>
          <w:szCs w:val="21"/>
        </w:rPr>
        <w:br w:type="textWrapping"/>
      </w:r>
      <w:r>
        <w:rPr>
          <w:rFonts w:hint="eastAsia" w:ascii="宋体" w:hAnsi="宋体" w:eastAsia="宋体" w:cs="宋体"/>
          <w:sz w:val="21"/>
          <w:szCs w:val="21"/>
        </w:rPr>
        <w:t>解析：违约风险是指证券资产发行者无法按时兑付证券资产利息和偿付本金的可能性，所以选D。</w:t>
      </w:r>
    </w:p>
    <w:p w14:paraId="03F4019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F0B7B5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【例·多选题】债券内部收益率的计算公式中包含的因素是（  ）。</w:t>
      </w:r>
      <w:r>
        <w:rPr>
          <w:rFonts w:hint="eastAsia" w:ascii="宋体" w:hAnsi="宋体" w:eastAsia="宋体" w:cs="宋体"/>
          <w:sz w:val="21"/>
          <w:szCs w:val="21"/>
        </w:rPr>
        <w:br w:type="textWrapping"/>
      </w:r>
      <w:r>
        <w:rPr>
          <w:rFonts w:hint="eastAsia" w:ascii="宋体" w:hAnsi="宋体" w:eastAsia="宋体" w:cs="宋体"/>
          <w:sz w:val="21"/>
          <w:szCs w:val="21"/>
        </w:rPr>
        <w:t xml:space="preserve">A.债券面值          B.债券期限   </w:t>
      </w:r>
      <w:r>
        <w:rPr>
          <w:rFonts w:hint="eastAsia" w:ascii="宋体" w:hAnsi="宋体" w:eastAsia="宋体" w:cs="宋体"/>
          <w:sz w:val="21"/>
          <w:szCs w:val="21"/>
        </w:rPr>
        <w:br w:type="textWrapping"/>
      </w:r>
      <w:r>
        <w:rPr>
          <w:rFonts w:hint="eastAsia" w:ascii="宋体" w:hAnsi="宋体" w:eastAsia="宋体" w:cs="宋体"/>
          <w:sz w:val="21"/>
          <w:szCs w:val="21"/>
        </w:rPr>
        <w:t>C.市场利率          D.票面利率</w:t>
      </w:r>
      <w:r>
        <w:rPr>
          <w:rFonts w:hint="eastAsia" w:ascii="宋体" w:hAnsi="宋体" w:eastAsia="宋体" w:cs="宋体"/>
          <w:sz w:val="21"/>
          <w:szCs w:val="21"/>
        </w:rPr>
        <w:br w:type="textWrapping"/>
      </w:r>
      <w:r>
        <w:rPr>
          <w:rFonts w:hint="eastAsia" w:ascii="宋体" w:hAnsi="宋体" w:eastAsia="宋体" w:cs="宋体"/>
          <w:sz w:val="21"/>
          <w:szCs w:val="21"/>
        </w:rPr>
        <w:t>答案：ABD</w:t>
      </w:r>
      <w:r>
        <w:rPr>
          <w:rFonts w:hint="eastAsia" w:ascii="宋体" w:hAnsi="宋体" w:eastAsia="宋体" w:cs="宋体"/>
          <w:sz w:val="21"/>
          <w:szCs w:val="21"/>
        </w:rPr>
        <w:br w:type="textWrapping"/>
      </w:r>
      <w:r>
        <w:rPr>
          <w:rFonts w:hint="eastAsia" w:ascii="宋体" w:hAnsi="宋体" w:eastAsia="宋体" w:cs="宋体"/>
          <w:sz w:val="21"/>
          <w:szCs w:val="21"/>
        </w:rPr>
        <w:t>解析：根据债券内部收益率的含义及计算原理，债券内含收益率包含的因素主要有债券面值、债券期限与票面利率，不包括市场利率。所以选择ABD。</w:t>
      </w:r>
    </w:p>
    <w:p w14:paraId="278E77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BBC607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【例·判断题】由于债券的面值、期限和票面利息是固定的，因此带给持有者的未来收益仅仅为利息收益。（  ）</w:t>
      </w:r>
      <w:r>
        <w:rPr>
          <w:rFonts w:hint="eastAsia" w:ascii="宋体" w:hAnsi="宋体" w:eastAsia="宋体" w:cs="宋体"/>
          <w:sz w:val="21"/>
          <w:szCs w:val="21"/>
        </w:rPr>
        <w:br w:type="textWrapping"/>
      </w: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解析：债券投资的收益是投资于债券所获得的全部投资报酬，这些投资报酬率来源于三个方面：名义利息收益、利息再投资收益、价差收益。</w:t>
      </w:r>
    </w:p>
    <w:p w14:paraId="5DA67B0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07999BE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【例·计算分析题】已知：某公司发行票面金额为1000元、票面利率为8% 的3年期债券，该债券每年计息一次，到期归还本金，当时的市场利率为10%。</w:t>
      </w:r>
      <w:r>
        <w:rPr>
          <w:rFonts w:hint="eastAsia" w:ascii="宋体" w:hAnsi="宋体" w:eastAsia="宋体" w:cs="宋体"/>
          <w:sz w:val="21"/>
          <w:szCs w:val="21"/>
        </w:rPr>
        <w:br w:type="textWrapping"/>
      </w: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（1）计算该债券的内在价值。</w:t>
      </w:r>
      <w:r>
        <w:rPr>
          <w:rFonts w:hint="eastAsia" w:ascii="宋体" w:hAnsi="宋体" w:eastAsia="宋体" w:cs="宋体"/>
          <w:sz w:val="21"/>
          <w:szCs w:val="21"/>
        </w:rPr>
        <w:br w:type="textWrapping"/>
      </w:r>
      <w:r>
        <w:rPr>
          <w:rFonts w:hint="eastAsia" w:ascii="宋体" w:hAnsi="宋体" w:eastAsia="宋体" w:cs="宋体"/>
          <w:sz w:val="21"/>
          <w:szCs w:val="21"/>
        </w:rPr>
        <w:t>（2）假定投资者甲以940元的市场价格购入该债券，准备一直持有至期满，若不考虑各种税费的影响，计算内部收益率。</w:t>
      </w:r>
    </w:p>
    <w:p w14:paraId="35598A5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（1）该债券的理论价值＝1000×8％×（P/A，10％，3）＋1000×（P/F，10％，3）＝950.25（元）</w:t>
      </w:r>
      <w:r>
        <w:rPr>
          <w:rFonts w:hint="eastAsia" w:ascii="宋体" w:hAnsi="宋体" w:eastAsia="宋体" w:cs="宋体"/>
          <w:sz w:val="21"/>
          <w:szCs w:val="21"/>
        </w:rPr>
        <w:br w:type="textWrapping"/>
      </w:r>
      <w:r>
        <w:rPr>
          <w:rFonts w:hint="eastAsia" w:ascii="宋体" w:hAnsi="宋体" w:eastAsia="宋体" w:cs="宋体"/>
          <w:sz w:val="21"/>
          <w:szCs w:val="21"/>
        </w:rPr>
        <w:t>（2）设内部收益率为R，</w:t>
      </w:r>
      <w:r>
        <w:rPr>
          <w:rFonts w:hint="eastAsia" w:ascii="宋体" w:hAnsi="宋体" w:eastAsia="宋体" w:cs="宋体"/>
          <w:sz w:val="21"/>
          <w:szCs w:val="21"/>
        </w:rPr>
        <w:br w:type="textWrapping"/>
      </w:r>
      <w:r>
        <w:rPr>
          <w:rFonts w:hint="eastAsia" w:ascii="宋体" w:hAnsi="宋体" w:eastAsia="宋体" w:cs="宋体"/>
          <w:sz w:val="21"/>
          <w:szCs w:val="21"/>
        </w:rPr>
        <w:t>则940＝1000×8％×（P/A，R，3）＋1000×（P/F，R，3）</w:t>
      </w:r>
      <w:r>
        <w:rPr>
          <w:rFonts w:hint="eastAsia" w:ascii="宋体" w:hAnsi="宋体" w:eastAsia="宋体" w:cs="宋体"/>
          <w:sz w:val="21"/>
          <w:szCs w:val="21"/>
        </w:rPr>
        <w:br w:type="textWrapping"/>
      </w:r>
      <w:r>
        <w:rPr>
          <w:rFonts w:hint="eastAsia" w:ascii="宋体" w:hAnsi="宋体" w:eastAsia="宋体" w:cs="宋体"/>
          <w:sz w:val="21"/>
          <w:szCs w:val="21"/>
        </w:rPr>
        <w:t>当R＝12％时：</w:t>
      </w:r>
      <w:r>
        <w:rPr>
          <w:rFonts w:hint="eastAsia" w:ascii="宋体" w:hAnsi="宋体" w:eastAsia="宋体" w:cs="宋体"/>
          <w:sz w:val="21"/>
          <w:szCs w:val="21"/>
        </w:rPr>
        <w:br w:type="textWrapping"/>
      </w:r>
      <w:r>
        <w:rPr>
          <w:rFonts w:hint="eastAsia" w:ascii="宋体" w:hAnsi="宋体" w:eastAsia="宋体" w:cs="宋体"/>
          <w:sz w:val="21"/>
          <w:szCs w:val="21"/>
        </w:rPr>
        <w:t>1000×8％×（P/A，R，3）＋1000×（P/F，R，3）＝903.94（元）</w:t>
      </w:r>
    </w:p>
    <w:p w14:paraId="3444C85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当R＝10％时：</w:t>
      </w:r>
      <w:r>
        <w:rPr>
          <w:rFonts w:hint="eastAsia" w:ascii="宋体" w:hAnsi="宋体" w:eastAsia="宋体" w:cs="宋体"/>
          <w:sz w:val="21"/>
          <w:szCs w:val="21"/>
        </w:rPr>
        <w:br w:type="textWrapping"/>
      </w:r>
      <w:r>
        <w:rPr>
          <w:rFonts w:hint="eastAsia" w:ascii="宋体" w:hAnsi="宋体" w:eastAsia="宋体" w:cs="宋体"/>
          <w:sz w:val="21"/>
          <w:szCs w:val="21"/>
        </w:rPr>
        <w:t>1000×8％×（P/A，R，3）＋1000×（P/F，R，3）＝950.25（元）</w:t>
      </w:r>
      <w:r>
        <w:rPr>
          <w:rFonts w:hint="eastAsia" w:ascii="宋体" w:hAnsi="宋体" w:eastAsia="宋体" w:cs="宋体"/>
          <w:sz w:val="21"/>
          <w:szCs w:val="21"/>
        </w:rPr>
        <w:br w:type="textWrapping"/>
      </w:r>
      <w:r>
        <w:rPr>
          <w:rFonts w:hint="eastAsia" w:ascii="宋体" w:hAnsi="宋体" w:eastAsia="宋体" w:cs="宋体"/>
          <w:sz w:val="21"/>
          <w:szCs w:val="21"/>
        </w:rPr>
        <w:t>利用内插法可得：</w:t>
      </w:r>
      <w:r>
        <w:rPr>
          <w:rFonts w:hint="eastAsia" w:ascii="宋体" w:hAnsi="宋体" w:eastAsia="宋体" w:cs="宋体"/>
          <w:sz w:val="21"/>
          <w:szCs w:val="21"/>
        </w:rPr>
        <w:br w:type="textWrapping"/>
      </w:r>
      <w:r>
        <w:rPr>
          <w:rFonts w:hint="eastAsia" w:ascii="宋体" w:hAnsi="宋体" w:eastAsia="宋体" w:cs="宋体"/>
          <w:sz w:val="21"/>
          <w:szCs w:val="21"/>
        </w:rPr>
        <w:t>（940－903.94）/（950.25－903.94）＝（R－12％）/（10％－12％）解得：R＝10.44％</w:t>
      </w:r>
    </w:p>
    <w:p w14:paraId="640800D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2261A1A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【例·单选题】某公司股票的当前市场价格为10元/股，今年发放的现金股利为0.2元/股（即D0=0.2），预计未来每年股利增长率为5%，则该股票的内部收益率为（  ）。</w:t>
      </w:r>
      <w:r>
        <w:rPr>
          <w:rFonts w:hint="eastAsia" w:ascii="宋体" w:hAnsi="宋体" w:eastAsia="宋体" w:cs="宋体"/>
          <w:sz w:val="21"/>
          <w:szCs w:val="21"/>
        </w:rPr>
        <w:br w:type="textWrapping"/>
      </w:r>
      <w:r>
        <w:rPr>
          <w:rFonts w:hint="eastAsia" w:ascii="宋体" w:hAnsi="宋体" w:eastAsia="宋体" w:cs="宋体"/>
          <w:sz w:val="21"/>
          <w:szCs w:val="21"/>
        </w:rPr>
        <w:t>A.7.1%</w:t>
      </w:r>
      <w:r>
        <w:rPr>
          <w:rFonts w:hint="eastAsia" w:ascii="宋体" w:hAnsi="宋体" w:eastAsia="宋体" w:cs="宋体"/>
          <w:sz w:val="21"/>
          <w:szCs w:val="21"/>
        </w:rPr>
        <w:br w:type="textWrapping"/>
      </w:r>
      <w:r>
        <w:rPr>
          <w:rFonts w:hint="eastAsia" w:ascii="宋体" w:hAnsi="宋体" w:eastAsia="宋体" w:cs="宋体"/>
          <w:sz w:val="21"/>
          <w:szCs w:val="21"/>
        </w:rPr>
        <w:t>B.7%</w:t>
      </w:r>
      <w:r>
        <w:rPr>
          <w:rFonts w:hint="eastAsia" w:ascii="宋体" w:hAnsi="宋体" w:eastAsia="宋体" w:cs="宋体"/>
          <w:sz w:val="21"/>
          <w:szCs w:val="21"/>
        </w:rPr>
        <w:br w:type="textWrapping"/>
      </w:r>
      <w:r>
        <w:rPr>
          <w:rFonts w:hint="eastAsia" w:ascii="宋体" w:hAnsi="宋体" w:eastAsia="宋体" w:cs="宋体"/>
          <w:sz w:val="21"/>
          <w:szCs w:val="21"/>
        </w:rPr>
        <w:t>C.5%</w:t>
      </w:r>
      <w:r>
        <w:rPr>
          <w:rFonts w:hint="eastAsia" w:ascii="宋体" w:hAnsi="宋体" w:eastAsia="宋体" w:cs="宋体"/>
          <w:sz w:val="21"/>
          <w:szCs w:val="21"/>
        </w:rPr>
        <w:br w:type="textWrapping"/>
      </w:r>
      <w:r>
        <w:rPr>
          <w:rFonts w:hint="eastAsia" w:ascii="宋体" w:hAnsi="宋体" w:eastAsia="宋体" w:cs="宋体"/>
          <w:sz w:val="21"/>
          <w:szCs w:val="21"/>
        </w:rPr>
        <w:t>D.2%</w:t>
      </w:r>
      <w:r>
        <w:rPr>
          <w:rFonts w:hint="eastAsia" w:ascii="宋体" w:hAnsi="宋体" w:eastAsia="宋体" w:cs="宋体"/>
          <w:sz w:val="21"/>
          <w:szCs w:val="21"/>
        </w:rPr>
        <w:br w:type="textWrapping"/>
      </w:r>
      <w:r>
        <w:rPr>
          <w:rFonts w:hint="eastAsia" w:ascii="宋体" w:hAnsi="宋体" w:eastAsia="宋体" w:cs="宋体"/>
          <w:sz w:val="21"/>
          <w:szCs w:val="21"/>
        </w:rPr>
        <w:t>答案：A</w:t>
      </w:r>
      <w:r>
        <w:rPr>
          <w:rFonts w:hint="eastAsia" w:ascii="宋体" w:hAnsi="宋体" w:eastAsia="宋体" w:cs="宋体"/>
          <w:sz w:val="21"/>
          <w:szCs w:val="21"/>
        </w:rPr>
        <w:br w:type="textWrapping"/>
      </w:r>
      <w:r>
        <w:rPr>
          <w:rFonts w:hint="eastAsia" w:ascii="宋体" w:hAnsi="宋体" w:eastAsia="宋体" w:cs="宋体"/>
          <w:sz w:val="21"/>
          <w:szCs w:val="21"/>
        </w:rPr>
        <w:t>解析：股票的内部收益率</w:t>
      </w:r>
      <w:r>
        <w:rPr>
          <w:rFonts w:hint="eastAsia" w:ascii="宋体" w:hAnsi="宋体" w:eastAsia="宋体" w:cs="宋体"/>
          <w:sz w:val="21"/>
          <w:szCs w:val="21"/>
        </w:rPr>
        <w:br w:type="textWrapping"/>
      </w:r>
      <w:r>
        <w:rPr>
          <w:rFonts w:hint="eastAsia" w:ascii="宋体" w:hAnsi="宋体" w:eastAsia="宋体" w:cs="宋体"/>
          <w:sz w:val="21"/>
          <w:szCs w:val="21"/>
        </w:rPr>
        <w:t>=D1/P0+g=0.2×（1+5%）/10+5%=7.1%。</w:t>
      </w:r>
    </w:p>
    <w:p w14:paraId="4C36884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664DDF2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【例·计算分析题】甲公司是一家上市公司，当前每股价格为12元，本年刚发放的每股股利为0.8元（即D0=0.8），预计股利将按照5% 的固定比率逐年增长。已知无风险收益率为4%，市场组合收益率为10%，甲公司股票的贝塔系数为1.6。</w:t>
      </w:r>
      <w:r>
        <w:rPr>
          <w:rFonts w:hint="eastAsia" w:ascii="宋体" w:hAnsi="宋体" w:eastAsia="宋体" w:cs="宋体"/>
          <w:sz w:val="21"/>
          <w:szCs w:val="21"/>
        </w:rPr>
        <w:br w:type="textWrapping"/>
      </w: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（1）计算市场组合的风险收益率。</w:t>
      </w:r>
      <w:r>
        <w:rPr>
          <w:rFonts w:hint="eastAsia" w:ascii="宋体" w:hAnsi="宋体" w:eastAsia="宋体" w:cs="宋体"/>
          <w:sz w:val="21"/>
          <w:szCs w:val="21"/>
        </w:rPr>
        <w:br w:type="textWrapping"/>
      </w:r>
      <w:r>
        <w:rPr>
          <w:rFonts w:hint="eastAsia" w:ascii="宋体" w:hAnsi="宋体" w:eastAsia="宋体" w:cs="宋体"/>
          <w:sz w:val="21"/>
          <w:szCs w:val="21"/>
        </w:rPr>
        <w:t>（2）利用资本资产定价模型计算甲公司股票的必要收益率</w:t>
      </w:r>
      <w:r>
        <w:rPr>
          <w:rFonts w:hint="eastAsia" w:ascii="宋体" w:hAnsi="宋体" w:eastAsia="宋体" w:cs="宋体"/>
          <w:sz w:val="21"/>
          <w:szCs w:val="21"/>
        </w:rPr>
        <w:br w:type="textWrapping"/>
      </w:r>
      <w:r>
        <w:rPr>
          <w:rFonts w:hint="eastAsia" w:ascii="宋体" w:hAnsi="宋体" w:eastAsia="宋体" w:cs="宋体"/>
          <w:sz w:val="21"/>
          <w:szCs w:val="21"/>
        </w:rPr>
        <w:t>（3）利用固定增长模型计算甲公司股票价值</w:t>
      </w:r>
      <w:r>
        <w:rPr>
          <w:rFonts w:hint="eastAsia" w:ascii="宋体" w:hAnsi="宋体" w:eastAsia="宋体" w:cs="宋体"/>
          <w:sz w:val="21"/>
          <w:szCs w:val="21"/>
        </w:rPr>
        <w:br w:type="textWrapping"/>
      </w:r>
      <w:r>
        <w:rPr>
          <w:rFonts w:hint="eastAsia" w:ascii="宋体" w:hAnsi="宋体" w:eastAsia="宋体" w:cs="宋体"/>
          <w:sz w:val="21"/>
          <w:szCs w:val="21"/>
        </w:rPr>
        <w:t>（4）从长期投资者的角度，判断甲公司股票是否值得购买，并说明理由。</w:t>
      </w:r>
    </w:p>
    <w:p w14:paraId="5E3FBB1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（1）市场组合风险收益率=（10%-4%）=6%</w:t>
      </w:r>
      <w:r>
        <w:rPr>
          <w:rFonts w:hint="eastAsia" w:ascii="宋体" w:hAnsi="宋体" w:eastAsia="宋体" w:cs="宋体"/>
          <w:sz w:val="21"/>
          <w:szCs w:val="21"/>
        </w:rPr>
        <w:br w:type="textWrapping"/>
      </w:r>
      <w:r>
        <w:rPr>
          <w:rFonts w:hint="eastAsia" w:ascii="宋体" w:hAnsi="宋体" w:eastAsia="宋体" w:cs="宋体"/>
          <w:sz w:val="21"/>
          <w:szCs w:val="21"/>
        </w:rPr>
        <w:t>（2）甲股票的必要收益率=4%+1.6×6%=13.6%</w:t>
      </w:r>
      <w:r>
        <w:rPr>
          <w:rFonts w:hint="eastAsia" w:ascii="宋体" w:hAnsi="宋体" w:eastAsia="宋体" w:cs="宋体"/>
          <w:sz w:val="21"/>
          <w:szCs w:val="21"/>
        </w:rPr>
        <w:br w:type="textWrapping"/>
      </w:r>
      <w:r>
        <w:rPr>
          <w:rFonts w:hint="eastAsia" w:ascii="宋体" w:hAnsi="宋体" w:eastAsia="宋体" w:cs="宋体"/>
          <w:sz w:val="21"/>
          <w:szCs w:val="21"/>
        </w:rPr>
        <w:t>（3）甲公司股票价值=0.8×（1+5%）/（13.6%-5%）=9.77（元/股）。</w:t>
      </w:r>
      <w:r>
        <w:rPr>
          <w:rFonts w:hint="eastAsia" w:ascii="宋体" w:hAnsi="宋体" w:eastAsia="宋体" w:cs="宋体"/>
          <w:sz w:val="21"/>
          <w:szCs w:val="21"/>
        </w:rPr>
        <w:br w:type="textWrapping"/>
      </w:r>
      <w:r>
        <w:rPr>
          <w:rFonts w:hint="eastAsia" w:ascii="宋体" w:hAnsi="宋体" w:eastAsia="宋体" w:cs="宋体"/>
          <w:sz w:val="21"/>
          <w:szCs w:val="21"/>
        </w:rPr>
        <w:t>（4）不值得购买</w:t>
      </w:r>
      <w:r>
        <w:rPr>
          <w:rFonts w:hint="eastAsia" w:ascii="宋体" w:hAnsi="宋体" w:eastAsia="宋体" w:cs="宋体"/>
          <w:sz w:val="21"/>
          <w:szCs w:val="21"/>
        </w:rPr>
        <w:br w:type="textWrapping"/>
      </w:r>
      <w:r>
        <w:rPr>
          <w:rFonts w:hint="eastAsia" w:ascii="宋体" w:hAnsi="宋体" w:eastAsia="宋体" w:cs="宋体"/>
          <w:sz w:val="21"/>
          <w:szCs w:val="21"/>
        </w:rPr>
        <w:t>理由：价值低于价格。</w:t>
      </w:r>
    </w:p>
    <w:p w14:paraId="195D644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334DB9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color w:val="FF0000"/>
          <w:sz w:val="21"/>
          <w:szCs w:val="21"/>
        </w:rPr>
        <w:t>【考点6】基金投资与期权投资</w:t>
      </w:r>
      <w:r>
        <w:rPr>
          <w:rFonts w:hint="eastAsia" w:ascii="宋体" w:hAnsi="宋体" w:eastAsia="宋体" w:cs="宋体"/>
          <w:sz w:val="21"/>
          <w:szCs w:val="21"/>
        </w:rPr>
        <w:br w:type="textWrapping"/>
      </w:r>
    </w:p>
    <w:p w14:paraId="782522C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【例·单选题】某投资者持有股票基金，股票期初价格每股5元，期末价格每股6元，持有期间收到上市公司的分派的每股红利0.20元，其持有期间的收益率（  ）</w:t>
      </w:r>
      <w:r>
        <w:rPr>
          <w:rFonts w:hint="eastAsia" w:ascii="宋体" w:hAnsi="宋体" w:eastAsia="宋体" w:cs="宋体"/>
          <w:sz w:val="21"/>
          <w:szCs w:val="21"/>
        </w:rPr>
        <w:br w:type="textWrapping"/>
      </w:r>
      <w:r>
        <w:rPr>
          <w:rFonts w:hint="eastAsia" w:ascii="宋体" w:hAnsi="宋体" w:eastAsia="宋体" w:cs="宋体"/>
          <w:sz w:val="21"/>
          <w:szCs w:val="21"/>
        </w:rPr>
        <w:t>A.24%</w:t>
      </w:r>
      <w:r>
        <w:rPr>
          <w:rFonts w:hint="eastAsia" w:ascii="宋体" w:hAnsi="宋体" w:eastAsia="宋体" w:cs="宋体"/>
          <w:sz w:val="21"/>
          <w:szCs w:val="21"/>
        </w:rPr>
        <w:br w:type="textWrapping"/>
      </w:r>
      <w:r>
        <w:rPr>
          <w:rFonts w:hint="eastAsia" w:ascii="宋体" w:hAnsi="宋体" w:eastAsia="宋体" w:cs="宋体"/>
          <w:sz w:val="21"/>
          <w:szCs w:val="21"/>
        </w:rPr>
        <w:t>B.20%</w:t>
      </w:r>
      <w:r>
        <w:rPr>
          <w:rFonts w:hint="eastAsia" w:ascii="宋体" w:hAnsi="宋体" w:eastAsia="宋体" w:cs="宋体"/>
          <w:sz w:val="21"/>
          <w:szCs w:val="21"/>
        </w:rPr>
        <w:br w:type="textWrapping"/>
      </w:r>
      <w:r>
        <w:rPr>
          <w:rFonts w:hint="eastAsia" w:ascii="宋体" w:hAnsi="宋体" w:eastAsia="宋体" w:cs="宋体"/>
          <w:sz w:val="21"/>
          <w:szCs w:val="21"/>
        </w:rPr>
        <w:t>C.15%</w:t>
      </w:r>
      <w:r>
        <w:rPr>
          <w:rFonts w:hint="eastAsia" w:ascii="宋体" w:hAnsi="宋体" w:eastAsia="宋体" w:cs="宋体"/>
          <w:sz w:val="21"/>
          <w:szCs w:val="21"/>
        </w:rPr>
        <w:br w:type="textWrapping"/>
      </w:r>
      <w:r>
        <w:rPr>
          <w:rFonts w:hint="eastAsia" w:ascii="宋体" w:hAnsi="宋体" w:eastAsia="宋体" w:cs="宋体"/>
          <w:sz w:val="21"/>
          <w:szCs w:val="21"/>
        </w:rPr>
        <w:t>D.25%</w:t>
      </w:r>
      <w:r>
        <w:rPr>
          <w:rFonts w:hint="eastAsia" w:ascii="宋体" w:hAnsi="宋体" w:eastAsia="宋体" w:cs="宋体"/>
          <w:sz w:val="21"/>
          <w:szCs w:val="21"/>
        </w:rPr>
        <w:br w:type="textWrapping"/>
      </w:r>
      <w:r>
        <w:rPr>
          <w:rFonts w:hint="eastAsia" w:ascii="宋体" w:hAnsi="宋体" w:eastAsia="宋体" w:cs="宋体"/>
          <w:sz w:val="21"/>
          <w:szCs w:val="21"/>
        </w:rPr>
        <w:t>答案：A</w:t>
      </w:r>
      <w:r>
        <w:rPr>
          <w:rFonts w:hint="eastAsia" w:ascii="宋体" w:hAnsi="宋体" w:eastAsia="宋体" w:cs="宋体"/>
          <w:sz w:val="21"/>
          <w:szCs w:val="21"/>
        </w:rPr>
        <w:br w:type="textWrapping"/>
      </w:r>
      <w:r>
        <w:rPr>
          <w:rFonts w:hint="eastAsia" w:ascii="宋体" w:hAnsi="宋体" w:eastAsia="宋体" w:cs="宋体"/>
          <w:sz w:val="21"/>
          <w:szCs w:val="21"/>
        </w:rPr>
        <w:t>解析：持有收益率=（6-5+0.2）/5×100%=24%。</w:t>
      </w:r>
    </w:p>
    <w:p w14:paraId="5AA0EE7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0FF295C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【例·多选题】甲公司股票目前市价为20元，有1股以该股票为标的资产的看涨期权，期限为6个月，执行价格为24元，期权价格为4元。若到期日股价为30元，则下列各项中，正确的有（ ）。</w:t>
      </w:r>
      <w:r>
        <w:rPr>
          <w:rFonts w:hint="eastAsia" w:ascii="宋体" w:hAnsi="宋体" w:eastAsia="宋体" w:cs="宋体"/>
          <w:sz w:val="21"/>
          <w:szCs w:val="21"/>
        </w:rPr>
        <w:br w:type="textWrapping"/>
      </w:r>
      <w:r>
        <w:rPr>
          <w:rFonts w:hint="eastAsia" w:ascii="宋体" w:hAnsi="宋体" w:eastAsia="宋体" w:cs="宋体"/>
          <w:sz w:val="21"/>
          <w:szCs w:val="21"/>
        </w:rPr>
        <w:t>A.买入看涨期权到期日价值为6元</w:t>
      </w:r>
      <w:r>
        <w:rPr>
          <w:rFonts w:hint="eastAsia" w:ascii="宋体" w:hAnsi="宋体" w:eastAsia="宋体" w:cs="宋体"/>
          <w:sz w:val="21"/>
          <w:szCs w:val="21"/>
        </w:rPr>
        <w:br w:type="textWrapping"/>
      </w:r>
      <w:r>
        <w:rPr>
          <w:rFonts w:hint="eastAsia" w:ascii="宋体" w:hAnsi="宋体" w:eastAsia="宋体" w:cs="宋体"/>
          <w:sz w:val="21"/>
          <w:szCs w:val="21"/>
        </w:rPr>
        <w:t>B.买入看涨期权到期日价值为-6元</w:t>
      </w:r>
      <w:r>
        <w:rPr>
          <w:rFonts w:hint="eastAsia" w:ascii="宋体" w:hAnsi="宋体" w:eastAsia="宋体" w:cs="宋体"/>
          <w:sz w:val="21"/>
          <w:szCs w:val="21"/>
        </w:rPr>
        <w:br w:type="textWrapping"/>
      </w:r>
      <w:r>
        <w:rPr>
          <w:rFonts w:hint="eastAsia" w:ascii="宋体" w:hAnsi="宋体" w:eastAsia="宋体" w:cs="宋体"/>
          <w:sz w:val="21"/>
          <w:szCs w:val="21"/>
        </w:rPr>
        <w:t>C.买入看涨期权净损益为2元</w:t>
      </w:r>
      <w:r>
        <w:rPr>
          <w:rFonts w:hint="eastAsia" w:ascii="宋体" w:hAnsi="宋体" w:eastAsia="宋体" w:cs="宋体"/>
          <w:sz w:val="21"/>
          <w:szCs w:val="21"/>
        </w:rPr>
        <w:br w:type="textWrapping"/>
      </w:r>
      <w:r>
        <w:rPr>
          <w:rFonts w:hint="eastAsia" w:ascii="宋体" w:hAnsi="宋体" w:eastAsia="宋体" w:cs="宋体"/>
          <w:sz w:val="21"/>
          <w:szCs w:val="21"/>
        </w:rPr>
        <w:t>D.买入看涨期权净损益为-2元</w:t>
      </w:r>
    </w:p>
    <w:p w14:paraId="437C3D9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答案：AC</w:t>
      </w:r>
      <w:r>
        <w:rPr>
          <w:rFonts w:hint="eastAsia" w:ascii="宋体" w:hAnsi="宋体" w:eastAsia="宋体" w:cs="宋体"/>
          <w:sz w:val="21"/>
          <w:szCs w:val="21"/>
        </w:rPr>
        <w:br w:type="textWrapping"/>
      </w:r>
      <w:r>
        <w:rPr>
          <w:rFonts w:hint="eastAsia" w:ascii="宋体" w:hAnsi="宋体" w:eastAsia="宋体" w:cs="宋体"/>
          <w:sz w:val="21"/>
          <w:szCs w:val="21"/>
        </w:rPr>
        <w:t>解析：买入看涨期权到期日价值为=30-24=6（元）；买入看涨期权净损益=6-4=2（元）</w:t>
      </w:r>
    </w:p>
    <w:p w14:paraId="0B47BC2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796CBC9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【例·判断题】欧式期权只能在到期日当天执行期权，不可推迟或提前。（  ）</w:t>
      </w:r>
      <w:r>
        <w:rPr>
          <w:rFonts w:hint="eastAsia" w:ascii="宋体" w:hAnsi="宋体" w:eastAsia="宋体" w:cs="宋体"/>
          <w:sz w:val="21"/>
          <w:szCs w:val="21"/>
        </w:rPr>
        <w:br w:type="textWrapping"/>
      </w: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解析：欧式期权只能在到期日当天执行期权，不可推迟或提前。</w:t>
      </w:r>
    </w:p>
    <w:p w14:paraId="56DA568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7B9EC07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【例·判断题】买方支付期权费用，享有权利，称为多头；卖方获取期权费用，享有权利和承担义务，称为空头。</w:t>
      </w:r>
      <w:r>
        <w:rPr>
          <w:rFonts w:hint="eastAsia" w:ascii="宋体" w:hAnsi="宋体" w:eastAsia="宋体" w:cs="宋体"/>
          <w:sz w:val="21"/>
          <w:szCs w:val="21"/>
        </w:rPr>
        <w:br w:type="textWrapping"/>
      </w: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解析：买方支付期权费用，享有权利，称为多头；卖方获取期权费用，承担义务，称为空头。</w:t>
      </w:r>
    </w:p>
    <w:p w14:paraId="41E4306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第七章 营运资金管理</w:t>
      </w:r>
    </w:p>
    <w:p w14:paraId="27AD8C1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7A492FB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本章属于非常重点章节，考分在</w:t>
      </w: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分左右，主观题和客观题都会呈现，考点如下：</w:t>
      </w:r>
    </w:p>
    <w:p w14:paraId="13C177D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（一）营运资金管理策略</w:t>
      </w:r>
    </w:p>
    <w:p w14:paraId="0CEF2A4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（二）目标现金余额的确定、现金周转期管理</w:t>
      </w:r>
    </w:p>
    <w:p w14:paraId="397CB98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（三）信用条件的决策</w:t>
      </w:r>
    </w:p>
    <w:p w14:paraId="04AB86D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（四）经济订货批量及其拓展</w:t>
      </w:r>
    </w:p>
    <w:p w14:paraId="45FD22E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（五）短期借款管理</w:t>
      </w:r>
    </w:p>
    <w:p w14:paraId="6A16068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（六）商业信用管理（放弃现金折扣的信用决策）</w:t>
      </w:r>
    </w:p>
    <w:p w14:paraId="577F35E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0EEF973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1】</w:t>
      </w:r>
      <w:r>
        <w:rPr>
          <w:rFonts w:hint="eastAsia" w:ascii="宋体" w:hAnsi="宋体" w:eastAsia="宋体" w:cs="宋体"/>
          <w:color w:val="FF0000"/>
          <w:sz w:val="21"/>
          <w:szCs w:val="21"/>
        </w:rPr>
        <w:t>营运资金管理策略</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542"/>
        <w:gridCol w:w="4928"/>
      </w:tblGrid>
      <w:tr w14:paraId="1910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646" w:type="pct"/>
            <w:vMerge w:val="restart"/>
            <w:shd w:val="clear" w:color="auto" w:fill="auto"/>
            <w:tcMar>
              <w:top w:w="72" w:type="dxa"/>
              <w:left w:w="108" w:type="dxa"/>
              <w:bottom w:w="72" w:type="dxa"/>
              <w:right w:w="108" w:type="dxa"/>
            </w:tcMar>
            <w:vAlign w:val="top"/>
          </w:tcPr>
          <w:p w14:paraId="797748B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流动资产投资策略</w:t>
            </w:r>
          </w:p>
        </w:tc>
        <w:tc>
          <w:tcPr>
            <w:tcW w:w="2353" w:type="pct"/>
            <w:shd w:val="clear" w:color="auto" w:fill="auto"/>
            <w:tcMar>
              <w:top w:w="72" w:type="dxa"/>
              <w:left w:w="108" w:type="dxa"/>
              <w:bottom w:w="72" w:type="dxa"/>
              <w:right w:w="108" w:type="dxa"/>
            </w:tcMar>
            <w:vAlign w:val="top"/>
          </w:tcPr>
          <w:p w14:paraId="2D61B6D7">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紧缩的流动资产</w:t>
            </w:r>
          </w:p>
        </w:tc>
      </w:tr>
      <w:tr w14:paraId="20A6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646" w:type="pct"/>
            <w:vMerge w:val="continue"/>
            <w:shd w:val="clear" w:color="auto" w:fill="auto"/>
            <w:tcMar>
              <w:top w:w="72" w:type="dxa"/>
              <w:left w:w="108" w:type="dxa"/>
              <w:bottom w:w="72" w:type="dxa"/>
              <w:right w:w="108" w:type="dxa"/>
            </w:tcMar>
            <w:vAlign w:val="top"/>
          </w:tcPr>
          <w:p w14:paraId="69A7E791">
            <w:pPr>
              <w:rPr>
                <w:rFonts w:hint="eastAsia" w:ascii="宋体" w:hAnsi="宋体" w:eastAsia="宋体" w:cs="宋体"/>
                <w:i w:val="0"/>
                <w:iCs w:val="0"/>
                <w:color w:val="auto"/>
                <w:sz w:val="21"/>
                <w:szCs w:val="21"/>
                <w:u w:val="none"/>
              </w:rPr>
            </w:pPr>
          </w:p>
        </w:tc>
        <w:tc>
          <w:tcPr>
            <w:tcW w:w="2353" w:type="pct"/>
            <w:shd w:val="clear" w:color="auto" w:fill="auto"/>
            <w:tcMar>
              <w:top w:w="72" w:type="dxa"/>
              <w:left w:w="108" w:type="dxa"/>
              <w:bottom w:w="72" w:type="dxa"/>
              <w:right w:w="108" w:type="dxa"/>
            </w:tcMar>
            <w:vAlign w:val="top"/>
          </w:tcPr>
          <w:p w14:paraId="5A09A4F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宽松的流动资产</w:t>
            </w:r>
          </w:p>
        </w:tc>
      </w:tr>
      <w:tr w14:paraId="535C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646" w:type="pct"/>
            <w:shd w:val="clear" w:color="auto" w:fill="auto"/>
            <w:tcMar>
              <w:top w:w="72" w:type="dxa"/>
              <w:left w:w="108" w:type="dxa"/>
              <w:bottom w:w="72" w:type="dxa"/>
              <w:right w:w="108" w:type="dxa"/>
            </w:tcMar>
            <w:vAlign w:val="top"/>
          </w:tcPr>
          <w:p w14:paraId="4381A9DD">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流动资产融资策略</w:t>
            </w:r>
          </w:p>
        </w:tc>
        <w:tc>
          <w:tcPr>
            <w:tcW w:w="2353" w:type="pct"/>
            <w:shd w:val="clear" w:color="auto" w:fill="auto"/>
            <w:tcMar>
              <w:top w:w="72" w:type="dxa"/>
              <w:left w:w="108" w:type="dxa"/>
              <w:bottom w:w="72" w:type="dxa"/>
              <w:right w:w="108" w:type="dxa"/>
            </w:tcMar>
            <w:vAlign w:val="top"/>
          </w:tcPr>
          <w:p w14:paraId="0EB4E71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1.保守融资策略</w:t>
            </w:r>
          </w:p>
          <w:p w14:paraId="3441975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2.激进融资策略</w:t>
            </w:r>
          </w:p>
          <w:p w14:paraId="1B8CC0EF">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3.匹配融资策略</w:t>
            </w:r>
          </w:p>
        </w:tc>
      </w:tr>
    </w:tbl>
    <w:p w14:paraId="6D5143A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398FB5B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某企业在融资时，对全部固定资产、全部永久性流动资产和部分波动性流动资产采用长期融资方式。据此判断，该公司采取的融资战略是（  ）</w:t>
      </w:r>
    </w:p>
    <w:p w14:paraId="367EBF3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稳健型融资战略</w:t>
      </w:r>
      <w:r>
        <w:rPr>
          <w:rFonts w:hint="eastAsia" w:ascii="宋体" w:hAnsi="宋体" w:eastAsia="宋体" w:cs="宋体"/>
          <w:color w:val="auto"/>
          <w:sz w:val="21"/>
          <w:szCs w:val="21"/>
        </w:rPr>
        <w:tab/>
      </w:r>
    </w:p>
    <w:p w14:paraId="17FFA14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保守型融资战略</w:t>
      </w:r>
    </w:p>
    <w:p w14:paraId="3833EA1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激进型融资战略</w:t>
      </w:r>
      <w:r>
        <w:rPr>
          <w:rFonts w:hint="eastAsia" w:ascii="宋体" w:hAnsi="宋体" w:eastAsia="宋体" w:cs="宋体"/>
          <w:color w:val="auto"/>
          <w:sz w:val="21"/>
          <w:szCs w:val="21"/>
        </w:rPr>
        <w:tab/>
      </w:r>
    </w:p>
    <w:p w14:paraId="34A15ED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期限匹配型融资战略</w:t>
      </w:r>
    </w:p>
    <w:p w14:paraId="42D77ED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6E0F718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保守型融资策略。短期金融负债只融通部分波动性流动资产的资金需要，另一部分波动性流动资产和全部稳定性流动资产，则由长期资金来源支持。</w:t>
      </w:r>
    </w:p>
    <w:p w14:paraId="2D9DD13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本题中出现长期资金满足短期使用，属于保守型融资策略。故选</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项。</w:t>
      </w:r>
    </w:p>
    <w:p w14:paraId="6F8F8AA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D30BF4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企业采取保守型流动性资产投资策略时，流动资产的（  ）。</w:t>
      </w:r>
    </w:p>
    <w:p w14:paraId="7BF4060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持有成本较低</w:t>
      </w:r>
      <w:r>
        <w:rPr>
          <w:rFonts w:hint="eastAsia" w:ascii="宋体" w:hAnsi="宋体" w:eastAsia="宋体" w:cs="宋体"/>
          <w:color w:val="auto"/>
          <w:sz w:val="21"/>
          <w:szCs w:val="21"/>
        </w:rPr>
        <w:tab/>
      </w:r>
    </w:p>
    <w:p w14:paraId="6C22FDF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短缺成本较高</w:t>
      </w:r>
    </w:p>
    <w:p w14:paraId="1AD8B54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管理成本较低</w:t>
      </w:r>
      <w:r>
        <w:rPr>
          <w:rFonts w:hint="eastAsia" w:ascii="宋体" w:hAnsi="宋体" w:eastAsia="宋体" w:cs="宋体"/>
          <w:color w:val="auto"/>
          <w:sz w:val="21"/>
          <w:szCs w:val="21"/>
        </w:rPr>
        <w:tab/>
      </w:r>
    </w:p>
    <w:p w14:paraId="48D0D4C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机会成本较高</w:t>
      </w:r>
    </w:p>
    <w:p w14:paraId="21C3971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1E49C63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保守型流动资产投资政策，表现为安排较高的流动资产</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收入比率，承担较大的持有成本，但短缺成本较小。同时，因流动资产的增加机会成本也较高，管理成本也较高。故选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686E98E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8E3FA6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2】</w:t>
      </w:r>
      <w:r>
        <w:rPr>
          <w:rFonts w:hint="eastAsia" w:ascii="宋体" w:hAnsi="宋体" w:eastAsia="宋体" w:cs="宋体"/>
          <w:color w:val="FF0000"/>
          <w:sz w:val="21"/>
          <w:szCs w:val="21"/>
        </w:rPr>
        <w:t>持有现金动机</w:t>
      </w:r>
    </w:p>
    <w:p w14:paraId="361B46A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交易性需求；预防性需求；投机性需求</w:t>
      </w:r>
    </w:p>
    <w:p w14:paraId="0190CA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5E3B33C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下列项目中属于持有现金的机会成本的是（  ）。</w:t>
      </w:r>
    </w:p>
    <w:p w14:paraId="7E4DC19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现金管理人员工资</w:t>
      </w:r>
      <w:r>
        <w:rPr>
          <w:rFonts w:hint="eastAsia" w:ascii="宋体" w:hAnsi="宋体" w:eastAsia="宋体" w:cs="宋体"/>
          <w:color w:val="auto"/>
          <w:sz w:val="21"/>
          <w:szCs w:val="21"/>
        </w:rPr>
        <w:tab/>
      </w:r>
    </w:p>
    <w:p w14:paraId="7040C1E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现金安全措施费</w:t>
      </w:r>
    </w:p>
    <w:p w14:paraId="77F779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现金被盗损失</w:t>
      </w:r>
      <w:r>
        <w:rPr>
          <w:rFonts w:hint="eastAsia" w:ascii="宋体" w:hAnsi="宋体" w:eastAsia="宋体" w:cs="宋体"/>
          <w:color w:val="auto"/>
          <w:sz w:val="21"/>
          <w:szCs w:val="21"/>
        </w:rPr>
        <w:tab/>
      </w:r>
    </w:p>
    <w:p w14:paraId="2F17456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现金的再投资收益</w:t>
      </w:r>
    </w:p>
    <w:p w14:paraId="5C90695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1CC0AAD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现金作为企业的一项资金占用是有代价的，这种代价就是它的机会成本。现金的再投资收益属于持有现金的机会成本。故选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5F57B53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9EE45F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企业持有的现金动机需求包括（  ）。</w:t>
      </w:r>
    </w:p>
    <w:p w14:paraId="7F81076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交易性需求</w:t>
      </w:r>
      <w:r>
        <w:rPr>
          <w:rFonts w:hint="eastAsia" w:ascii="宋体" w:hAnsi="宋体" w:eastAsia="宋体" w:cs="宋体"/>
          <w:color w:val="auto"/>
          <w:sz w:val="21"/>
          <w:szCs w:val="21"/>
        </w:rPr>
        <w:tab/>
      </w:r>
    </w:p>
    <w:p w14:paraId="5E35901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收益性需求</w:t>
      </w:r>
    </w:p>
    <w:p w14:paraId="3D6EAF2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投机性需求</w:t>
      </w:r>
      <w:r>
        <w:rPr>
          <w:rFonts w:hint="eastAsia" w:ascii="宋体" w:hAnsi="宋体" w:eastAsia="宋体" w:cs="宋体"/>
          <w:color w:val="auto"/>
          <w:sz w:val="21"/>
          <w:szCs w:val="21"/>
        </w:rPr>
        <w:tab/>
      </w:r>
    </w:p>
    <w:p w14:paraId="3B4FE02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预防性需求</w:t>
      </w:r>
    </w:p>
    <w:p w14:paraId="20B8444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ACD</w:t>
      </w:r>
    </w:p>
    <w:p w14:paraId="3893807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企业持有现金的动机需求主要有交易性需求、预防性需求、投机性需求。故选</w:t>
      </w:r>
      <w:r>
        <w:rPr>
          <w:rFonts w:hint="eastAsia" w:ascii="宋体" w:hAnsi="宋体" w:eastAsia="宋体" w:cs="宋体"/>
          <w:color w:val="auto"/>
          <w:sz w:val="21"/>
          <w:szCs w:val="21"/>
          <w:lang w:val="en-US" w:eastAsia="zh-CN"/>
        </w:rPr>
        <w:t>ACD</w:t>
      </w:r>
      <w:r>
        <w:rPr>
          <w:rFonts w:hint="eastAsia" w:ascii="宋体" w:hAnsi="宋体" w:eastAsia="宋体" w:cs="宋体"/>
          <w:color w:val="auto"/>
          <w:sz w:val="21"/>
          <w:szCs w:val="21"/>
        </w:rPr>
        <w:t>项。</w:t>
      </w:r>
    </w:p>
    <w:p w14:paraId="57DC2BA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49A5ECA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某公司发现某股票的价格因突发事件而大幅度下降，预判有很大的反弹空间，但苦于没有现金购买。这说明该公司持有的现金未能满足（  ）</w:t>
      </w:r>
    </w:p>
    <w:p w14:paraId="637FEC6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投机性需求</w:t>
      </w:r>
      <w:r>
        <w:rPr>
          <w:rFonts w:hint="eastAsia" w:ascii="宋体" w:hAnsi="宋体" w:eastAsia="宋体" w:cs="宋体"/>
          <w:color w:val="auto"/>
          <w:sz w:val="21"/>
          <w:szCs w:val="21"/>
        </w:rPr>
        <w:tab/>
      </w:r>
    </w:p>
    <w:p w14:paraId="068BD35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预防性需求</w:t>
      </w:r>
    </w:p>
    <w:p w14:paraId="082B101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决策性需求</w:t>
      </w:r>
      <w:r>
        <w:rPr>
          <w:rFonts w:hint="eastAsia" w:ascii="宋体" w:hAnsi="宋体" w:eastAsia="宋体" w:cs="宋体"/>
          <w:color w:val="auto"/>
          <w:sz w:val="21"/>
          <w:szCs w:val="21"/>
        </w:rPr>
        <w:tab/>
      </w:r>
    </w:p>
    <w:p w14:paraId="0105E98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交易性需求</w:t>
      </w:r>
    </w:p>
    <w:p w14:paraId="0A37312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5112FE1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投机性需求是企业需要持有一定量的现金以抓住突然出现的获利机会。故选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2D53142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105EB66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3】</w:t>
      </w:r>
      <w:r>
        <w:rPr>
          <w:rFonts w:hint="eastAsia" w:ascii="宋体" w:hAnsi="宋体" w:eastAsia="宋体" w:cs="宋体"/>
          <w:color w:val="FF0000"/>
          <w:sz w:val="21"/>
          <w:szCs w:val="21"/>
        </w:rPr>
        <w:t>目标现金余额确定方法</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22"/>
        <w:gridCol w:w="8748"/>
      </w:tblGrid>
      <w:tr w14:paraId="0220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2" w:type="pct"/>
            <w:shd w:val="clear" w:color="auto" w:fill="auto"/>
            <w:tcMar>
              <w:top w:w="72" w:type="dxa"/>
              <w:left w:w="108" w:type="dxa"/>
              <w:bottom w:w="72" w:type="dxa"/>
              <w:right w:w="108" w:type="dxa"/>
            </w:tcMar>
            <w:vAlign w:val="top"/>
          </w:tcPr>
          <w:p w14:paraId="736B91A9">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成本模型</w:t>
            </w:r>
          </w:p>
        </w:tc>
        <w:tc>
          <w:tcPr>
            <w:tcW w:w="4177" w:type="pct"/>
            <w:shd w:val="clear" w:color="auto" w:fill="auto"/>
            <w:tcMar>
              <w:top w:w="72" w:type="dxa"/>
              <w:left w:w="108" w:type="dxa"/>
              <w:bottom w:w="72" w:type="dxa"/>
              <w:right w:w="108" w:type="dxa"/>
            </w:tcMar>
            <w:vAlign w:val="top"/>
          </w:tcPr>
          <w:p w14:paraId="1E2602ED">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机会成本、管理成本、短缺成本</w:t>
            </w:r>
          </w:p>
        </w:tc>
      </w:tr>
      <w:tr w14:paraId="2086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822" w:type="pct"/>
            <w:shd w:val="clear" w:color="auto" w:fill="auto"/>
            <w:tcMar>
              <w:top w:w="72" w:type="dxa"/>
              <w:left w:w="108" w:type="dxa"/>
              <w:bottom w:w="72" w:type="dxa"/>
              <w:right w:w="108" w:type="dxa"/>
            </w:tcMar>
            <w:vAlign w:val="top"/>
          </w:tcPr>
          <w:p w14:paraId="7B5840D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存货模型</w:t>
            </w:r>
          </w:p>
        </w:tc>
        <w:tc>
          <w:tcPr>
            <w:tcW w:w="4177" w:type="pct"/>
            <w:shd w:val="clear" w:color="auto" w:fill="auto"/>
            <w:tcMar>
              <w:top w:w="72" w:type="dxa"/>
              <w:left w:w="108" w:type="dxa"/>
              <w:bottom w:w="72" w:type="dxa"/>
              <w:right w:w="108" w:type="dxa"/>
            </w:tcMar>
            <w:vAlign w:val="top"/>
          </w:tcPr>
          <w:p w14:paraId="53478004">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机会成本、交易成本</w:t>
            </w:r>
          </w:p>
          <w:p w14:paraId="1E38130D">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机会成本=现金平均占用额*现金的机会成本率</w:t>
            </w:r>
          </w:p>
          <w:p w14:paraId="4723B5D7">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交易成本=现金转换次数*每次转换的成本</w:t>
            </w:r>
          </w:p>
          <w:p w14:paraId="7039BBB1">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当机会成本=交易成本时，现金持有量为最佳现金持有量</w:t>
            </w:r>
          </w:p>
        </w:tc>
      </w:tr>
      <w:tr w14:paraId="6B8D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822" w:type="pct"/>
            <w:shd w:val="clear" w:color="auto" w:fill="auto"/>
            <w:tcMar>
              <w:top w:w="72" w:type="dxa"/>
              <w:left w:w="108" w:type="dxa"/>
              <w:bottom w:w="72" w:type="dxa"/>
              <w:right w:w="108" w:type="dxa"/>
            </w:tcMar>
            <w:vAlign w:val="top"/>
          </w:tcPr>
          <w:p w14:paraId="18406E9D">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随机模型</w:t>
            </w:r>
          </w:p>
        </w:tc>
        <w:tc>
          <w:tcPr>
            <w:tcW w:w="4177" w:type="pct"/>
            <w:shd w:val="clear" w:color="auto" w:fill="auto"/>
            <w:tcMar>
              <w:top w:w="72" w:type="dxa"/>
              <w:left w:w="108" w:type="dxa"/>
              <w:bottom w:w="72" w:type="dxa"/>
              <w:right w:w="108" w:type="dxa"/>
            </w:tcMar>
            <w:vAlign w:val="top"/>
          </w:tcPr>
          <w:p w14:paraId="704DB6E0">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 xml:space="preserve">机会成本、交易成本     </w:t>
            </w:r>
          </w:p>
          <w:p w14:paraId="38BAB688">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H-R=2（R-L）</w:t>
            </w:r>
          </w:p>
        </w:tc>
      </w:tr>
    </w:tbl>
    <w:p w14:paraId="0E49F6C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01A923F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运用成本模型计算最佳现金持有量时，下列公式中，正确的是（  ）。</w:t>
      </w:r>
    </w:p>
    <w:p w14:paraId="3FD9675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最佳现金持有量＝</w:t>
      </w:r>
      <w:r>
        <w:rPr>
          <w:rFonts w:hint="eastAsia" w:ascii="宋体" w:hAnsi="宋体" w:eastAsia="宋体" w:cs="宋体"/>
          <w:color w:val="auto"/>
          <w:sz w:val="21"/>
          <w:szCs w:val="21"/>
          <w:lang w:val="en-US" w:eastAsia="zh-CN"/>
        </w:rPr>
        <w:t>min</w:t>
      </w:r>
      <w:r>
        <w:rPr>
          <w:rFonts w:hint="eastAsia" w:ascii="宋体" w:hAnsi="宋体" w:eastAsia="宋体" w:cs="宋体"/>
          <w:color w:val="auto"/>
          <w:sz w:val="21"/>
          <w:szCs w:val="21"/>
        </w:rPr>
        <w:t>（管理成本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机会成本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转换成本）</w:t>
      </w:r>
    </w:p>
    <w:p w14:paraId="3FB5468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最佳现金持有量＝</w:t>
      </w:r>
      <w:r>
        <w:rPr>
          <w:rFonts w:hint="eastAsia" w:ascii="宋体" w:hAnsi="宋体" w:eastAsia="宋体" w:cs="宋体"/>
          <w:color w:val="auto"/>
          <w:sz w:val="21"/>
          <w:szCs w:val="21"/>
          <w:lang w:val="en-US" w:eastAsia="zh-CN"/>
        </w:rPr>
        <w:t>min</w:t>
      </w:r>
      <w:r>
        <w:rPr>
          <w:rFonts w:hint="eastAsia" w:ascii="宋体" w:hAnsi="宋体" w:eastAsia="宋体" w:cs="宋体"/>
          <w:color w:val="auto"/>
          <w:sz w:val="21"/>
          <w:szCs w:val="21"/>
        </w:rPr>
        <w:t>（管理成本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机会成本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短缺成本）</w:t>
      </w:r>
    </w:p>
    <w:p w14:paraId="5086366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最佳现金持有量＝</w:t>
      </w:r>
      <w:r>
        <w:rPr>
          <w:rFonts w:hint="eastAsia" w:ascii="宋体" w:hAnsi="宋体" w:eastAsia="宋体" w:cs="宋体"/>
          <w:color w:val="auto"/>
          <w:sz w:val="21"/>
          <w:szCs w:val="21"/>
          <w:lang w:val="en-US" w:eastAsia="zh-CN"/>
        </w:rPr>
        <w:t>min</w:t>
      </w:r>
      <w:r>
        <w:rPr>
          <w:rFonts w:hint="eastAsia" w:ascii="宋体" w:hAnsi="宋体" w:eastAsia="宋体" w:cs="宋体"/>
          <w:color w:val="auto"/>
          <w:sz w:val="21"/>
          <w:szCs w:val="21"/>
        </w:rPr>
        <w:t>（机会成本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经营成本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转换成本）</w:t>
      </w:r>
    </w:p>
    <w:p w14:paraId="2D78761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最佳现金持有量＝</w:t>
      </w:r>
      <w:r>
        <w:rPr>
          <w:rFonts w:hint="eastAsia" w:ascii="宋体" w:hAnsi="宋体" w:eastAsia="宋体" w:cs="宋体"/>
          <w:color w:val="auto"/>
          <w:sz w:val="21"/>
          <w:szCs w:val="21"/>
          <w:lang w:val="en-US" w:eastAsia="zh-CN"/>
        </w:rPr>
        <w:t>min</w:t>
      </w:r>
      <w:r>
        <w:rPr>
          <w:rFonts w:hint="eastAsia" w:ascii="宋体" w:hAnsi="宋体" w:eastAsia="宋体" w:cs="宋体"/>
          <w:color w:val="auto"/>
          <w:sz w:val="21"/>
          <w:szCs w:val="21"/>
        </w:rPr>
        <w:t>（机会成本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经营成本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短缺成本）</w:t>
      </w:r>
    </w:p>
    <w:p w14:paraId="11F0453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5BF8F2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成本模型是根据现金有关成本，分析预测其总成本最低时现金持有量的一种方法。最佳现金持有量＝</w:t>
      </w:r>
      <w:r>
        <w:rPr>
          <w:rFonts w:hint="eastAsia" w:ascii="宋体" w:hAnsi="宋体" w:eastAsia="宋体" w:cs="宋体"/>
          <w:color w:val="auto"/>
          <w:sz w:val="21"/>
          <w:szCs w:val="21"/>
          <w:lang w:val="en-US" w:eastAsia="zh-CN"/>
        </w:rPr>
        <w:t>min</w:t>
      </w:r>
      <w:r>
        <w:rPr>
          <w:rFonts w:hint="eastAsia" w:ascii="宋体" w:hAnsi="宋体" w:eastAsia="宋体" w:cs="宋体"/>
          <w:color w:val="auto"/>
          <w:sz w:val="21"/>
          <w:szCs w:val="21"/>
        </w:rPr>
        <w:t>（管理成本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机会成本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短缺成本）。故选</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项。</w:t>
      </w:r>
    </w:p>
    <w:p w14:paraId="593969A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2F297A3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某公司当年的资本成本率为</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，现金平均持有量为</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万元，现金管理费用为</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万元，现金与有价证券之间的转换成本为</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万元，则该公司当年持有现金的机会成本是（  ）万元。</w:t>
      </w:r>
    </w:p>
    <w:p w14:paraId="56D9A70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A.5</w:t>
      </w:r>
      <w:r>
        <w:rPr>
          <w:rFonts w:hint="eastAsia" w:ascii="宋体" w:hAnsi="宋体" w:eastAsia="宋体" w:cs="宋体"/>
          <w:color w:val="auto"/>
          <w:sz w:val="21"/>
          <w:szCs w:val="21"/>
          <w:lang w:val="en-US" w:eastAsia="zh-CN"/>
        </w:rPr>
        <w:tab/>
      </w:r>
    </w:p>
    <w:p w14:paraId="3F61368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B.3.5</w:t>
      </w:r>
    </w:p>
    <w:p w14:paraId="4A1B065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C.6.5</w:t>
      </w:r>
      <w:r>
        <w:rPr>
          <w:rFonts w:hint="eastAsia" w:ascii="宋体" w:hAnsi="宋体" w:eastAsia="宋体" w:cs="宋体"/>
          <w:color w:val="auto"/>
          <w:sz w:val="21"/>
          <w:szCs w:val="21"/>
          <w:lang w:val="en-US" w:eastAsia="zh-CN"/>
        </w:rPr>
        <w:tab/>
      </w:r>
    </w:p>
    <w:p w14:paraId="5BF5ECD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D.3</w:t>
      </w:r>
    </w:p>
    <w:p w14:paraId="35FD3CD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479DD1C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持有现金的机会成本＝</w:t>
      </w:r>
      <w:r>
        <w:rPr>
          <w:rFonts w:hint="eastAsia" w:ascii="宋体" w:hAnsi="宋体" w:eastAsia="宋体" w:cs="宋体"/>
          <w:color w:val="auto"/>
          <w:sz w:val="21"/>
          <w:szCs w:val="21"/>
          <w:lang w:val="en-US" w:eastAsia="zh-CN"/>
        </w:rPr>
        <w:t>30×10%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（万元）。故选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28683F6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E9084C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在确定目标现金余额的存货模型中，需要考虑的相关现金成本有（  ）。</w:t>
      </w:r>
    </w:p>
    <w:p w14:paraId="6DCDDB6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机会成本</w:t>
      </w:r>
      <w:r>
        <w:rPr>
          <w:rFonts w:hint="eastAsia" w:ascii="宋体" w:hAnsi="宋体" w:eastAsia="宋体" w:cs="宋体"/>
          <w:color w:val="auto"/>
          <w:sz w:val="21"/>
          <w:szCs w:val="21"/>
        </w:rPr>
        <w:tab/>
      </w:r>
    </w:p>
    <w:p w14:paraId="4F65FD5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短缺成本</w:t>
      </w:r>
    </w:p>
    <w:p w14:paraId="69CA660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管理成本</w:t>
      </w:r>
      <w:r>
        <w:rPr>
          <w:rFonts w:hint="eastAsia" w:ascii="宋体" w:hAnsi="宋体" w:eastAsia="宋体" w:cs="宋体"/>
          <w:color w:val="auto"/>
          <w:sz w:val="21"/>
          <w:szCs w:val="21"/>
        </w:rPr>
        <w:tab/>
      </w:r>
    </w:p>
    <w:p w14:paraId="67C952D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交易成本</w:t>
      </w:r>
    </w:p>
    <w:p w14:paraId="2BD6F7D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AD</w:t>
      </w:r>
    </w:p>
    <w:p w14:paraId="11B6F9E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存货模型的现金成本包括机会成本和交易成本。故选</w:t>
      </w:r>
      <w:r>
        <w:rPr>
          <w:rFonts w:hint="eastAsia" w:ascii="宋体" w:hAnsi="宋体" w:eastAsia="宋体" w:cs="宋体"/>
          <w:color w:val="auto"/>
          <w:sz w:val="21"/>
          <w:szCs w:val="21"/>
          <w:lang w:val="en-US" w:eastAsia="zh-CN"/>
        </w:rPr>
        <w:t>AD</w:t>
      </w:r>
      <w:r>
        <w:rPr>
          <w:rFonts w:hint="eastAsia" w:ascii="宋体" w:hAnsi="宋体" w:eastAsia="宋体" w:cs="宋体"/>
          <w:color w:val="auto"/>
          <w:sz w:val="21"/>
          <w:szCs w:val="21"/>
        </w:rPr>
        <w:t>项。</w:t>
      </w:r>
    </w:p>
    <w:p w14:paraId="2835DDE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A9D2E7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在确定最佳现金持有量时，下列说法正确的有（  ）。</w:t>
      </w:r>
    </w:p>
    <w:p w14:paraId="5BF380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成本分析模式中，机会成本与现金持有量成反比</w:t>
      </w:r>
    </w:p>
    <w:p w14:paraId="0CDB3CB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成本分析模式中，管理成本一般为固定成本</w:t>
      </w:r>
    </w:p>
    <w:p w14:paraId="319856F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存货模型中，最佳现金持有量是使机会成本与交易成本之和最大的每次有价证券转换成现金的金额</w:t>
      </w:r>
    </w:p>
    <w:p w14:paraId="69D9B06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随机模型计算出的现金持有量比较保守</w:t>
      </w:r>
    </w:p>
    <w:p w14:paraId="4B89CD3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BD</w:t>
      </w:r>
    </w:p>
    <w:p w14:paraId="549FF78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选项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，成本分析模式中，机会成本与现金持有量成正比。机会成本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现金持有量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有价证券利率（或报酬率），现金持有量越多，机会成本越高；</w:t>
      </w:r>
    </w:p>
    <w:p w14:paraId="565A2B1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选项</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，成本分析模式中，管理成本一般为固定成本，与现金持有量无关；</w:t>
      </w:r>
    </w:p>
    <w:p w14:paraId="16F0ADE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选项</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，存货模型中，最佳现金持有量是使机会成本与交易成本之和最小的每次有价证券转换成现金的金额，而不是最大；</w:t>
      </w:r>
    </w:p>
    <w:p w14:paraId="5974653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选项</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，随机模型是建立在现金未来需求总量和收支不可预测的前提下，因此，计算出来的现金持有量比较保守，会留有一定的现金余量。故选</w:t>
      </w:r>
      <w:r>
        <w:rPr>
          <w:rFonts w:hint="eastAsia" w:ascii="宋体" w:hAnsi="宋体" w:eastAsia="宋体" w:cs="宋体"/>
          <w:color w:val="auto"/>
          <w:sz w:val="21"/>
          <w:szCs w:val="21"/>
          <w:lang w:val="en-US" w:eastAsia="zh-CN"/>
        </w:rPr>
        <w:t>BD</w:t>
      </w:r>
      <w:r>
        <w:rPr>
          <w:rFonts w:hint="eastAsia" w:ascii="宋体" w:hAnsi="宋体" w:eastAsia="宋体" w:cs="宋体"/>
          <w:color w:val="auto"/>
          <w:sz w:val="21"/>
          <w:szCs w:val="21"/>
        </w:rPr>
        <w:t>项。</w:t>
      </w:r>
    </w:p>
    <w:p w14:paraId="49DF267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3FCE8D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某公司持有有价证券的平均年利率为</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，公司的现金最低控制线为</w:t>
      </w:r>
      <w:r>
        <w:rPr>
          <w:rFonts w:hint="eastAsia" w:ascii="宋体" w:hAnsi="宋体" w:eastAsia="宋体" w:cs="宋体"/>
          <w:color w:val="auto"/>
          <w:sz w:val="21"/>
          <w:szCs w:val="21"/>
          <w:lang w:val="en-US" w:eastAsia="zh-CN"/>
        </w:rPr>
        <w:t>1 500</w:t>
      </w:r>
      <w:r>
        <w:rPr>
          <w:rFonts w:hint="eastAsia" w:ascii="宋体" w:hAnsi="宋体" w:eastAsia="宋体" w:cs="宋体"/>
          <w:color w:val="auto"/>
          <w:sz w:val="21"/>
          <w:szCs w:val="21"/>
        </w:rPr>
        <w:t>元，现金余额的回归线为</w:t>
      </w:r>
      <w:r>
        <w:rPr>
          <w:rFonts w:hint="eastAsia" w:ascii="宋体" w:hAnsi="宋体" w:eastAsia="宋体" w:cs="宋体"/>
          <w:color w:val="auto"/>
          <w:sz w:val="21"/>
          <w:szCs w:val="21"/>
          <w:lang w:val="en-US" w:eastAsia="zh-CN"/>
        </w:rPr>
        <w:t>8000</w:t>
      </w:r>
      <w:r>
        <w:rPr>
          <w:rFonts w:hint="eastAsia" w:ascii="宋体" w:hAnsi="宋体" w:eastAsia="宋体" w:cs="宋体"/>
          <w:color w:val="auto"/>
          <w:sz w:val="21"/>
          <w:szCs w:val="21"/>
        </w:rPr>
        <w:t>元。如果公司现有现金</w:t>
      </w:r>
      <w:r>
        <w:rPr>
          <w:rFonts w:hint="eastAsia" w:ascii="宋体" w:hAnsi="宋体" w:eastAsia="宋体" w:cs="宋体"/>
          <w:color w:val="auto"/>
          <w:sz w:val="21"/>
          <w:szCs w:val="21"/>
          <w:lang w:val="en-US" w:eastAsia="zh-CN"/>
        </w:rPr>
        <w:t>20000</w:t>
      </w:r>
      <w:r>
        <w:rPr>
          <w:rFonts w:hint="eastAsia" w:ascii="宋体" w:hAnsi="宋体" w:eastAsia="宋体" w:cs="宋体"/>
          <w:color w:val="auto"/>
          <w:sz w:val="21"/>
          <w:szCs w:val="21"/>
        </w:rPr>
        <w:t>元，根据米勒</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奥尔模型，此时应当投资于有价证券的金额是（  ）元。</w:t>
      </w:r>
    </w:p>
    <w:p w14:paraId="07BC3D6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A.0</w:t>
      </w:r>
      <w:r>
        <w:rPr>
          <w:rFonts w:hint="eastAsia" w:ascii="宋体" w:hAnsi="宋体" w:eastAsia="宋体" w:cs="宋体"/>
          <w:color w:val="auto"/>
          <w:sz w:val="21"/>
          <w:szCs w:val="21"/>
          <w:lang w:val="en-US" w:eastAsia="zh-CN"/>
        </w:rPr>
        <w:tab/>
      </w:r>
    </w:p>
    <w:p w14:paraId="7B5B440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B.6500</w:t>
      </w:r>
    </w:p>
    <w:p w14:paraId="186126D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C.12000</w:t>
      </w:r>
      <w:r>
        <w:rPr>
          <w:rFonts w:hint="eastAsia" w:ascii="宋体" w:hAnsi="宋体" w:eastAsia="宋体" w:cs="宋体"/>
          <w:color w:val="auto"/>
          <w:sz w:val="21"/>
          <w:szCs w:val="21"/>
          <w:lang w:val="en-US" w:eastAsia="zh-CN"/>
        </w:rPr>
        <w:tab/>
      </w:r>
    </w:p>
    <w:p w14:paraId="2399E4B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D.18500</w:t>
      </w:r>
    </w:p>
    <w:p w14:paraId="4F263CF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2238A58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lang w:val="en-US" w:eastAsia="zh-CN"/>
        </w:rPr>
        <w:t>R-L=8000-1500=6500</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H=8000+2×6500=21000</w:t>
      </w:r>
      <w:r>
        <w:rPr>
          <w:rFonts w:hint="eastAsia" w:ascii="宋体" w:hAnsi="宋体" w:eastAsia="宋体" w:cs="宋体"/>
          <w:color w:val="auto"/>
          <w:sz w:val="21"/>
          <w:szCs w:val="21"/>
        </w:rPr>
        <w:t>（元）。根据现金管理的米勒</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奥尔模型，如果现金量在控制上下限之间，不必进行现金与有价证券转换。故选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16C5AA0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684BDCA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4】</w:t>
      </w:r>
      <w:r>
        <w:rPr>
          <w:rFonts w:hint="eastAsia" w:ascii="宋体" w:hAnsi="宋体" w:eastAsia="宋体" w:cs="宋体"/>
          <w:color w:val="FF0000"/>
          <w:sz w:val="21"/>
          <w:szCs w:val="21"/>
        </w:rPr>
        <w:t>应收账款成本</w:t>
      </w:r>
    </w:p>
    <w:p w14:paraId="3305843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机会成本、管理成本（与应收账款成正比）、坏账成本。</w:t>
      </w:r>
    </w:p>
    <w:p w14:paraId="3C337AD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6228B11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应收账款政策</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953"/>
        <w:gridCol w:w="7517"/>
      </w:tblGrid>
      <w:tr w14:paraId="2873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410" w:type="pct"/>
            <w:shd w:val="clear" w:color="auto" w:fill="auto"/>
            <w:tcMar>
              <w:top w:w="72" w:type="dxa"/>
              <w:left w:w="108" w:type="dxa"/>
              <w:bottom w:w="72" w:type="dxa"/>
              <w:right w:w="108" w:type="dxa"/>
            </w:tcMar>
            <w:vAlign w:val="top"/>
          </w:tcPr>
          <w:p w14:paraId="7BA641BD">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信用标准</w:t>
            </w:r>
          </w:p>
        </w:tc>
        <w:tc>
          <w:tcPr>
            <w:tcW w:w="3589" w:type="pct"/>
            <w:shd w:val="clear" w:color="auto" w:fill="auto"/>
            <w:tcMar>
              <w:top w:w="72" w:type="dxa"/>
              <w:left w:w="108" w:type="dxa"/>
              <w:bottom w:w="72" w:type="dxa"/>
              <w:right w:w="108" w:type="dxa"/>
            </w:tcMar>
            <w:vAlign w:val="top"/>
          </w:tcPr>
          <w:p w14:paraId="221FABB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5C信用定性分析：品质、（申请人偿债）能力、资本、抵押、条件</w:t>
            </w:r>
          </w:p>
        </w:tc>
      </w:tr>
      <w:tr w14:paraId="75D4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0" w:type="pct"/>
            <w:shd w:val="clear" w:color="auto" w:fill="auto"/>
            <w:tcMar>
              <w:top w:w="72" w:type="dxa"/>
              <w:left w:w="108" w:type="dxa"/>
              <w:bottom w:w="72" w:type="dxa"/>
              <w:right w:w="108" w:type="dxa"/>
            </w:tcMar>
            <w:vAlign w:val="top"/>
          </w:tcPr>
          <w:p w14:paraId="66953544">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信用条件</w:t>
            </w:r>
          </w:p>
        </w:tc>
        <w:tc>
          <w:tcPr>
            <w:tcW w:w="3589" w:type="pct"/>
            <w:shd w:val="clear" w:color="auto" w:fill="auto"/>
            <w:tcMar>
              <w:top w:w="72" w:type="dxa"/>
              <w:left w:w="108" w:type="dxa"/>
              <w:bottom w:w="72" w:type="dxa"/>
              <w:right w:w="108" w:type="dxa"/>
            </w:tcMar>
            <w:vAlign w:val="top"/>
          </w:tcPr>
          <w:p w14:paraId="2D7BD60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信用期限、折扣</w:t>
            </w:r>
          </w:p>
          <w:p w14:paraId="58C1EA8A">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原理：通过放宽信用条件（即延长应收账款期限，计算企业增加净损益，而最终确认是否给予放宽信用条件）</w:t>
            </w:r>
          </w:p>
        </w:tc>
      </w:tr>
      <w:tr w14:paraId="43C2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0" w:type="pct"/>
            <w:shd w:val="clear" w:color="auto" w:fill="auto"/>
            <w:tcMar>
              <w:top w:w="72" w:type="dxa"/>
              <w:left w:w="108" w:type="dxa"/>
              <w:bottom w:w="72" w:type="dxa"/>
              <w:right w:w="108" w:type="dxa"/>
            </w:tcMar>
            <w:vAlign w:val="top"/>
          </w:tcPr>
          <w:p w14:paraId="32A7594F">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收账政策</w:t>
            </w:r>
          </w:p>
        </w:tc>
        <w:tc>
          <w:tcPr>
            <w:tcW w:w="3589" w:type="pct"/>
            <w:shd w:val="clear" w:color="auto" w:fill="auto"/>
            <w:tcMar>
              <w:top w:w="72" w:type="dxa"/>
              <w:left w:w="108" w:type="dxa"/>
              <w:bottom w:w="72" w:type="dxa"/>
              <w:right w:w="108" w:type="dxa"/>
            </w:tcMar>
            <w:vAlign w:val="top"/>
          </w:tcPr>
          <w:p w14:paraId="7572C9AB">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严格时坏账损失减少，但收账费用增加；宽松时则相反。</w:t>
            </w:r>
          </w:p>
        </w:tc>
      </w:tr>
    </w:tbl>
    <w:p w14:paraId="2623F7F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367DDED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计算题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某企业预测</w:t>
      </w:r>
      <w:r>
        <w:rPr>
          <w:rFonts w:hint="eastAsia" w:ascii="宋体" w:hAnsi="宋体" w:eastAsia="宋体" w:cs="宋体"/>
          <w:color w:val="auto"/>
          <w:sz w:val="21"/>
          <w:szCs w:val="21"/>
          <w:lang w:val="en-US" w:eastAsia="zh-CN"/>
        </w:rPr>
        <w:t>2018</w:t>
      </w:r>
      <w:r>
        <w:rPr>
          <w:rFonts w:hint="eastAsia" w:ascii="宋体" w:hAnsi="宋体" w:eastAsia="宋体" w:cs="宋体"/>
          <w:color w:val="auto"/>
          <w:sz w:val="21"/>
          <w:szCs w:val="21"/>
        </w:rPr>
        <w:t>年度销售收入净额为</w:t>
      </w:r>
      <w:r>
        <w:rPr>
          <w:rFonts w:hint="eastAsia" w:ascii="宋体" w:hAnsi="宋体" w:eastAsia="宋体" w:cs="宋体"/>
          <w:color w:val="auto"/>
          <w:sz w:val="21"/>
          <w:szCs w:val="21"/>
          <w:lang w:val="en-US" w:eastAsia="zh-CN"/>
        </w:rPr>
        <w:t>3 600</w:t>
      </w:r>
      <w:r>
        <w:rPr>
          <w:rFonts w:hint="eastAsia" w:ascii="宋体" w:hAnsi="宋体" w:eastAsia="宋体" w:cs="宋体"/>
          <w:color w:val="auto"/>
          <w:sz w:val="21"/>
          <w:szCs w:val="21"/>
        </w:rPr>
        <w:t>万元（均为赊销），应收账款平均收账天数为</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天，变动成本率为</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rPr>
        <w:t>，企业的资本成本率为</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。一年按</w:t>
      </w:r>
      <w:r>
        <w:rPr>
          <w:rFonts w:hint="eastAsia" w:ascii="宋体" w:hAnsi="宋体" w:eastAsia="宋体" w:cs="宋体"/>
          <w:color w:val="auto"/>
          <w:sz w:val="21"/>
          <w:szCs w:val="21"/>
          <w:lang w:val="en-US" w:eastAsia="zh-CN"/>
        </w:rPr>
        <w:t>360</w:t>
      </w:r>
      <w:r>
        <w:rPr>
          <w:rFonts w:hint="eastAsia" w:ascii="宋体" w:hAnsi="宋体" w:eastAsia="宋体" w:cs="宋体"/>
          <w:color w:val="auto"/>
          <w:sz w:val="21"/>
          <w:szCs w:val="21"/>
        </w:rPr>
        <w:t>天计算。要求：</w:t>
      </w:r>
    </w:p>
    <w:p w14:paraId="20D1EE8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2018</w:t>
      </w:r>
      <w:r>
        <w:rPr>
          <w:rFonts w:hint="eastAsia" w:ascii="宋体" w:hAnsi="宋体" w:eastAsia="宋体" w:cs="宋体"/>
          <w:color w:val="auto"/>
          <w:sz w:val="21"/>
          <w:szCs w:val="21"/>
        </w:rPr>
        <w:t>年度应收账款的平均余额。</w:t>
      </w:r>
    </w:p>
    <w:p w14:paraId="227A8C2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2018</w:t>
      </w:r>
      <w:r>
        <w:rPr>
          <w:rFonts w:hint="eastAsia" w:ascii="宋体" w:hAnsi="宋体" w:eastAsia="宋体" w:cs="宋体"/>
          <w:color w:val="auto"/>
          <w:sz w:val="21"/>
          <w:szCs w:val="21"/>
        </w:rPr>
        <w:t>年度应收账款占用资金。</w:t>
      </w:r>
    </w:p>
    <w:p w14:paraId="64560EC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2018</w:t>
      </w:r>
      <w:r>
        <w:rPr>
          <w:rFonts w:hint="eastAsia" w:ascii="宋体" w:hAnsi="宋体" w:eastAsia="宋体" w:cs="宋体"/>
          <w:color w:val="auto"/>
          <w:sz w:val="21"/>
          <w:szCs w:val="21"/>
        </w:rPr>
        <w:t>年度应收账款的机会成本额。</w:t>
      </w:r>
    </w:p>
    <w:p w14:paraId="4CBD2E2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）应收账款的平均余额＝</w:t>
      </w:r>
      <w:r>
        <w:rPr>
          <w:rFonts w:hint="eastAsia" w:ascii="宋体" w:hAnsi="宋体" w:eastAsia="宋体" w:cs="宋体"/>
          <w:color w:val="auto"/>
          <w:sz w:val="21"/>
          <w:szCs w:val="21"/>
          <w:lang w:val="en-US" w:eastAsia="zh-CN"/>
        </w:rPr>
        <w:t>3 600/360×60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（万元）。</w:t>
      </w:r>
    </w:p>
    <w:p w14:paraId="17CDF34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）应收账款占用资金＝</w:t>
      </w:r>
      <w:r>
        <w:rPr>
          <w:rFonts w:hint="eastAsia" w:ascii="宋体" w:hAnsi="宋体" w:eastAsia="宋体" w:cs="宋体"/>
          <w:color w:val="auto"/>
          <w:sz w:val="21"/>
          <w:szCs w:val="21"/>
          <w:lang w:val="en-US" w:eastAsia="zh-CN"/>
        </w:rPr>
        <w:t>600×50%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（万元）。</w:t>
      </w:r>
    </w:p>
    <w:p w14:paraId="360357B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）应收账款的机会成本＝</w:t>
      </w:r>
      <w:r>
        <w:rPr>
          <w:rFonts w:hint="eastAsia" w:ascii="宋体" w:hAnsi="宋体" w:eastAsia="宋体" w:cs="宋体"/>
          <w:color w:val="auto"/>
          <w:sz w:val="21"/>
          <w:szCs w:val="21"/>
          <w:lang w:val="en-US" w:eastAsia="zh-CN"/>
        </w:rPr>
        <w:t>300×10%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（万元）。</w:t>
      </w:r>
    </w:p>
    <w:p w14:paraId="6A9A571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FDB97F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下列各项中，可用来表示应收账款机会成本的是（  ）。</w:t>
      </w:r>
    </w:p>
    <w:p w14:paraId="08BD190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坏账损失</w:t>
      </w:r>
      <w:r>
        <w:rPr>
          <w:rFonts w:hint="eastAsia" w:ascii="宋体" w:hAnsi="宋体" w:eastAsia="宋体" w:cs="宋体"/>
          <w:color w:val="auto"/>
          <w:sz w:val="21"/>
          <w:szCs w:val="21"/>
        </w:rPr>
        <w:tab/>
      </w:r>
    </w:p>
    <w:p w14:paraId="32FBC0F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给予客户的现金折扣</w:t>
      </w:r>
    </w:p>
    <w:p w14:paraId="33627CA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应收账款占用资金的应计利息</w:t>
      </w:r>
      <w:r>
        <w:rPr>
          <w:rFonts w:hint="eastAsia" w:ascii="宋体" w:hAnsi="宋体" w:eastAsia="宋体" w:cs="宋体"/>
          <w:color w:val="auto"/>
          <w:sz w:val="21"/>
          <w:szCs w:val="21"/>
        </w:rPr>
        <w:tab/>
      </w:r>
    </w:p>
    <w:p w14:paraId="774BC28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应收账款日常管理费用</w:t>
      </w:r>
    </w:p>
    <w:p w14:paraId="401A9F5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74777F5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因投放于应收账款而放弃其他投资所带来的收益，即为应收账款的机会成本，也称为应收账款占用资金的应计利息。故选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5C7EF79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1CC5564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下列各项措施中，可降低应收账款周转天数的有（  ）。</w:t>
      </w:r>
    </w:p>
    <w:p w14:paraId="5FDFDD7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延长信用期限</w:t>
      </w:r>
      <w:r>
        <w:rPr>
          <w:rFonts w:hint="eastAsia" w:ascii="宋体" w:hAnsi="宋体" w:eastAsia="宋体" w:cs="宋体"/>
          <w:color w:val="auto"/>
          <w:sz w:val="21"/>
          <w:szCs w:val="21"/>
        </w:rPr>
        <w:tab/>
      </w:r>
    </w:p>
    <w:p w14:paraId="381F6EF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提高信用标准</w:t>
      </w:r>
    </w:p>
    <w:p w14:paraId="7813905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提高坏账准备计提比率</w:t>
      </w:r>
      <w:r>
        <w:rPr>
          <w:rFonts w:hint="eastAsia" w:ascii="宋体" w:hAnsi="宋体" w:eastAsia="宋体" w:cs="宋体"/>
          <w:color w:val="auto"/>
          <w:sz w:val="21"/>
          <w:szCs w:val="21"/>
        </w:rPr>
        <w:tab/>
      </w:r>
    </w:p>
    <w:p w14:paraId="1AF8452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提高现金折扣率</w:t>
      </w:r>
    </w:p>
    <w:p w14:paraId="7D9BC10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BD</w:t>
      </w:r>
    </w:p>
    <w:p w14:paraId="39E70CB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延长信用期限，应收账款收回的速度会变慢，应收账款周转天数会延长；提高现金折扣率，可以吸引客户尽快付款，会降低应收账款周转天数；提高坏账准备计提比率对应收账款周转天数没有影响，因为要按照未计提坏账准备的应收账款计算应收账款周转天数；提高信用标准，客户的信用等级提高，应收账款收回会更快，会降低应收账款周转天数。故选</w:t>
      </w:r>
      <w:r>
        <w:rPr>
          <w:rFonts w:hint="eastAsia" w:ascii="宋体" w:hAnsi="宋体" w:eastAsia="宋体" w:cs="宋体"/>
          <w:color w:val="auto"/>
          <w:sz w:val="21"/>
          <w:szCs w:val="21"/>
          <w:lang w:val="en-US" w:eastAsia="zh-CN"/>
        </w:rPr>
        <w:t>BD</w:t>
      </w:r>
      <w:r>
        <w:rPr>
          <w:rFonts w:hint="eastAsia" w:ascii="宋体" w:hAnsi="宋体" w:eastAsia="宋体" w:cs="宋体"/>
          <w:color w:val="auto"/>
          <w:sz w:val="21"/>
          <w:szCs w:val="21"/>
        </w:rPr>
        <w:t>项。</w:t>
      </w:r>
    </w:p>
    <w:p w14:paraId="63AAE7D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FD41F8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信用标准是客户获得企业商业信用所具备的最低条件，通常表示为（  ）。</w:t>
      </w:r>
    </w:p>
    <w:p w14:paraId="46755FC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预期的现金折扣率</w:t>
      </w:r>
      <w:r>
        <w:rPr>
          <w:rFonts w:hint="eastAsia" w:ascii="宋体" w:hAnsi="宋体" w:eastAsia="宋体" w:cs="宋体"/>
          <w:color w:val="auto"/>
          <w:sz w:val="21"/>
          <w:szCs w:val="21"/>
        </w:rPr>
        <w:tab/>
      </w:r>
    </w:p>
    <w:p w14:paraId="515748D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现金折扣期限</w:t>
      </w:r>
    </w:p>
    <w:p w14:paraId="40740C9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预期的坏账损失率</w:t>
      </w:r>
      <w:r>
        <w:rPr>
          <w:rFonts w:hint="eastAsia" w:ascii="宋体" w:hAnsi="宋体" w:eastAsia="宋体" w:cs="宋体"/>
          <w:color w:val="auto"/>
          <w:sz w:val="21"/>
          <w:szCs w:val="21"/>
        </w:rPr>
        <w:tab/>
      </w:r>
    </w:p>
    <w:p w14:paraId="5573537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信用期限</w:t>
      </w:r>
    </w:p>
    <w:p w14:paraId="18B5189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7B3EDA0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信用标准是指当采取赊销手段销货的企业对客户授信时，对客户资信情况进行要求的最低标准，通常以预期的坏账损失率表示。故选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76FEE69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1057F8B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在依据“</w:t>
      </w:r>
      <w:r>
        <w:rPr>
          <w:rFonts w:hint="eastAsia" w:ascii="宋体" w:hAnsi="宋体" w:eastAsia="宋体" w:cs="宋体"/>
          <w:color w:val="auto"/>
          <w:sz w:val="21"/>
          <w:szCs w:val="21"/>
          <w:lang w:val="en-US" w:eastAsia="zh-CN"/>
        </w:rPr>
        <w:t>5C”</w:t>
      </w:r>
      <w:r>
        <w:rPr>
          <w:rFonts w:hint="eastAsia" w:ascii="宋体" w:hAnsi="宋体" w:eastAsia="宋体" w:cs="宋体"/>
          <w:color w:val="auto"/>
          <w:sz w:val="21"/>
          <w:szCs w:val="21"/>
        </w:rPr>
        <w:t>系统原理确定信用标准时，应掌握“能力”方面的信息，下列各项指标中最能反映申请人“能力”的是（  ）。</w:t>
      </w:r>
    </w:p>
    <w:p w14:paraId="731AB8B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营业净利率</w:t>
      </w:r>
      <w:r>
        <w:rPr>
          <w:rFonts w:hint="eastAsia" w:ascii="宋体" w:hAnsi="宋体" w:eastAsia="宋体" w:cs="宋体"/>
          <w:color w:val="auto"/>
          <w:sz w:val="21"/>
          <w:szCs w:val="21"/>
        </w:rPr>
        <w:tab/>
      </w:r>
    </w:p>
    <w:p w14:paraId="64AF6EA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资产周转率</w:t>
      </w:r>
    </w:p>
    <w:p w14:paraId="46CD81C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流动比率</w:t>
      </w:r>
    </w:p>
    <w:p w14:paraId="5ED946B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资产负债率</w:t>
      </w:r>
    </w:p>
    <w:p w14:paraId="0197A86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10E4B14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所谓“</w:t>
      </w:r>
      <w:r>
        <w:rPr>
          <w:rFonts w:hint="eastAsia" w:ascii="宋体" w:hAnsi="宋体" w:eastAsia="宋体" w:cs="宋体"/>
          <w:color w:val="auto"/>
          <w:sz w:val="21"/>
          <w:szCs w:val="21"/>
          <w:lang w:val="en-US" w:eastAsia="zh-CN"/>
        </w:rPr>
        <w:t>5C”</w:t>
      </w:r>
      <w:r>
        <w:rPr>
          <w:rFonts w:hint="eastAsia" w:ascii="宋体" w:hAnsi="宋体" w:eastAsia="宋体" w:cs="宋体"/>
          <w:color w:val="auto"/>
          <w:sz w:val="21"/>
          <w:szCs w:val="21"/>
        </w:rPr>
        <w:t>系统是指评估顾客信用品质的五个方面，即品质、能力、资本、抵押和条件。其中，“能力”是指申请人的偿债能力，重点了解申请人流动资产的数量、质量以及流动比率的高低，因此主要指短期偿债能力。故选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61D58F2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3EB9AD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第七章  营运资金管理</w:t>
      </w:r>
    </w:p>
    <w:p w14:paraId="31430EE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p>
    <w:p w14:paraId="4320B73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存货管理成本</w:t>
      </w:r>
    </w:p>
    <w:p w14:paraId="146BDCC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pict>
          <v:shape id="_x0000_i1034" o:spt="75" type="#_x0000_t75" style="height:198.15pt;width:283.45pt;" filled="f" o:preferrelative="t" stroked="f" coordsize="21600,21600">
            <v:path/>
            <v:fill on="f" focussize="0,0"/>
            <v:stroke on="f"/>
            <v:imagedata r:id="rId19" o:title=""/>
            <o:lock v:ext="edit" aspectratio="t"/>
            <w10:wrap type="none"/>
            <w10:anchorlock/>
          </v:shape>
        </w:pict>
      </w:r>
    </w:p>
    <w:p w14:paraId="2D25C25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7】</w:t>
      </w:r>
      <w:r>
        <w:rPr>
          <w:rFonts w:hint="eastAsia" w:ascii="宋体" w:hAnsi="宋体" w:eastAsia="宋体" w:cs="宋体"/>
          <w:color w:val="FF0000"/>
          <w:sz w:val="21"/>
          <w:szCs w:val="21"/>
        </w:rPr>
        <w:t>经济订货批量</w:t>
      </w:r>
    </w:p>
    <w:p w14:paraId="5AEAE7C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与批量相关的存货总成本＝变动订货成本＋变动储存成本，</w:t>
      </w:r>
    </w:p>
    <w:p w14:paraId="1612374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经济订货批量是指能够使存货的相关总成本达到最低的进货数量。</w:t>
      </w:r>
    </w:p>
    <w:p w14:paraId="5AC6708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pict>
          <v:shape id="_x0000_i1033" o:spt="75" type="#_x0000_t75" style="height:42.1pt;width:283.45pt;" filled="f" o:preferrelative="t" stroked="f" coordsize="21600,21600">
            <v:path/>
            <v:fill on="f" focussize="0,0"/>
            <v:stroke on="f"/>
            <v:imagedata r:id="rId20" o:title=""/>
            <o:lock v:ext="edit" aspectratio="t"/>
            <w10:wrap type="none"/>
            <w10:anchorlock/>
          </v:shape>
        </w:pict>
      </w:r>
    </w:p>
    <w:p w14:paraId="0C1BE83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与经济订货批量相关的最小存货总成本</w:t>
      </w:r>
    </w:p>
    <w:p w14:paraId="14D8613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pict>
          <v:shape id="_x0000_i1031" o:spt="75" type="#_x0000_t75" style="height:31.55pt;width:226.75pt;" filled="f" o:preferrelative="t" stroked="f" coordsize="21600,21600">
            <v:path/>
            <v:fill on="f" focussize="0,0"/>
            <v:stroke on="f"/>
            <v:imagedata r:id="rId21" o:title=""/>
            <o:lock v:ext="edit" aspectratio="t"/>
            <w10:wrap type="none"/>
            <w10:anchorlock/>
          </v:shape>
        </w:pict>
      </w:r>
      <w:r>
        <w:rPr>
          <w:rFonts w:hint="eastAsia" w:ascii="宋体" w:hAnsi="宋体" w:eastAsia="宋体" w:cs="宋体"/>
          <w:color w:val="auto"/>
          <w:sz w:val="21"/>
          <w:szCs w:val="21"/>
          <w:lang w:val="en-US" w:eastAsia="zh-CN"/>
        </w:rPr>
        <w:t xml:space="preserve">  =</w:t>
      </w:r>
      <w:r>
        <w:pict>
          <v:shape id="_x0000_i1032" o:spt="75" type="#_x0000_t75" style="height:24.9pt;width:106.6pt;" filled="f" o:preferrelative="t" stroked="f" coordsize="21600,21600">
            <v:path/>
            <v:fill on="f" focussize="0,0"/>
            <v:stroke on="f"/>
            <v:imagedata r:id="rId22" o:title=""/>
            <o:lock v:ext="edit" aspectratio="t"/>
            <w10:wrap type="none"/>
            <w10:anchorlock/>
          </v:shape>
        </w:pict>
      </w:r>
    </w:p>
    <w:p w14:paraId="3618220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20BF0A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8】</w:t>
      </w:r>
      <w:r>
        <w:rPr>
          <w:rFonts w:hint="eastAsia" w:ascii="宋体" w:hAnsi="宋体" w:eastAsia="宋体" w:cs="宋体"/>
          <w:color w:val="FF0000"/>
          <w:sz w:val="21"/>
          <w:szCs w:val="21"/>
        </w:rPr>
        <w:t>经济订货批量拓展</w:t>
      </w:r>
    </w:p>
    <w:p w14:paraId="182EBEF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存货陆续供应和使用</w:t>
      </w:r>
    </w:p>
    <w:p w14:paraId="645C6CB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pict>
          <v:shape id="_x0000_s1037" o:spid="_x0000_s1037" o:spt="75" type="#_x0000_t75" style="position:absolute;left:0pt;margin-left:215.55pt;margin-top:5.2pt;height:34.55pt;width:113.4pt;z-index:251669504;mso-width-relative:page;mso-height-relative:page;" filled="f" o:preferrelative="t" stroked="f" coordsize="21600,21600">
            <v:path/>
            <v:fill on="f" focussize="0,0"/>
            <v:stroke on="f"/>
            <v:imagedata r:id="rId23" o:title=""/>
            <o:lock v:ext="edit" aspectratio="t"/>
          </v:shape>
        </w:pict>
      </w:r>
      <w:r>
        <w:rPr>
          <w:rFonts w:hint="eastAsia" w:ascii="宋体" w:hAnsi="宋体" w:eastAsia="宋体" w:cs="宋体"/>
          <w:color w:val="auto"/>
          <w:sz w:val="21"/>
          <w:szCs w:val="21"/>
        </w:rPr>
        <w:t>可以存在缺货损失</w:t>
      </w:r>
    </w:p>
    <w:p w14:paraId="68BAE81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存货陆续供应和使用的经济订货批量公式为</w:t>
      </w:r>
    </w:p>
    <w:p w14:paraId="39CA8E4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xml:space="preserve">存货陆续供应和使用的经济订货量相关总成本公式为： </w:t>
      </w:r>
      <w:r>
        <w:pict>
          <v:shape id="_x0000_s1036" o:spid="_x0000_s1036" o:spt="75" type="#_x0000_t75" style="position:absolute;left:0pt;margin-left:257.25pt;margin-top:0pt;height:33.35pt;width:141.75pt;z-index:251670528;mso-width-relative:page;mso-height-relative:page;" filled="f" o:preferrelative="t" stroked="f" coordsize="21600,21600">
            <v:path/>
            <v:fill on="f" focussize="0,0"/>
            <v:stroke on="f"/>
            <v:imagedata r:id="rId24" o:title=""/>
            <o:lock v:ext="edit" aspectratio="t"/>
          </v:shape>
        </w:pict>
      </w:r>
    </w:p>
    <w:p w14:paraId="433EE1C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4E764C8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下列各项中，不属于存货储存成本的是（  ）。</w:t>
      </w:r>
    </w:p>
    <w:p w14:paraId="42405DD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存货仓储费用</w:t>
      </w:r>
      <w:r>
        <w:rPr>
          <w:rFonts w:hint="eastAsia" w:ascii="宋体" w:hAnsi="宋体" w:eastAsia="宋体" w:cs="宋体"/>
          <w:color w:val="auto"/>
          <w:sz w:val="21"/>
          <w:szCs w:val="21"/>
        </w:rPr>
        <w:tab/>
      </w:r>
    </w:p>
    <w:p w14:paraId="697F781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存货破损和变质损失</w:t>
      </w:r>
    </w:p>
    <w:p w14:paraId="6ADED46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存货储备不足而造成的损失</w:t>
      </w:r>
      <w:r>
        <w:rPr>
          <w:rFonts w:hint="eastAsia" w:ascii="宋体" w:hAnsi="宋体" w:eastAsia="宋体" w:cs="宋体"/>
          <w:color w:val="auto"/>
          <w:sz w:val="21"/>
          <w:szCs w:val="21"/>
        </w:rPr>
        <w:tab/>
      </w:r>
    </w:p>
    <w:p w14:paraId="3BBD2CE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存货占用资金的应计利息</w:t>
      </w:r>
    </w:p>
    <w:p w14:paraId="2195212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68C992C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储存成本指为保持存货而发生的成本，包括存货占用资金所应计的利息、仓库费用、保险费用、存货破损和变质损失等。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项，属于缺货成本，缺货成本包括材料供应中断造成的停工损失、产成品库存缺货造成的拖欠发货损失和丧失销售机会的损失、紧急额外购入成本等。故选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1831527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BB1E9D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计算题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某企业每年需耗用</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w:t>
      </w:r>
      <w:r>
        <w:rPr>
          <w:rFonts w:hint="eastAsia" w:ascii="宋体" w:hAnsi="宋体" w:eastAsia="宋体" w:cs="宋体"/>
          <w:color w:val="auto"/>
          <w:sz w:val="21"/>
          <w:szCs w:val="21"/>
          <w:lang w:val="en-US" w:eastAsia="zh-CN"/>
        </w:rPr>
        <w:t>45 000</w:t>
      </w:r>
      <w:r>
        <w:rPr>
          <w:rFonts w:hint="eastAsia" w:ascii="宋体" w:hAnsi="宋体" w:eastAsia="宋体" w:cs="宋体"/>
          <w:color w:val="auto"/>
          <w:sz w:val="21"/>
          <w:szCs w:val="21"/>
        </w:rPr>
        <w:t>件，单位材料年存储成本</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元，平均每次订货费用为</w:t>
      </w:r>
      <w:r>
        <w:rPr>
          <w:rFonts w:hint="eastAsia" w:ascii="宋体" w:hAnsi="宋体" w:eastAsia="宋体" w:cs="宋体"/>
          <w:color w:val="auto"/>
          <w:sz w:val="21"/>
          <w:szCs w:val="21"/>
          <w:lang w:val="en-US" w:eastAsia="zh-CN"/>
        </w:rPr>
        <w:t>180</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材料全年平均单价为</w:t>
      </w:r>
      <w:r>
        <w:rPr>
          <w:rFonts w:hint="eastAsia" w:ascii="宋体" w:hAnsi="宋体" w:eastAsia="宋体" w:cs="宋体"/>
          <w:color w:val="auto"/>
          <w:sz w:val="21"/>
          <w:szCs w:val="21"/>
          <w:lang w:val="en-US" w:eastAsia="zh-CN"/>
        </w:rPr>
        <w:t>240</w:t>
      </w:r>
      <w:r>
        <w:rPr>
          <w:rFonts w:hint="eastAsia" w:ascii="宋体" w:hAnsi="宋体" w:eastAsia="宋体" w:cs="宋体"/>
          <w:color w:val="auto"/>
          <w:sz w:val="21"/>
          <w:szCs w:val="21"/>
        </w:rPr>
        <w:t>元。假定不存在数量折扣，不会出现陆续到货和缺货的现象。</w:t>
      </w:r>
    </w:p>
    <w:p w14:paraId="5163882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要求：</w:t>
      </w:r>
    </w:p>
    <w:p w14:paraId="0D4128B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材料的经济订货批量；</w:t>
      </w:r>
    </w:p>
    <w:p w14:paraId="4036F74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材料年度最佳订货批次；</w:t>
      </w:r>
    </w:p>
    <w:p w14:paraId="1727C2B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材料的相关订货成本；</w:t>
      </w:r>
    </w:p>
    <w:p w14:paraId="5E65F46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材料的相关储存成本；</w:t>
      </w:r>
    </w:p>
    <w:p w14:paraId="7919446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材料经济订货批量平均占用资金。</w:t>
      </w:r>
    </w:p>
    <w:p w14:paraId="64E0719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材料的经济订货批量＝  </w:t>
      </w:r>
      <w:r>
        <w:pict>
          <v:shape id="_x0000_i1035" o:spt="75" type="#_x0000_t75" style="height:23.05pt;width:61.3pt;" filled="f" o:preferrelative="t" stroked="f" coordsize="21600,21600">
            <v:path/>
            <v:fill on="f" focussize="0,0"/>
            <v:stroke on="f"/>
            <v:imagedata r:id="rId25" gain="0f" blacklevel="1966f" o:title=""/>
            <o:lock v:ext="edit" aspectratio="t"/>
            <w10:wrap type="none"/>
            <w10:anchorlock/>
          </v:shape>
        </w:pic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900</w:t>
      </w:r>
      <w:r>
        <w:rPr>
          <w:rFonts w:hint="eastAsia" w:ascii="宋体" w:hAnsi="宋体" w:eastAsia="宋体" w:cs="宋体"/>
          <w:color w:val="auto"/>
          <w:sz w:val="21"/>
          <w:szCs w:val="21"/>
        </w:rPr>
        <w:t>（件）</w:t>
      </w:r>
    </w:p>
    <w:p w14:paraId="469C48D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材料年度最佳订货批次＝</w:t>
      </w:r>
      <w:r>
        <w:rPr>
          <w:rFonts w:hint="eastAsia" w:ascii="宋体" w:hAnsi="宋体" w:eastAsia="宋体" w:cs="宋体"/>
          <w:color w:val="auto"/>
          <w:sz w:val="21"/>
          <w:szCs w:val="21"/>
          <w:lang w:val="en-US" w:eastAsia="zh-CN"/>
        </w:rPr>
        <w:t>45000÷900=50</w:t>
      </w:r>
      <w:r>
        <w:rPr>
          <w:rFonts w:hint="eastAsia" w:ascii="宋体" w:hAnsi="宋体" w:eastAsia="宋体" w:cs="宋体"/>
          <w:color w:val="auto"/>
          <w:sz w:val="21"/>
          <w:szCs w:val="21"/>
        </w:rPr>
        <w:t>（次）</w:t>
      </w:r>
    </w:p>
    <w:p w14:paraId="399FBBF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材料的相关订货成本</w:t>
      </w:r>
      <w:r>
        <w:rPr>
          <w:rFonts w:hint="eastAsia" w:ascii="宋体" w:hAnsi="宋体" w:eastAsia="宋体" w:cs="宋体"/>
          <w:color w:val="auto"/>
          <w:sz w:val="21"/>
          <w:szCs w:val="21"/>
          <w:lang w:val="en-US" w:eastAsia="zh-CN"/>
        </w:rPr>
        <w:t>=50*180=9000</w:t>
      </w:r>
      <w:r>
        <w:rPr>
          <w:rFonts w:hint="eastAsia" w:ascii="宋体" w:hAnsi="宋体" w:eastAsia="宋体" w:cs="宋体"/>
          <w:color w:val="auto"/>
          <w:sz w:val="21"/>
          <w:szCs w:val="21"/>
        </w:rPr>
        <w:t xml:space="preserve">（元）                        </w:t>
      </w:r>
    </w:p>
    <w:p w14:paraId="2F71CFD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材料的相关储存成本</w:t>
      </w:r>
      <w:r>
        <w:rPr>
          <w:rFonts w:hint="eastAsia" w:ascii="宋体" w:hAnsi="宋体" w:eastAsia="宋体" w:cs="宋体"/>
          <w:color w:val="auto"/>
          <w:sz w:val="21"/>
          <w:szCs w:val="21"/>
          <w:lang w:val="en-US" w:eastAsia="zh-CN"/>
        </w:rPr>
        <w:t xml:space="preserve">=900÷2×20=9000                             </w:t>
      </w:r>
    </w:p>
    <w:p w14:paraId="56995E3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材料经济订货批量平均占用资金</w:t>
      </w:r>
      <w:r>
        <w:rPr>
          <w:rFonts w:hint="eastAsia" w:ascii="宋体" w:hAnsi="宋体" w:eastAsia="宋体" w:cs="宋体"/>
          <w:color w:val="auto"/>
          <w:sz w:val="21"/>
          <w:szCs w:val="21"/>
          <w:lang w:val="en-US" w:eastAsia="zh-CN"/>
        </w:rPr>
        <w:t>=240×900÷2=108000</w:t>
      </w:r>
      <w:r>
        <w:rPr>
          <w:rFonts w:hint="eastAsia" w:ascii="宋体" w:hAnsi="宋体" w:eastAsia="宋体" w:cs="宋体"/>
          <w:color w:val="auto"/>
          <w:sz w:val="21"/>
          <w:szCs w:val="21"/>
        </w:rPr>
        <w:t>（元）。</w:t>
      </w:r>
    </w:p>
    <w:p w14:paraId="07DE880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5C6AF12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根据经济订货批量的基本模型，下列各项中，可能导致经济订货批量提高的是（  ）。</w:t>
      </w:r>
    </w:p>
    <w:p w14:paraId="04AE7D9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每期对存货的总需求降低</w:t>
      </w:r>
      <w:r>
        <w:rPr>
          <w:rFonts w:hint="eastAsia" w:ascii="宋体" w:hAnsi="宋体" w:eastAsia="宋体" w:cs="宋体"/>
          <w:color w:val="auto"/>
          <w:sz w:val="21"/>
          <w:szCs w:val="21"/>
        </w:rPr>
        <w:tab/>
      </w:r>
    </w:p>
    <w:p w14:paraId="04FF3C2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每次订货费用降低</w:t>
      </w:r>
    </w:p>
    <w:p w14:paraId="08FABEA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每期单位存货存储费降低</w:t>
      </w:r>
    </w:p>
    <w:p w14:paraId="70C43FA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存货的采购单价降低</w:t>
      </w:r>
    </w:p>
    <w:p w14:paraId="5951353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67D6021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pict>
          <v:shape id="_x0000_i1036" o:spt="75" type="#_x0000_t75" style="height:40.5pt;width:143.9pt;" filled="f" o:preferrelative="t" stroked="f" coordsize="21600,21600">
            <v:path/>
            <v:fill on="f" focussize="0,0"/>
            <v:stroke on="f"/>
            <v:imagedata r:id="rId26" o:title=""/>
            <o:lock v:ext="edit" aspectratio="t"/>
            <w10:wrap type="none"/>
            <w10:anchorlock/>
          </v:shape>
        </w:pict>
      </w: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rPr>
        <w:t>。故选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2BDC021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5EDABD0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保险储备</w:t>
      </w:r>
    </w:p>
    <w:p w14:paraId="0FFD922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保险储备的储存成本＝保险储备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单位变动储存成本</w:t>
      </w:r>
    </w:p>
    <w:p w14:paraId="5191884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缺货成本＝一次订货期望缺货量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年订货次数</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单位缺货损失</w:t>
      </w:r>
    </w:p>
    <w:p w14:paraId="180DDA5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相关总成本＝保险储备的储存成本＋缺货损失</w:t>
      </w:r>
    </w:p>
    <w:p w14:paraId="700C9F9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6C1081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某公司全年（</w:t>
      </w:r>
      <w:r>
        <w:rPr>
          <w:rFonts w:hint="eastAsia" w:ascii="宋体" w:hAnsi="宋体" w:eastAsia="宋体" w:cs="宋体"/>
          <w:color w:val="auto"/>
          <w:sz w:val="21"/>
          <w:szCs w:val="21"/>
          <w:lang w:val="en-US" w:eastAsia="zh-CN"/>
        </w:rPr>
        <w:t>360</w:t>
      </w:r>
      <w:r>
        <w:rPr>
          <w:rFonts w:hint="eastAsia" w:ascii="宋体" w:hAnsi="宋体" w:eastAsia="宋体" w:cs="宋体"/>
          <w:color w:val="auto"/>
          <w:sz w:val="21"/>
          <w:szCs w:val="21"/>
        </w:rPr>
        <w:t>天）材料采购量预计为</w:t>
      </w:r>
      <w:r>
        <w:rPr>
          <w:rFonts w:hint="eastAsia" w:ascii="宋体" w:hAnsi="宋体" w:eastAsia="宋体" w:cs="宋体"/>
          <w:color w:val="auto"/>
          <w:sz w:val="21"/>
          <w:szCs w:val="21"/>
          <w:lang w:val="en-US" w:eastAsia="zh-CN"/>
        </w:rPr>
        <w:t>7200</w:t>
      </w:r>
      <w:r>
        <w:rPr>
          <w:rFonts w:hint="eastAsia" w:ascii="宋体" w:hAnsi="宋体" w:eastAsia="宋体" w:cs="宋体"/>
          <w:color w:val="auto"/>
          <w:sz w:val="21"/>
          <w:szCs w:val="21"/>
        </w:rPr>
        <w:t>吨，假定材料日耗均衡，从订货到送达正常需要</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天，鉴于延迟交货会产生较大损失，公司按照延误天数</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天建立保险储备。不考虑其他因素，材料再订货点为（  ）吨。</w:t>
      </w:r>
    </w:p>
    <w:p w14:paraId="5104A25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A.40              </w:t>
      </w:r>
      <w:r>
        <w:rPr>
          <w:rFonts w:hint="eastAsia" w:ascii="宋体" w:hAnsi="宋体" w:eastAsia="宋体" w:cs="宋体"/>
          <w:color w:val="auto"/>
          <w:sz w:val="21"/>
          <w:szCs w:val="21"/>
        </w:rPr>
        <w:t>　</w:t>
      </w:r>
      <w:r>
        <w:rPr>
          <w:rFonts w:hint="eastAsia" w:ascii="宋体" w:hAnsi="宋体" w:eastAsia="宋体" w:cs="宋体"/>
          <w:color w:val="auto"/>
          <w:sz w:val="21"/>
          <w:szCs w:val="21"/>
          <w:lang w:val="en-US" w:eastAsia="zh-CN"/>
        </w:rPr>
        <w:t xml:space="preserve">B.80             </w:t>
      </w:r>
      <w:r>
        <w:rPr>
          <w:rFonts w:hint="eastAsia" w:ascii="宋体" w:hAnsi="宋体" w:eastAsia="宋体" w:cs="宋体"/>
          <w:color w:val="auto"/>
          <w:sz w:val="21"/>
          <w:szCs w:val="21"/>
        </w:rPr>
        <w:t>　</w:t>
      </w:r>
    </w:p>
    <w:p w14:paraId="0B6F210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C.60              </w:t>
      </w:r>
      <w:r>
        <w:rPr>
          <w:rFonts w:hint="eastAsia" w:ascii="宋体" w:hAnsi="宋体" w:eastAsia="宋体" w:cs="宋体"/>
          <w:color w:val="auto"/>
          <w:sz w:val="21"/>
          <w:szCs w:val="21"/>
        </w:rPr>
        <w:t>　</w:t>
      </w:r>
      <w:r>
        <w:rPr>
          <w:rFonts w:hint="eastAsia" w:ascii="宋体" w:hAnsi="宋体" w:eastAsia="宋体" w:cs="宋体"/>
          <w:color w:val="auto"/>
          <w:sz w:val="21"/>
          <w:szCs w:val="21"/>
          <w:lang w:val="en-US" w:eastAsia="zh-CN"/>
        </w:rPr>
        <w:t>D.100</w:t>
      </w:r>
    </w:p>
    <w:p w14:paraId="71CD445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64035F4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日耗用量＝</w:t>
      </w:r>
      <w:r>
        <w:rPr>
          <w:rFonts w:hint="eastAsia" w:ascii="宋体" w:hAnsi="宋体" w:eastAsia="宋体" w:cs="宋体"/>
          <w:color w:val="auto"/>
          <w:sz w:val="21"/>
          <w:szCs w:val="21"/>
          <w:lang w:val="en-US" w:eastAsia="zh-CN"/>
        </w:rPr>
        <w:t>7200/360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（吨），保险储备量＝</w:t>
      </w:r>
      <w:r>
        <w:rPr>
          <w:rFonts w:hint="eastAsia" w:ascii="宋体" w:hAnsi="宋体" w:eastAsia="宋体" w:cs="宋体"/>
          <w:color w:val="auto"/>
          <w:sz w:val="21"/>
          <w:szCs w:val="21"/>
          <w:lang w:val="en-US" w:eastAsia="zh-CN"/>
        </w:rPr>
        <w:t>20×2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（吨），再订货点＝</w:t>
      </w:r>
      <w:r>
        <w:rPr>
          <w:rFonts w:hint="eastAsia" w:ascii="宋体" w:hAnsi="宋体" w:eastAsia="宋体" w:cs="宋体"/>
          <w:color w:val="auto"/>
          <w:sz w:val="21"/>
          <w:szCs w:val="21"/>
          <w:lang w:val="en-US" w:eastAsia="zh-CN"/>
        </w:rPr>
        <w:t>20×3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（吨）</w:t>
      </w:r>
    </w:p>
    <w:p w14:paraId="41A28F5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1872D44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流动负债管理</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短期借款</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10"/>
        <w:gridCol w:w="8660"/>
      </w:tblGrid>
      <w:tr w14:paraId="4D30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864" w:type="pct"/>
            <w:shd w:val="clear" w:color="auto" w:fill="auto"/>
            <w:tcMar>
              <w:top w:w="72" w:type="dxa"/>
              <w:left w:w="108" w:type="dxa"/>
              <w:bottom w:w="72" w:type="dxa"/>
              <w:right w:w="108" w:type="dxa"/>
            </w:tcMar>
            <w:vAlign w:val="top"/>
          </w:tcPr>
          <w:p w14:paraId="1C3DE44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信用条件</w:t>
            </w:r>
          </w:p>
        </w:tc>
        <w:tc>
          <w:tcPr>
            <w:tcW w:w="4135" w:type="pct"/>
            <w:shd w:val="clear" w:color="auto" w:fill="auto"/>
            <w:tcMar>
              <w:top w:w="72" w:type="dxa"/>
              <w:left w:w="108" w:type="dxa"/>
              <w:bottom w:w="72" w:type="dxa"/>
              <w:right w:w="108" w:type="dxa"/>
            </w:tcMar>
            <w:vAlign w:val="top"/>
          </w:tcPr>
          <w:p w14:paraId="1980385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信贷额度；周转信贷协议；补偿性余额；借款抵押；偿还条件</w:t>
            </w:r>
          </w:p>
        </w:tc>
      </w:tr>
      <w:tr w14:paraId="45AE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4" w:type="pct"/>
            <w:shd w:val="clear" w:color="auto" w:fill="auto"/>
            <w:tcMar>
              <w:top w:w="72" w:type="dxa"/>
              <w:left w:w="108" w:type="dxa"/>
              <w:bottom w:w="72" w:type="dxa"/>
              <w:right w:w="108" w:type="dxa"/>
            </w:tcMar>
            <w:vAlign w:val="top"/>
          </w:tcPr>
          <w:p w14:paraId="0F42F5E2">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成本</w:t>
            </w:r>
          </w:p>
        </w:tc>
        <w:tc>
          <w:tcPr>
            <w:tcW w:w="4135" w:type="pct"/>
            <w:shd w:val="clear" w:color="auto" w:fill="auto"/>
            <w:tcMar>
              <w:top w:w="72" w:type="dxa"/>
              <w:left w:w="108" w:type="dxa"/>
              <w:bottom w:w="72" w:type="dxa"/>
              <w:right w:w="108" w:type="dxa"/>
            </w:tcMar>
            <w:vAlign w:val="top"/>
          </w:tcPr>
          <w:p w14:paraId="569ABF8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收款法；贴现法；加息法</w:t>
            </w:r>
          </w:p>
        </w:tc>
      </w:tr>
    </w:tbl>
    <w:p w14:paraId="0046775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41A064B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 xml:space="preserve">某企业获 </w:t>
      </w:r>
      <w:r>
        <w:rPr>
          <w:rFonts w:hint="eastAsia" w:ascii="宋体" w:hAnsi="宋体" w:eastAsia="宋体" w:cs="宋体"/>
          <w:color w:val="auto"/>
          <w:sz w:val="21"/>
          <w:szCs w:val="21"/>
          <w:lang w:val="en-US" w:eastAsia="zh-CN"/>
        </w:rPr>
        <w:t xml:space="preserve">100 </w:t>
      </w:r>
      <w:r>
        <w:rPr>
          <w:rFonts w:hint="eastAsia" w:ascii="宋体" w:hAnsi="宋体" w:eastAsia="宋体" w:cs="宋体"/>
          <w:color w:val="auto"/>
          <w:sz w:val="21"/>
          <w:szCs w:val="21"/>
        </w:rPr>
        <w:t xml:space="preserve">万元的周转信贷额度，约定年利率为 </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，承诺费率为</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，年度内企业实际动用贷款</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万元，使用了</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个月，则该笔业务在当年实际的借款成本为（  ）万元。</w:t>
      </w:r>
    </w:p>
    <w:p w14:paraId="48724F8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A.10          B.10.2               C.6.2                  D.6</w:t>
      </w:r>
    </w:p>
    <w:p w14:paraId="4888E4B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6B326B7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利息</w:t>
      </w:r>
      <w:r>
        <w:rPr>
          <w:rFonts w:hint="eastAsia" w:ascii="宋体" w:hAnsi="宋体" w:eastAsia="宋体" w:cs="宋体"/>
          <w:color w:val="auto"/>
          <w:sz w:val="21"/>
          <w:szCs w:val="21"/>
          <w:lang w:val="en-US" w:eastAsia="zh-CN"/>
        </w:rPr>
        <w:t>=60×10%=6</w:t>
      </w:r>
      <w:r>
        <w:rPr>
          <w:rFonts w:hint="eastAsia" w:ascii="宋体" w:hAnsi="宋体" w:eastAsia="宋体" w:cs="宋体"/>
          <w:color w:val="auto"/>
          <w:sz w:val="21"/>
          <w:szCs w:val="21"/>
        </w:rPr>
        <w:t>（万元），承诺费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100-60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×0.5%=0.2</w:t>
      </w:r>
      <w:r>
        <w:rPr>
          <w:rFonts w:hint="eastAsia" w:ascii="宋体" w:hAnsi="宋体" w:eastAsia="宋体" w:cs="宋体"/>
          <w:color w:val="auto"/>
          <w:sz w:val="21"/>
          <w:szCs w:val="21"/>
        </w:rPr>
        <w:t>（万元），则实际的借款成本</w:t>
      </w:r>
      <w:r>
        <w:rPr>
          <w:rFonts w:hint="eastAsia" w:ascii="宋体" w:hAnsi="宋体" w:eastAsia="宋体" w:cs="宋体"/>
          <w:color w:val="auto"/>
          <w:sz w:val="21"/>
          <w:szCs w:val="21"/>
          <w:lang w:val="en-US" w:eastAsia="zh-CN"/>
        </w:rPr>
        <w:t>=6+0.2=6.2</w:t>
      </w:r>
      <w:r>
        <w:rPr>
          <w:rFonts w:hint="eastAsia" w:ascii="宋体" w:hAnsi="宋体" w:eastAsia="宋体" w:cs="宋体"/>
          <w:color w:val="auto"/>
          <w:sz w:val="21"/>
          <w:szCs w:val="21"/>
        </w:rPr>
        <w:t>（万元），选项</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正确。</w:t>
      </w:r>
    </w:p>
    <w:p w14:paraId="3C3026D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430990A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某企业年初从银行贷款</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万元，期限</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年，年利率为</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，按照贴现法付息，则年末应偿还的金额为（  ）万元。</w:t>
      </w:r>
    </w:p>
    <w:p w14:paraId="650323B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A.170</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B.190</w:t>
      </w:r>
    </w:p>
    <w:p w14:paraId="2E17774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C.200</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D.110</w:t>
      </w:r>
    </w:p>
    <w:p w14:paraId="3EB77C5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01F8951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贴现法是银行向企业发放贷款时，先从本金中扣除利息部分，在贷款到期时借款企业再偿还全部本金的一种计息支付方法。故选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6D266B4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35BCAA4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甲公司拟使用短期借款进行筹资。下列借款条件中，不会导致有效年利率（利息与可用贷款额的比率）高于报价利率（借款合同规定的利率）的是（  ）。</w:t>
      </w:r>
    </w:p>
    <w:p w14:paraId="55E7873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按贷款一定比例在银行保持补偿性余额</w:t>
      </w:r>
    </w:p>
    <w:p w14:paraId="064BFAA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按贴现法支付银行利息</w:t>
      </w:r>
    </w:p>
    <w:p w14:paraId="0F9FE96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按收款法支付银行利息</w:t>
      </w:r>
    </w:p>
    <w:p w14:paraId="6AC1CBB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按加息法支付银行利息</w:t>
      </w:r>
    </w:p>
    <w:p w14:paraId="519F701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12FC95A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按收款法支付银行利息借款的实际利率与名义利率相等。故选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7A6C77C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A9BB61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11】</w:t>
      </w:r>
      <w:r>
        <w:rPr>
          <w:rFonts w:hint="eastAsia" w:ascii="宋体" w:hAnsi="宋体" w:eastAsia="宋体" w:cs="宋体"/>
          <w:color w:val="FF0000"/>
          <w:sz w:val="21"/>
          <w:szCs w:val="21"/>
        </w:rPr>
        <w:t>短期融资券</w:t>
      </w:r>
    </w:p>
    <w:p w14:paraId="45D7018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3F8D7BE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在我国，下列关于短期融资券的说法，正确的有（  ）。</w:t>
      </w:r>
    </w:p>
    <w:p w14:paraId="6E1E484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相对银行借款，信用要求等级高</w:t>
      </w:r>
    </w:p>
    <w:p w14:paraId="2FAA8A3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相对企业债券，筹资成本较高</w:t>
      </w:r>
    </w:p>
    <w:p w14:paraId="4FA172E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相对商业信用，偿还方式灵活</w:t>
      </w:r>
    </w:p>
    <w:p w14:paraId="28C5711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相对于银行借款，一次性筹资金额较大</w:t>
      </w:r>
    </w:p>
    <w:p w14:paraId="7128E3E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AD</w:t>
      </w:r>
    </w:p>
    <w:p w14:paraId="235C0B7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只有具备一定的信用等级的实力强的企业，才能发行短期融资券筹资，银行借款没有这样的规定，选项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正确。相对于发行企业债券筹资而言，发行短期融资券的筹资成本较低，选项</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不正确。采用商业信用筹资，如果在期限内不能付款或交货时，一般还可以通过与客户的协商，请求延长时限，偿还方式更为灵活，选项</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不正确。相对于银行借款筹资而言，短期融资券一次性的筹资数额比较大，选项</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正确。</w:t>
      </w:r>
    </w:p>
    <w:p w14:paraId="7557906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E1FA4C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考点</w:t>
      </w:r>
      <w:r>
        <w:rPr>
          <w:rFonts w:hint="eastAsia" w:ascii="宋体" w:hAnsi="宋体" w:eastAsia="宋体" w:cs="宋体"/>
          <w:color w:val="FF0000"/>
          <w:sz w:val="21"/>
          <w:szCs w:val="21"/>
          <w:lang w:val="en-US" w:eastAsia="zh-CN"/>
        </w:rPr>
        <w:t>12】</w:t>
      </w:r>
      <w:r>
        <w:rPr>
          <w:rFonts w:hint="eastAsia" w:ascii="宋体" w:hAnsi="宋体" w:eastAsia="宋体" w:cs="宋体"/>
          <w:color w:val="FF0000"/>
          <w:sz w:val="21"/>
          <w:szCs w:val="21"/>
        </w:rPr>
        <w:t>商业信用</w:t>
      </w:r>
    </w:p>
    <w:p w14:paraId="34BD71B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商业信用包括：应付账款、应付票据、应计未付款和预收货款</w:t>
      </w:r>
    </w:p>
    <w:p w14:paraId="6A7703A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应付账款</w:t>
      </w:r>
    </w:p>
    <w:p w14:paraId="4CD0F2B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pPr>
      <w:r>
        <w:pict>
          <v:shape id="_x0000_i1030" o:spt="75" type="#_x0000_t75" style="height:35.25pt;width:340.15pt;" filled="f" o:preferrelative="t" stroked="f" coordsize="21600,21600">
            <v:path/>
            <v:fill on="f" focussize="0,0"/>
            <v:stroke on="f"/>
            <v:imagedata r:id="rId27" o:title=""/>
            <o:lock v:ext="edit" aspectratio="t"/>
            <w10:wrap type="none"/>
            <w10:anchorlock/>
          </v:shape>
        </w:pict>
      </w:r>
    </w:p>
    <w:p w14:paraId="56AA324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lang w:val="en-US" w:eastAsia="zh-CN"/>
        </w:rPr>
      </w:pPr>
    </w:p>
    <w:p w14:paraId="6B06D1C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在确定因放弃现金折扣而发生的信用成本时，需要考虑的因素有（  ）</w:t>
      </w:r>
    </w:p>
    <w:p w14:paraId="67FF690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数量折扣百分比                </w:t>
      </w:r>
    </w:p>
    <w:p w14:paraId="5B98D7D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现金折扣百分比</w:t>
      </w:r>
    </w:p>
    <w:p w14:paraId="6CAAAAB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折扣期                        </w:t>
      </w:r>
    </w:p>
    <w:p w14:paraId="741545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信用期</w:t>
      </w:r>
    </w:p>
    <w:p w14:paraId="6B21DD7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BCD</w:t>
      </w:r>
    </w:p>
    <w:p w14:paraId="432E4B5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根据放弃现金折扣而发生的信用成本的计算公式可知，需要考虑三个因素：现金折扣百分比、折扣期、信用期。所以选</w:t>
      </w:r>
      <w:r>
        <w:rPr>
          <w:rFonts w:hint="eastAsia" w:ascii="宋体" w:hAnsi="宋体" w:eastAsia="宋体" w:cs="宋体"/>
          <w:color w:val="auto"/>
          <w:sz w:val="21"/>
          <w:szCs w:val="21"/>
          <w:lang w:val="en-US" w:eastAsia="zh-CN"/>
        </w:rPr>
        <w:t>BCD</w:t>
      </w:r>
      <w:r>
        <w:rPr>
          <w:rFonts w:hint="eastAsia" w:ascii="宋体" w:hAnsi="宋体" w:eastAsia="宋体" w:cs="宋体"/>
          <w:color w:val="auto"/>
          <w:sz w:val="21"/>
          <w:szCs w:val="21"/>
        </w:rPr>
        <w:t>。</w:t>
      </w:r>
    </w:p>
    <w:p w14:paraId="77D40925">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sz w:val="21"/>
          <w:szCs w:val="21"/>
        </w:rPr>
      </w:pPr>
    </w:p>
    <w:p w14:paraId="014236E7">
      <w:pPr>
        <w:pStyle w:val="2"/>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第八章 成本管理</w:t>
      </w:r>
    </w:p>
    <w:p w14:paraId="1C2BB03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5E82F47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本章属于重点章节，考分</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分左右，考点如下：</w:t>
      </w:r>
    </w:p>
    <w:p w14:paraId="5E260A2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（一）本量利分析与应用</w:t>
      </w:r>
    </w:p>
    <w:p w14:paraId="770983D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（二）标准成本差异</w:t>
      </w:r>
    </w:p>
    <w:p w14:paraId="11AD2E5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（三）作业成本</w:t>
      </w:r>
    </w:p>
    <w:p w14:paraId="64506D5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（四）责任成本</w:t>
      </w:r>
    </w:p>
    <w:p w14:paraId="704B860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本量利分析</w:t>
      </w:r>
    </w:p>
    <w:p w14:paraId="44A4374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本量利分析的基本原理</w:t>
      </w:r>
    </w:p>
    <w:p w14:paraId="188E120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“本”是指成本，包括固定成本和变动成本；</w:t>
      </w:r>
    </w:p>
    <w:p w14:paraId="2ED1F1C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“量”是指业务量，一般指销售量；</w:t>
      </w:r>
    </w:p>
    <w:p w14:paraId="03183A4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“利”一般指息税前利润。</w:t>
      </w:r>
    </w:p>
    <w:p w14:paraId="3B05490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公式：</w:t>
      </w:r>
    </w:p>
    <w:p w14:paraId="1FAB752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利润＝销售量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（单价－单位变动成本）－固定成本</w:t>
      </w:r>
    </w:p>
    <w:p w14:paraId="246ABB2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01D0304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下列关于本量利分析基本假设的表述中，不正确的是（  ）。</w:t>
      </w:r>
    </w:p>
    <w:p w14:paraId="0B07736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产销平衡</w:t>
      </w:r>
      <w:r>
        <w:rPr>
          <w:rFonts w:hint="eastAsia" w:ascii="宋体" w:hAnsi="宋体" w:eastAsia="宋体" w:cs="宋体"/>
          <w:color w:val="auto"/>
          <w:sz w:val="21"/>
          <w:szCs w:val="21"/>
        </w:rPr>
        <w:tab/>
      </w:r>
    </w:p>
    <w:p w14:paraId="53DDD08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产品产销结构稳定</w:t>
      </w:r>
    </w:p>
    <w:p w14:paraId="676E194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销售收入与业务量呈完全线性关系</w:t>
      </w:r>
      <w:r>
        <w:rPr>
          <w:rFonts w:hint="eastAsia" w:ascii="宋体" w:hAnsi="宋体" w:eastAsia="宋体" w:cs="宋体"/>
          <w:color w:val="auto"/>
          <w:sz w:val="21"/>
          <w:szCs w:val="21"/>
        </w:rPr>
        <w:tab/>
      </w:r>
    </w:p>
    <w:p w14:paraId="26D037C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总成本由营业成本和期间费用两部分组成</w:t>
      </w:r>
    </w:p>
    <w:p w14:paraId="2E67CCF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78E9B72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本量利分析主要基于以下四个假设前提：总成本由固定成本和变动成本两部分组成；销售收入与业务量呈完全线性关系；产销平衡；产品产销结构稳定。故选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0459D9D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0444404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下列各项指标中，与盈亏平衡点呈同向变化关系的有（  ）。</w:t>
      </w:r>
    </w:p>
    <w:p w14:paraId="4A12006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单位售价              </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预计销量         </w:t>
      </w:r>
    </w:p>
    <w:p w14:paraId="7A64681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固定成本总额       </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单位变动成本</w:t>
      </w:r>
    </w:p>
    <w:p w14:paraId="638EB1E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CD</w:t>
      </w:r>
    </w:p>
    <w:p w14:paraId="206771B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盈亏平衡点销售量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固定成本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单位变动成本），可以看出，固定成本总额和单位变动成本与盈亏平衡点销售量同向变化，单价与盈亏平衡点销售量反方向变化，预计销售量与保本点销售量无关，所以本题选择</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w:t>
      </w:r>
    </w:p>
    <w:p w14:paraId="6E9FEEA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7336864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边际贡献</w:t>
      </w:r>
    </w:p>
    <w:p w14:paraId="6C40383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边际贡献总额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销售收入</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变动成本</w:t>
      </w:r>
    </w:p>
    <w:p w14:paraId="64B9DFA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单位边际贡献</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单位变动成本</w:t>
      </w:r>
    </w:p>
    <w:p w14:paraId="4012C9D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边际贡献率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边际贡献总额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销售收入</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单位边际贡献</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p>
    <w:p w14:paraId="6B790F8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变动成本率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变动成本总额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销售收入</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单位变动成本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p>
    <w:p w14:paraId="3A7CD6B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边际贡献率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变动成本率</w:t>
      </w:r>
      <w:r>
        <w:rPr>
          <w:rFonts w:hint="eastAsia" w:ascii="宋体" w:hAnsi="宋体" w:eastAsia="宋体" w:cs="宋体"/>
          <w:color w:val="auto"/>
          <w:sz w:val="21"/>
          <w:szCs w:val="21"/>
          <w:lang w:val="en-US" w:eastAsia="zh-CN"/>
        </w:rPr>
        <w:t>=1</w:t>
      </w:r>
    </w:p>
    <w:p w14:paraId="014DC41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3D6AB55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某企业生产某一产品，年销售收入为</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万元，变动成本总额为</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万元，固定成本总额为</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万元，则该产品的边际贡献率为（  ）。</w:t>
      </w:r>
    </w:p>
    <w:p w14:paraId="7C8D894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A.40%</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B.76%</w:t>
      </w:r>
    </w:p>
    <w:p w14:paraId="49030BD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C.24%</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D.60%</w:t>
      </w:r>
    </w:p>
    <w:p w14:paraId="51F6160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4B70C31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边际贡献率＝边际贡献总额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销售收入＝（</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/100×100%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67D22C2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61E2D4F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判断题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不考虑其他因素，固定成本每增加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元，边际贡献就减少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元。（  ）</w:t>
      </w:r>
    </w:p>
    <w:p w14:paraId="081BC22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w:t>
      </w:r>
    </w:p>
    <w:p w14:paraId="38CD900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边际贡献是销售收入减去变动成本之后的余额。如果销售收入和变动成本不变，则边际贡献不变。固定成本每增加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元，息税前利润就减少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元。</w:t>
      </w:r>
    </w:p>
    <w:p w14:paraId="48FBAF32">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p>
    <w:p w14:paraId="1C6B7B8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盈亏平衡点分析</w:t>
      </w:r>
    </w:p>
    <w:p w14:paraId="7411E17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pict>
          <v:shape id="_x0000_i1037" o:spt="75" type="#_x0000_t75" style="height:170pt;width:283.45pt;" filled="f" o:preferrelative="t" stroked="f" coordsize="21600,21600">
            <v:path/>
            <v:fill on="f" focussize="0,0"/>
            <v:stroke on="f"/>
            <v:imagedata r:id="rId28" o:title=""/>
            <o:lock v:ext="edit" aspectratio="t"/>
            <w10:wrap type="none"/>
            <w10:anchorlock/>
          </v:shape>
        </w:pict>
      </w:r>
    </w:p>
    <w:p w14:paraId="0641465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涉及公式：</w:t>
      </w:r>
    </w:p>
    <w:p w14:paraId="47C0E6B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盈亏平衡点作业率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盈亏平衡点业务量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正常经营业务量*</w:t>
      </w:r>
      <w:r>
        <w:rPr>
          <w:rFonts w:hint="eastAsia" w:ascii="宋体" w:hAnsi="宋体" w:eastAsia="宋体" w:cs="宋体"/>
          <w:color w:val="auto"/>
          <w:sz w:val="21"/>
          <w:szCs w:val="21"/>
          <w:lang w:val="en-US" w:eastAsia="zh-CN"/>
        </w:rPr>
        <w:t>100%</w:t>
      </w:r>
    </w:p>
    <w:p w14:paraId="445B457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盈亏平衡点销售额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正常经营销售额*</w:t>
      </w:r>
      <w:r>
        <w:rPr>
          <w:rFonts w:hint="eastAsia" w:ascii="宋体" w:hAnsi="宋体" w:eastAsia="宋体" w:cs="宋体"/>
          <w:color w:val="auto"/>
          <w:sz w:val="21"/>
          <w:szCs w:val="21"/>
          <w:lang w:val="en-US" w:eastAsia="zh-CN"/>
        </w:rPr>
        <w:t>100%</w:t>
      </w:r>
    </w:p>
    <w:p w14:paraId="168E988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安全边际（量）＝实际销售量或预期销售量－盈亏平衡点的业务量</w:t>
      </w:r>
    </w:p>
    <w:p w14:paraId="1F817A3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安全边际额＝实际销售额或预期销售额－盈亏平衡点的销售额</w:t>
      </w:r>
    </w:p>
    <w:p w14:paraId="499BC8E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＝安全边际量*单价</w:t>
      </w:r>
    </w:p>
    <w:p w14:paraId="3BF009A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安全边际率＝安全边际量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实际或预计销售量</w:t>
      </w:r>
    </w:p>
    <w:p w14:paraId="2A3A488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＝安全边际额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实际或预计销售额</w:t>
      </w:r>
    </w:p>
    <w:p w14:paraId="3A57568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盈亏平衡作业率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安全边际率＝</w:t>
      </w:r>
      <w:r>
        <w:rPr>
          <w:rFonts w:hint="eastAsia" w:ascii="宋体" w:hAnsi="宋体" w:eastAsia="宋体" w:cs="宋体"/>
          <w:color w:val="auto"/>
          <w:sz w:val="21"/>
          <w:szCs w:val="21"/>
          <w:lang w:val="en-US" w:eastAsia="zh-CN"/>
        </w:rPr>
        <w:t>1</w:t>
      </w:r>
    </w:p>
    <w:p w14:paraId="1175DA0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销售利润率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安全边际率*边际贡献率</w:t>
      </w:r>
    </w:p>
    <w:p w14:paraId="60FD2D5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632EC09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目标利润</w:t>
      </w:r>
    </w:p>
    <w:p w14:paraId="7806AB4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原理：当息税前利润锁定一目标时，求得销售量和销售额</w:t>
      </w:r>
    </w:p>
    <w:p w14:paraId="0842AD5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知识点</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敏感性分析</w:t>
      </w:r>
    </w:p>
    <w:p w14:paraId="75BE093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假设其中一个变量发生变化，其余变量保持不变，此时的利润变化与该因素变化的比为敏感系数，公式如下：</w:t>
      </w:r>
    </w:p>
    <w:p w14:paraId="2D7A75D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lang w:val="en-US" w:eastAsia="zh-CN"/>
        </w:rPr>
      </w:pPr>
      <w:r>
        <w:pict>
          <v:shape id="_x0000_i1038" o:spt="75" type="#_x0000_t75" style="height:39.65pt;width:170.1pt;" filled="f" o:preferrelative="t" stroked="f" coordsize="21600,21600">
            <v:path/>
            <v:fill on="f" focussize="0,0"/>
            <v:stroke on="f"/>
            <v:imagedata r:id="rId29" o:title=""/>
            <o:lock v:ext="edit" aspectratio="t"/>
            <w10:wrap type="none"/>
            <w10:anchorlock/>
          </v:shape>
        </w:pict>
      </w:r>
    </w:p>
    <w:p w14:paraId="74D6CF5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653F06B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本量利分析法的核心内容是确定（  ）。</w:t>
      </w:r>
    </w:p>
    <w:p w14:paraId="577480C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盈亏临界点</w:t>
      </w:r>
      <w:r>
        <w:rPr>
          <w:rFonts w:hint="eastAsia" w:ascii="宋体" w:hAnsi="宋体" w:eastAsia="宋体" w:cs="宋体"/>
          <w:color w:val="auto"/>
          <w:sz w:val="21"/>
          <w:szCs w:val="21"/>
        </w:rPr>
        <w:tab/>
      </w:r>
    </w:p>
    <w:p w14:paraId="0CFC694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安全边际</w:t>
      </w:r>
    </w:p>
    <w:p w14:paraId="7516B13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单位边际贡献</w:t>
      </w:r>
      <w:r>
        <w:rPr>
          <w:rFonts w:hint="eastAsia" w:ascii="宋体" w:hAnsi="宋体" w:eastAsia="宋体" w:cs="宋体"/>
          <w:color w:val="auto"/>
          <w:sz w:val="21"/>
          <w:szCs w:val="21"/>
        </w:rPr>
        <w:tab/>
      </w:r>
    </w:p>
    <w:p w14:paraId="3D70855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边际贡献总额</w:t>
      </w:r>
    </w:p>
    <w:p w14:paraId="16FD359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24F10EA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本量利分析法的最关键的问题就是计算出盈亏平衡点。故选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6A5A1AF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154754D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下列各项指标中，与保本点呈同向变化关系的有（  ）。</w:t>
      </w:r>
    </w:p>
    <w:p w14:paraId="0067955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单位售价</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 xml:space="preserve">               B.</w:t>
      </w:r>
      <w:r>
        <w:rPr>
          <w:rFonts w:hint="eastAsia" w:ascii="宋体" w:hAnsi="宋体" w:eastAsia="宋体" w:cs="宋体"/>
          <w:color w:val="auto"/>
          <w:sz w:val="21"/>
          <w:szCs w:val="21"/>
        </w:rPr>
        <w:t>预计销量</w:t>
      </w:r>
    </w:p>
    <w:p w14:paraId="4B1C64B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固定成本总额</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单位变动成本</w:t>
      </w:r>
    </w:p>
    <w:p w14:paraId="05CAF83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CD</w:t>
      </w:r>
    </w:p>
    <w:p w14:paraId="46C0577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保本销售量＝固定成本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（单价－单位变动成本）。可以看出，固定成本总额和单位变动成本与保本点销售量同方向变化；单位售价与保本点销售量反方向变化；预计销售量与保本点销售量无关。故选</w:t>
      </w:r>
      <w:r>
        <w:rPr>
          <w:rFonts w:hint="eastAsia" w:ascii="宋体" w:hAnsi="宋体" w:eastAsia="宋体" w:cs="宋体"/>
          <w:color w:val="auto"/>
          <w:sz w:val="21"/>
          <w:szCs w:val="21"/>
          <w:lang w:val="en-US" w:eastAsia="zh-CN"/>
        </w:rPr>
        <w:t>CD</w:t>
      </w:r>
      <w:r>
        <w:rPr>
          <w:rFonts w:hint="eastAsia" w:ascii="宋体" w:hAnsi="宋体" w:eastAsia="宋体" w:cs="宋体"/>
          <w:color w:val="auto"/>
          <w:sz w:val="21"/>
          <w:szCs w:val="21"/>
        </w:rPr>
        <w:t>项。</w:t>
      </w:r>
    </w:p>
    <w:p w14:paraId="0D25D1A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1A7C5E6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若企业处于盈亏临界状态，以下说法正确的是（  ）。</w:t>
      </w:r>
    </w:p>
    <w:p w14:paraId="0FA8308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此时销售额正处于销售收入线与总成本的交点</w:t>
      </w:r>
    </w:p>
    <w:p w14:paraId="750F852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此时的营业销售利润等于零</w:t>
      </w:r>
    </w:p>
    <w:p w14:paraId="3A83628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此时的边际贡献等于固定成本</w:t>
      </w:r>
    </w:p>
    <w:p w14:paraId="14A0980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此时的固定成本等于零</w:t>
      </w:r>
    </w:p>
    <w:p w14:paraId="53C8AF1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ABC</w:t>
      </w:r>
    </w:p>
    <w:p w14:paraId="7F2822E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盈亏临界状态是能使企业利润为零，处于不盈不亏的状态，其标志是：销售收入线与总成本线相交、收入总额与成本总额相等、边际贡献等于固定成本。故选</w:t>
      </w:r>
      <w:r>
        <w:rPr>
          <w:rFonts w:hint="eastAsia" w:ascii="宋体" w:hAnsi="宋体" w:eastAsia="宋体" w:cs="宋体"/>
          <w:color w:val="auto"/>
          <w:sz w:val="21"/>
          <w:szCs w:val="21"/>
          <w:lang w:val="en-US" w:eastAsia="zh-CN"/>
        </w:rPr>
        <w:t>ABC</w:t>
      </w:r>
      <w:r>
        <w:rPr>
          <w:rFonts w:hint="eastAsia" w:ascii="宋体" w:hAnsi="宋体" w:eastAsia="宋体" w:cs="宋体"/>
          <w:color w:val="auto"/>
          <w:sz w:val="21"/>
          <w:szCs w:val="21"/>
        </w:rPr>
        <w:t>项。</w:t>
      </w:r>
    </w:p>
    <w:p w14:paraId="74EF344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74CCD68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根据本量利分析，提高安全边际量不降低盈亏平衡点销量的是（  ）。</w:t>
      </w:r>
    </w:p>
    <w:p w14:paraId="75D93AC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增加产销量                       </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降低单位变动成本</w:t>
      </w:r>
    </w:p>
    <w:p w14:paraId="0244CEF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压缩固定成本                   </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提高单价</w:t>
      </w:r>
    </w:p>
    <w:p w14:paraId="4D0334B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23C0F59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盈亏平衡点销售量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固定成本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单位变动成本），安全边际量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正常销售量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盈亏平衡点销售量，由此公式可以看出产销量增加导致安全边际量增加，但不影响盈亏平衡点的销量。</w:t>
      </w:r>
    </w:p>
    <w:p w14:paraId="5870CCA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76B1CD5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728FCDE8">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某公司产销一种产品，变动成本率为</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，盈亏平衡点作业率为</w:t>
      </w:r>
      <w:r>
        <w:rPr>
          <w:rFonts w:hint="eastAsia" w:ascii="宋体" w:hAnsi="宋体" w:eastAsia="宋体" w:cs="宋体"/>
          <w:color w:val="auto"/>
          <w:sz w:val="21"/>
          <w:szCs w:val="21"/>
          <w:lang w:val="en-US" w:eastAsia="zh-CN"/>
        </w:rPr>
        <w:t>70%</w:t>
      </w:r>
      <w:r>
        <w:rPr>
          <w:rFonts w:hint="eastAsia" w:ascii="宋体" w:hAnsi="宋体" w:eastAsia="宋体" w:cs="宋体"/>
          <w:color w:val="auto"/>
          <w:sz w:val="21"/>
          <w:szCs w:val="21"/>
        </w:rPr>
        <w:t>，则销售利润率为（  ）。</w:t>
      </w:r>
    </w:p>
    <w:p w14:paraId="608C9C4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A.18%            </w:t>
      </w:r>
    </w:p>
    <w:p w14:paraId="14FDACC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B.28%           </w:t>
      </w:r>
    </w:p>
    <w:p w14:paraId="38AA7804">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C.12%               </w:t>
      </w:r>
    </w:p>
    <w:p w14:paraId="711CCDD1">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D.42%</w:t>
      </w:r>
    </w:p>
    <w:p w14:paraId="1DF95C5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4110EF7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销售利润率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安全边际率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边际贡献率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w:t>
      </w:r>
    </w:p>
    <w:p w14:paraId="30F6437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2BACD55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某产品实际销售量为</w:t>
      </w:r>
      <w:r>
        <w:rPr>
          <w:rFonts w:hint="eastAsia" w:ascii="宋体" w:hAnsi="宋体" w:eastAsia="宋体" w:cs="宋体"/>
          <w:color w:val="auto"/>
          <w:sz w:val="21"/>
          <w:szCs w:val="21"/>
          <w:lang w:val="en-US" w:eastAsia="zh-CN"/>
        </w:rPr>
        <w:t>8000</w:t>
      </w:r>
      <w:r>
        <w:rPr>
          <w:rFonts w:hint="eastAsia" w:ascii="宋体" w:hAnsi="宋体" w:eastAsia="宋体" w:cs="宋体"/>
          <w:color w:val="auto"/>
          <w:sz w:val="21"/>
          <w:szCs w:val="21"/>
        </w:rPr>
        <w:t>件，单价为</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元，单位变动成本为</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元，固定成本总额为</w:t>
      </w:r>
      <w:r>
        <w:rPr>
          <w:rFonts w:hint="eastAsia" w:ascii="宋体" w:hAnsi="宋体" w:eastAsia="宋体" w:cs="宋体"/>
          <w:color w:val="auto"/>
          <w:sz w:val="21"/>
          <w:szCs w:val="21"/>
          <w:lang w:val="en-US" w:eastAsia="zh-CN"/>
        </w:rPr>
        <w:t>36000</w:t>
      </w:r>
      <w:r>
        <w:rPr>
          <w:rFonts w:hint="eastAsia" w:ascii="宋体" w:hAnsi="宋体" w:eastAsia="宋体" w:cs="宋体"/>
          <w:color w:val="auto"/>
          <w:sz w:val="21"/>
          <w:szCs w:val="21"/>
        </w:rPr>
        <w:t>元。则该产品的安全边际率为（  ）。</w:t>
      </w:r>
    </w:p>
    <w:p w14:paraId="42015F1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A.25%                   B.40%              C.60%                D.75%</w:t>
      </w:r>
    </w:p>
    <w:p w14:paraId="4899E487">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405940B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保本销售量</w:t>
      </w:r>
      <w:r>
        <w:rPr>
          <w:rFonts w:hint="eastAsia" w:ascii="宋体" w:hAnsi="宋体" w:eastAsia="宋体" w:cs="宋体"/>
          <w:color w:val="auto"/>
          <w:sz w:val="21"/>
          <w:szCs w:val="21"/>
          <w:lang w:val="en-US" w:eastAsia="zh-CN"/>
        </w:rPr>
        <w:t>=36000/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=2000</w:t>
      </w:r>
      <w:r>
        <w:rPr>
          <w:rFonts w:hint="eastAsia" w:ascii="宋体" w:hAnsi="宋体" w:eastAsia="宋体" w:cs="宋体"/>
          <w:color w:val="auto"/>
          <w:sz w:val="21"/>
          <w:szCs w:val="21"/>
        </w:rPr>
        <w:t>（件）安全边际量</w:t>
      </w:r>
      <w:r>
        <w:rPr>
          <w:rFonts w:hint="eastAsia" w:ascii="宋体" w:hAnsi="宋体" w:eastAsia="宋体" w:cs="宋体"/>
          <w:color w:val="auto"/>
          <w:sz w:val="21"/>
          <w:szCs w:val="21"/>
          <w:lang w:val="en-US" w:eastAsia="zh-CN"/>
        </w:rPr>
        <w:t>=8000-2000=6000</w:t>
      </w:r>
      <w:r>
        <w:rPr>
          <w:rFonts w:hint="eastAsia" w:ascii="宋体" w:hAnsi="宋体" w:eastAsia="宋体" w:cs="宋体"/>
          <w:color w:val="auto"/>
          <w:sz w:val="21"/>
          <w:szCs w:val="21"/>
        </w:rPr>
        <w:t>（件）</w:t>
      </w:r>
    </w:p>
    <w:p w14:paraId="378F509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安全边际率</w:t>
      </w:r>
      <w:r>
        <w:rPr>
          <w:rFonts w:hint="eastAsia" w:ascii="宋体" w:hAnsi="宋体" w:eastAsia="宋体" w:cs="宋体"/>
          <w:color w:val="auto"/>
          <w:sz w:val="21"/>
          <w:szCs w:val="21"/>
          <w:lang w:val="en-US" w:eastAsia="zh-CN"/>
        </w:rPr>
        <w:t>=6000/8000×100%=75%</w:t>
      </w:r>
      <w:r>
        <w:rPr>
          <w:rFonts w:hint="eastAsia" w:ascii="宋体" w:hAnsi="宋体" w:eastAsia="宋体" w:cs="宋体"/>
          <w:color w:val="auto"/>
          <w:sz w:val="21"/>
          <w:szCs w:val="21"/>
        </w:rPr>
        <w:t>，所以选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w:t>
      </w:r>
    </w:p>
    <w:p w14:paraId="70C8BBEB">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p>
    <w:p w14:paraId="03422695">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某公司生产和销售某单一产品，预计计划年度销售量为</w:t>
      </w:r>
      <w:r>
        <w:rPr>
          <w:rFonts w:hint="eastAsia" w:ascii="宋体" w:hAnsi="宋体" w:eastAsia="宋体" w:cs="宋体"/>
          <w:color w:val="auto"/>
          <w:sz w:val="21"/>
          <w:szCs w:val="21"/>
          <w:lang w:val="en-US" w:eastAsia="zh-CN"/>
        </w:rPr>
        <w:t>10000</w:t>
      </w:r>
      <w:r>
        <w:rPr>
          <w:rFonts w:hint="eastAsia" w:ascii="宋体" w:hAnsi="宋体" w:eastAsia="宋体" w:cs="宋体"/>
          <w:color w:val="auto"/>
          <w:sz w:val="21"/>
          <w:szCs w:val="21"/>
        </w:rPr>
        <w:t>件，单价</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元，单位变动成本</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元，固定成本为</w:t>
      </w:r>
      <w:r>
        <w:rPr>
          <w:rFonts w:hint="eastAsia" w:ascii="宋体" w:hAnsi="宋体" w:eastAsia="宋体" w:cs="宋体"/>
          <w:color w:val="auto"/>
          <w:sz w:val="21"/>
          <w:szCs w:val="21"/>
          <w:lang w:val="en-US" w:eastAsia="zh-CN"/>
        </w:rPr>
        <w:t>200000</w:t>
      </w:r>
      <w:r>
        <w:rPr>
          <w:rFonts w:hint="eastAsia" w:ascii="宋体" w:hAnsi="宋体" w:eastAsia="宋体" w:cs="宋体"/>
          <w:color w:val="auto"/>
          <w:sz w:val="21"/>
          <w:szCs w:val="21"/>
        </w:rPr>
        <w:t>元，假设销售单价增长了</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，则销售单价的敏感系数（即息税前利润变化百分比相当于单价变化百分比的倍数）为（  ）。</w:t>
      </w:r>
    </w:p>
    <w:p w14:paraId="72D60869">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A.3.75                B.1              C.3                    D.0.1</w:t>
      </w:r>
    </w:p>
    <w:p w14:paraId="465DF05C">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3B1B082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目前的息税前利润＝</w:t>
      </w:r>
      <w:r>
        <w:rPr>
          <w:rFonts w:hint="eastAsia" w:ascii="宋体" w:hAnsi="宋体" w:eastAsia="宋体" w:cs="宋体"/>
          <w:color w:val="auto"/>
          <w:sz w:val="21"/>
          <w:szCs w:val="21"/>
          <w:lang w:val="en-US" w:eastAsia="zh-CN"/>
        </w:rPr>
        <w:t>10000×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800000</w:t>
      </w:r>
      <w:r>
        <w:rPr>
          <w:rFonts w:hint="eastAsia" w:ascii="宋体" w:hAnsi="宋体" w:eastAsia="宋体" w:cs="宋体"/>
          <w:color w:val="auto"/>
          <w:sz w:val="21"/>
          <w:szCs w:val="21"/>
        </w:rPr>
        <w:t>（元），销售单价增长</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导致销售收入增加</w:t>
      </w:r>
      <w:r>
        <w:rPr>
          <w:rFonts w:hint="eastAsia" w:ascii="宋体" w:hAnsi="宋体" w:eastAsia="宋体" w:cs="宋体"/>
          <w:color w:val="auto"/>
          <w:sz w:val="21"/>
          <w:szCs w:val="21"/>
          <w:lang w:val="en-US" w:eastAsia="zh-CN"/>
        </w:rPr>
        <w:t>10000×300×10%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300000</w:t>
      </w:r>
      <w:r>
        <w:rPr>
          <w:rFonts w:hint="eastAsia" w:ascii="宋体" w:hAnsi="宋体" w:eastAsia="宋体" w:cs="宋体"/>
          <w:color w:val="auto"/>
          <w:sz w:val="21"/>
          <w:szCs w:val="21"/>
        </w:rPr>
        <w:t>（元），息税前利润增加</w:t>
      </w:r>
      <w:r>
        <w:rPr>
          <w:rFonts w:hint="eastAsia" w:ascii="宋体" w:hAnsi="宋体" w:eastAsia="宋体" w:cs="宋体"/>
          <w:color w:val="auto"/>
          <w:sz w:val="21"/>
          <w:szCs w:val="21"/>
          <w:lang w:val="en-US" w:eastAsia="zh-CN"/>
        </w:rPr>
        <w:t>300000</w:t>
      </w:r>
      <w:r>
        <w:rPr>
          <w:rFonts w:hint="eastAsia" w:ascii="宋体" w:hAnsi="宋体" w:eastAsia="宋体" w:cs="宋体"/>
          <w:color w:val="auto"/>
          <w:sz w:val="21"/>
          <w:szCs w:val="21"/>
        </w:rPr>
        <w:t>元，息税前利润增长率＝</w:t>
      </w:r>
      <w:r>
        <w:rPr>
          <w:rFonts w:hint="eastAsia" w:ascii="宋体" w:hAnsi="宋体" w:eastAsia="宋体" w:cs="宋体"/>
          <w:color w:val="auto"/>
          <w:sz w:val="21"/>
          <w:szCs w:val="21"/>
          <w:lang w:val="en-US" w:eastAsia="zh-CN"/>
        </w:rPr>
        <w:t>300000/800000×100%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37.5%</w:t>
      </w:r>
      <w:r>
        <w:rPr>
          <w:rFonts w:hint="eastAsia" w:ascii="宋体" w:hAnsi="宋体" w:eastAsia="宋体" w:cs="宋体"/>
          <w:color w:val="auto"/>
          <w:sz w:val="21"/>
          <w:szCs w:val="21"/>
        </w:rPr>
        <w:t>，所以，单价敏感系数＝</w:t>
      </w:r>
      <w:r>
        <w:rPr>
          <w:rFonts w:hint="eastAsia" w:ascii="宋体" w:hAnsi="宋体" w:eastAsia="宋体" w:cs="宋体"/>
          <w:color w:val="auto"/>
          <w:sz w:val="21"/>
          <w:szCs w:val="21"/>
          <w:lang w:val="en-US" w:eastAsia="zh-CN"/>
        </w:rPr>
        <w:t>37.5%/10%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3.75</w:t>
      </w:r>
      <w:r>
        <w:rPr>
          <w:rFonts w:hint="eastAsia" w:ascii="宋体" w:hAnsi="宋体" w:eastAsia="宋体" w:cs="宋体"/>
          <w:color w:val="auto"/>
          <w:sz w:val="21"/>
          <w:szCs w:val="21"/>
        </w:rPr>
        <w:t>。</w:t>
      </w:r>
    </w:p>
    <w:p w14:paraId="49238AB3">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0B89307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在单一产品本量利分析中，下列成立的有（  ）。</w:t>
      </w:r>
    </w:p>
    <w:p w14:paraId="10E74DAA">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盈亏平衡点作业率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安全边际率</w:t>
      </w:r>
      <w:r>
        <w:rPr>
          <w:rFonts w:hint="eastAsia" w:ascii="宋体" w:hAnsi="宋体" w:eastAsia="宋体" w:cs="宋体"/>
          <w:color w:val="auto"/>
          <w:sz w:val="21"/>
          <w:szCs w:val="21"/>
          <w:lang w:val="en-US" w:eastAsia="zh-CN"/>
        </w:rPr>
        <w:t xml:space="preserve">=1         </w:t>
      </w:r>
    </w:p>
    <w:p w14:paraId="2E2B0EA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变动成本率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营业毛利率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边际贡献率</w:t>
      </w:r>
    </w:p>
    <w:p w14:paraId="6E87A09D">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安全边际率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边际贡献率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 xml:space="preserve">销售利润率     </w:t>
      </w:r>
    </w:p>
    <w:p w14:paraId="10FDADAF">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变动成本率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边际贡献率</w:t>
      </w:r>
      <w:r>
        <w:rPr>
          <w:rFonts w:hint="eastAsia" w:ascii="宋体" w:hAnsi="宋体" w:eastAsia="宋体" w:cs="宋体"/>
          <w:color w:val="auto"/>
          <w:sz w:val="21"/>
          <w:szCs w:val="21"/>
          <w:lang w:val="en-US" w:eastAsia="zh-CN"/>
        </w:rPr>
        <w:t>=1</w:t>
      </w:r>
    </w:p>
    <w:p w14:paraId="68405ABE">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ACD</w:t>
      </w:r>
    </w:p>
    <w:p w14:paraId="69A595D0">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边际贡献率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单位变动成本）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单位变动成本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单价</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变动成本率，故选项</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错误，选项</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正确。</w:t>
      </w:r>
    </w:p>
    <w:p w14:paraId="7962F3E6">
      <w:pPr>
        <w:pStyle w:val="3"/>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rPr>
          <w:rFonts w:hint="eastAsia" w:ascii="宋体" w:hAnsi="宋体" w:eastAsia="宋体" w:cs="宋体"/>
          <w:color w:val="auto"/>
          <w:sz w:val="21"/>
          <w:szCs w:val="21"/>
        </w:rPr>
      </w:pPr>
    </w:p>
    <w:p w14:paraId="187CDE7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第八章  成本</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管理</w:t>
      </w:r>
    </w:p>
    <w:p w14:paraId="1516263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322F749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【例·判断题】根据基本的本量利分析图，在销售量不变的情况下，保本点越低，盈利区越小、亏损区越大。（  ）</w:t>
      </w:r>
      <w:r>
        <w:rPr>
          <w:rFonts w:hint="eastAsia" w:ascii="宋体" w:hAnsi="宋体" w:eastAsia="宋体" w:cs="宋体"/>
          <w:sz w:val="21"/>
          <w:szCs w:val="21"/>
        </w:rPr>
        <w:br w:type="textWrapping"/>
      </w: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解析：在基本的本量利分析图中，横坐标代表销售量，以  纵坐标代表收入和成本，则销售收入线和总成本线的交点就是保本点，在保本点左边两条直线之间的区域的是亏损区，在保本点右边两条直线之间的区域表示盈利区，因此保本点越低，亏损区会越小，盈利区会越大。</w:t>
      </w:r>
    </w:p>
    <w:p w14:paraId="1EA821E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6705C2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【例·计算分析题】某企业生产甲产品，售价为100元/件，变动成本率60%，固定成本总额500 000元，当年预计产销量20 000件。</w:t>
      </w:r>
      <w:r>
        <w:rPr>
          <w:rFonts w:hint="eastAsia" w:ascii="宋体" w:hAnsi="宋体" w:eastAsia="宋体" w:cs="宋体"/>
          <w:sz w:val="21"/>
          <w:szCs w:val="21"/>
        </w:rPr>
        <w:br w:type="textWrapping"/>
      </w: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（1）计算盈亏平衡销售量、盈亏平衡销售额、盈亏平衡作业率；</w:t>
      </w:r>
      <w:r>
        <w:rPr>
          <w:rFonts w:hint="eastAsia" w:ascii="宋体" w:hAnsi="宋体" w:eastAsia="宋体" w:cs="宋体"/>
          <w:sz w:val="21"/>
          <w:szCs w:val="21"/>
        </w:rPr>
        <w:br w:type="textWrapping"/>
      </w:r>
      <w:r>
        <w:rPr>
          <w:rFonts w:hint="eastAsia" w:ascii="宋体" w:hAnsi="宋体" w:eastAsia="宋体" w:cs="宋体"/>
          <w:sz w:val="21"/>
          <w:szCs w:val="21"/>
        </w:rPr>
        <w:t>（2）计算安全边际量、安全边际额、安全边际率；</w:t>
      </w:r>
      <w:r>
        <w:rPr>
          <w:rFonts w:hint="eastAsia" w:ascii="宋体" w:hAnsi="宋体" w:eastAsia="宋体" w:cs="宋体"/>
          <w:sz w:val="21"/>
          <w:szCs w:val="21"/>
        </w:rPr>
        <w:br w:type="textWrapping"/>
      </w:r>
      <w:r>
        <w:rPr>
          <w:rFonts w:hint="eastAsia" w:ascii="宋体" w:hAnsi="宋体" w:eastAsia="宋体" w:cs="宋体"/>
          <w:sz w:val="21"/>
          <w:szCs w:val="21"/>
        </w:rPr>
        <w:t>（3）计算安全边际中的边际贡献；</w:t>
      </w:r>
      <w:r>
        <w:rPr>
          <w:rFonts w:hint="eastAsia" w:ascii="宋体" w:hAnsi="宋体" w:eastAsia="宋体" w:cs="宋体"/>
          <w:sz w:val="21"/>
          <w:szCs w:val="21"/>
        </w:rPr>
        <w:br w:type="textWrapping"/>
      </w:r>
      <w:r>
        <w:rPr>
          <w:rFonts w:hint="eastAsia" w:ascii="宋体" w:hAnsi="宋体" w:eastAsia="宋体" w:cs="宋体"/>
          <w:sz w:val="21"/>
          <w:szCs w:val="21"/>
        </w:rPr>
        <w:t>（4）计算销售利润率；</w:t>
      </w:r>
      <w:r>
        <w:rPr>
          <w:rFonts w:hint="eastAsia" w:ascii="宋体" w:hAnsi="宋体" w:eastAsia="宋体" w:cs="宋体"/>
          <w:sz w:val="21"/>
          <w:szCs w:val="21"/>
        </w:rPr>
        <w:br w:type="textWrapping"/>
      </w:r>
      <w:r>
        <w:rPr>
          <w:rFonts w:hint="eastAsia" w:ascii="宋体" w:hAnsi="宋体" w:eastAsia="宋体" w:cs="宋体"/>
          <w:sz w:val="21"/>
          <w:szCs w:val="21"/>
        </w:rPr>
        <w:t>（5）判断该企业经营安全程度，并说明理由。</w:t>
      </w:r>
    </w:p>
    <w:p w14:paraId="5C023DB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（1）盈亏平衡销售量=500 000/（100-100×60%）=12 500（件）</w:t>
      </w:r>
      <w:r>
        <w:rPr>
          <w:rFonts w:hint="eastAsia" w:ascii="宋体" w:hAnsi="宋体" w:eastAsia="宋体" w:cs="宋体"/>
          <w:sz w:val="21"/>
          <w:szCs w:val="21"/>
        </w:rPr>
        <w:br w:type="textWrapping"/>
      </w:r>
      <w:r>
        <w:rPr>
          <w:rFonts w:hint="eastAsia" w:ascii="宋体" w:hAnsi="宋体" w:eastAsia="宋体" w:cs="宋体"/>
          <w:sz w:val="21"/>
          <w:szCs w:val="21"/>
        </w:rPr>
        <w:t>盈亏平衡销售额=500 000/（1-60%）=1 250 000（元）或：盈亏平衡销售额=12 500×100=1 250 000（元）</w:t>
      </w:r>
      <w:r>
        <w:rPr>
          <w:rFonts w:hint="eastAsia" w:ascii="宋体" w:hAnsi="宋体" w:eastAsia="宋体" w:cs="宋体"/>
          <w:sz w:val="21"/>
          <w:szCs w:val="21"/>
        </w:rPr>
        <w:br w:type="textWrapping"/>
      </w:r>
      <w:r>
        <w:rPr>
          <w:rFonts w:hint="eastAsia" w:ascii="宋体" w:hAnsi="宋体" w:eastAsia="宋体" w:cs="宋体"/>
          <w:sz w:val="21"/>
          <w:szCs w:val="21"/>
        </w:rPr>
        <w:t>盈亏平衡作业率=12 500/20 000×100%=62.5%</w:t>
      </w:r>
    </w:p>
    <w:p w14:paraId="01D2735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（2）安全边际量=20 000-12 500=7 500（件）</w:t>
      </w:r>
      <w:r>
        <w:rPr>
          <w:rFonts w:hint="eastAsia" w:ascii="宋体" w:hAnsi="宋体" w:eastAsia="宋体" w:cs="宋体"/>
          <w:sz w:val="21"/>
          <w:szCs w:val="21"/>
        </w:rPr>
        <w:br w:type="textWrapping"/>
      </w:r>
      <w:r>
        <w:rPr>
          <w:rFonts w:hint="eastAsia" w:ascii="宋体" w:hAnsi="宋体" w:eastAsia="宋体" w:cs="宋体"/>
          <w:sz w:val="21"/>
          <w:szCs w:val="21"/>
        </w:rPr>
        <w:t>安全边际额=20 000×100-1 250 000=750 000（元）</w:t>
      </w:r>
      <w:r>
        <w:rPr>
          <w:rFonts w:hint="eastAsia" w:ascii="宋体" w:hAnsi="宋体" w:eastAsia="宋体" w:cs="宋体"/>
          <w:sz w:val="21"/>
          <w:szCs w:val="21"/>
        </w:rPr>
        <w:br w:type="textWrapping"/>
      </w:r>
      <w:r>
        <w:rPr>
          <w:rFonts w:hint="eastAsia" w:ascii="宋体" w:hAnsi="宋体" w:eastAsia="宋体" w:cs="宋体"/>
          <w:sz w:val="21"/>
          <w:szCs w:val="21"/>
        </w:rPr>
        <w:t>安全边际率=7 500/20 000×100%=37.5%</w:t>
      </w:r>
      <w:r>
        <w:rPr>
          <w:rFonts w:hint="eastAsia" w:ascii="宋体" w:hAnsi="宋体" w:eastAsia="宋体" w:cs="宋体"/>
          <w:sz w:val="21"/>
          <w:szCs w:val="21"/>
        </w:rPr>
        <w:br w:type="textWrapping"/>
      </w:r>
      <w:r>
        <w:rPr>
          <w:rFonts w:hint="eastAsia" w:ascii="宋体" w:hAnsi="宋体" w:eastAsia="宋体" w:cs="宋体"/>
          <w:sz w:val="21"/>
          <w:szCs w:val="21"/>
        </w:rPr>
        <w:t>或：安全边际率=750 000/2 000000×100%=37.5%</w:t>
      </w:r>
      <w:r>
        <w:rPr>
          <w:rFonts w:hint="eastAsia" w:ascii="宋体" w:hAnsi="宋体" w:eastAsia="宋体" w:cs="宋体"/>
          <w:sz w:val="21"/>
          <w:szCs w:val="21"/>
        </w:rPr>
        <w:br w:type="textWrapping"/>
      </w:r>
      <w:r>
        <w:rPr>
          <w:rFonts w:hint="eastAsia" w:ascii="宋体" w:hAnsi="宋体" w:eastAsia="宋体" w:cs="宋体"/>
          <w:sz w:val="21"/>
          <w:szCs w:val="21"/>
        </w:rPr>
        <w:t>安全边际率=1-62.5%=37.5%</w:t>
      </w:r>
      <w:r>
        <w:rPr>
          <w:rFonts w:hint="eastAsia" w:ascii="宋体" w:hAnsi="宋体" w:eastAsia="宋体" w:cs="宋体"/>
          <w:sz w:val="21"/>
          <w:szCs w:val="21"/>
        </w:rPr>
        <w:br w:type="textWrapping"/>
      </w:r>
      <w:r>
        <w:rPr>
          <w:rFonts w:hint="eastAsia" w:ascii="宋体" w:hAnsi="宋体" w:eastAsia="宋体" w:cs="宋体"/>
          <w:sz w:val="21"/>
          <w:szCs w:val="21"/>
        </w:rPr>
        <w:t>（3）安全边际中的边际贡献=750 000×（1-60%）=300 000（元）</w:t>
      </w:r>
      <w:r>
        <w:rPr>
          <w:rFonts w:hint="eastAsia" w:ascii="宋体" w:hAnsi="宋体" w:eastAsia="宋体" w:cs="宋体"/>
          <w:sz w:val="21"/>
          <w:szCs w:val="21"/>
        </w:rPr>
        <w:br w:type="textWrapping"/>
      </w:r>
      <w:r>
        <w:rPr>
          <w:rFonts w:hint="eastAsia" w:ascii="宋体" w:hAnsi="宋体" w:eastAsia="宋体" w:cs="宋体"/>
          <w:sz w:val="21"/>
          <w:szCs w:val="21"/>
        </w:rPr>
        <w:t>（4）销售利润率=300 000/2 000 000×100%=15%</w:t>
      </w:r>
      <w:r>
        <w:rPr>
          <w:rFonts w:hint="eastAsia" w:ascii="宋体" w:hAnsi="宋体" w:eastAsia="宋体" w:cs="宋体"/>
          <w:sz w:val="21"/>
          <w:szCs w:val="21"/>
        </w:rPr>
        <w:br w:type="textWrapping"/>
      </w:r>
      <w:r>
        <w:rPr>
          <w:rFonts w:hint="eastAsia" w:ascii="宋体" w:hAnsi="宋体" w:eastAsia="宋体" w:cs="宋体"/>
          <w:sz w:val="21"/>
          <w:szCs w:val="21"/>
        </w:rPr>
        <w:t>或：销售利润率=（1-60%）×37.5%=15%</w:t>
      </w:r>
    </w:p>
    <w:p w14:paraId="56EE0F6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（5）该企业经营安全程度处在安全。</w:t>
      </w:r>
      <w:r>
        <w:rPr>
          <w:rFonts w:hint="eastAsia" w:ascii="宋体" w:hAnsi="宋体" w:eastAsia="宋体" w:cs="宋体"/>
          <w:sz w:val="21"/>
          <w:szCs w:val="21"/>
        </w:rPr>
        <w:br w:type="textWrapping"/>
      </w:r>
      <w:r>
        <w:rPr>
          <w:rFonts w:hint="eastAsia" w:ascii="宋体" w:hAnsi="宋体" w:eastAsia="宋体" w:cs="宋体"/>
          <w:sz w:val="21"/>
          <w:szCs w:val="21"/>
        </w:rPr>
        <w:t>理由：该企业安全边际率为37.5%，处在30%～40% 之间。</w:t>
      </w:r>
    </w:p>
    <w:p w14:paraId="09D5BFD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A639EE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【例·综合题】己公司长期以来只生产X产品，有关资料如下：</w:t>
      </w:r>
      <w:r>
        <w:rPr>
          <w:rFonts w:hint="eastAsia" w:ascii="宋体" w:hAnsi="宋体" w:eastAsia="宋体" w:cs="宋体"/>
          <w:sz w:val="21"/>
          <w:szCs w:val="21"/>
        </w:rPr>
        <w:br w:type="textWrapping"/>
      </w:r>
      <w:r>
        <w:rPr>
          <w:rFonts w:hint="eastAsia" w:ascii="宋体" w:hAnsi="宋体" w:eastAsia="宋体" w:cs="宋体"/>
          <w:sz w:val="21"/>
          <w:szCs w:val="21"/>
        </w:rPr>
        <w:t>资料一：2016年度X产品实际销售量为600万件，销售单价为30元，单位变动成本为16元，固定成本总额为2800万元，假设2017年X产品单价和成本性态保持不变。</w:t>
      </w:r>
      <w:r>
        <w:rPr>
          <w:rFonts w:hint="eastAsia" w:ascii="宋体" w:hAnsi="宋体" w:eastAsia="宋体" w:cs="宋体"/>
          <w:sz w:val="21"/>
          <w:szCs w:val="21"/>
        </w:rPr>
        <w:br w:type="textWrapping"/>
      </w:r>
      <w:r>
        <w:rPr>
          <w:rFonts w:hint="eastAsia" w:ascii="宋体" w:hAnsi="宋体" w:eastAsia="宋体" w:cs="宋体"/>
          <w:sz w:val="21"/>
          <w:szCs w:val="21"/>
        </w:rPr>
        <w:t>资料二：公司按照指数平滑法对各年销售量进行预测，平滑指数为0.7。2015年公司预测的2016年销售量为640 万件。</w:t>
      </w:r>
    </w:p>
    <w:p w14:paraId="6C66340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资料三：为了提升产品市场占有率，公司决定2017年放宽X  产品销售的信用条件，延长信用期，预计销售量将增加120万件，收账费用和坏账损失将增加350万元，应收账款年平均占有资金将增加1700万元，资本成本率为6%。</w:t>
      </w:r>
      <w:r>
        <w:rPr>
          <w:rFonts w:hint="eastAsia" w:ascii="宋体" w:hAnsi="宋体" w:eastAsia="宋体" w:cs="宋体"/>
          <w:sz w:val="21"/>
          <w:szCs w:val="21"/>
        </w:rPr>
        <w:br w:type="textWrapping"/>
      </w:r>
      <w:r>
        <w:rPr>
          <w:rFonts w:hint="eastAsia" w:ascii="宋体" w:hAnsi="宋体" w:eastAsia="宋体" w:cs="宋体"/>
          <w:sz w:val="21"/>
          <w:szCs w:val="21"/>
        </w:rPr>
        <w:t>资料四：2017年度公司发现新的商机，决定利用现有剩余生产能力，并添置少量辅助生产设备，生产一种新产品Y。预计Y 产品的销售量为300万件，销售单价为36元，单位变动成本为20万元，固定成本每年增加600万元，与此同时，X产品的销售会受到一定冲击，其年销售量将在原来基础上减少200万件。</w:t>
      </w:r>
    </w:p>
    <w:p w14:paraId="0F87DDE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要求：（1）根据资料一，计算2016年度下列指标：①边际贡献总额；②保本点销售量；③安全边际额；④安全边际率。</w:t>
      </w:r>
      <w:r>
        <w:rPr>
          <w:rFonts w:hint="eastAsia" w:ascii="宋体" w:hAnsi="宋体" w:eastAsia="宋体" w:cs="宋体"/>
          <w:sz w:val="21"/>
          <w:szCs w:val="21"/>
        </w:rPr>
        <w:br w:type="textWrapping"/>
      </w:r>
      <w:r>
        <w:rPr>
          <w:rFonts w:hint="eastAsia" w:ascii="宋体" w:hAnsi="宋体" w:eastAsia="宋体" w:cs="宋体"/>
          <w:sz w:val="21"/>
          <w:szCs w:val="21"/>
        </w:rPr>
        <w:t>（2）根据资料一和资料二，完成下列要求：①采用指数平  滑法预测2017年度X产品的销售量；②以2016年为基期计算经营杠杆系数；③预测2017年息税前利润增长率。</w:t>
      </w:r>
      <w:r>
        <w:rPr>
          <w:rFonts w:hint="eastAsia" w:ascii="宋体" w:hAnsi="宋体" w:eastAsia="宋体" w:cs="宋体"/>
          <w:sz w:val="21"/>
          <w:szCs w:val="21"/>
        </w:rPr>
        <w:br w:type="textWrapping"/>
      </w:r>
      <w:r>
        <w:rPr>
          <w:rFonts w:hint="eastAsia" w:ascii="宋体" w:hAnsi="宋体" w:eastAsia="宋体" w:cs="宋体"/>
          <w:sz w:val="21"/>
          <w:szCs w:val="21"/>
        </w:rPr>
        <w:t>（3）根据资料一和资料三，计算公司因调整信用政策而预计增加的相关收益（边际贡献）、相关成本和相关资料，并据此判断改变信用条件是否对公司有利。</w:t>
      </w:r>
      <w:r>
        <w:rPr>
          <w:rFonts w:hint="eastAsia" w:ascii="宋体" w:hAnsi="宋体" w:eastAsia="宋体" w:cs="宋体"/>
          <w:sz w:val="21"/>
          <w:szCs w:val="21"/>
        </w:rPr>
        <w:br w:type="textWrapping"/>
      </w:r>
      <w:r>
        <w:rPr>
          <w:rFonts w:hint="eastAsia" w:ascii="宋体" w:hAnsi="宋体" w:eastAsia="宋体" w:cs="宋体"/>
          <w:sz w:val="21"/>
          <w:szCs w:val="21"/>
        </w:rPr>
        <w:t>（4）根据资料一和资料四，计算投产新产品Y为公司增加的息税前利润，并据此做出是否投产新产品Y的经营决策。</w:t>
      </w:r>
    </w:p>
    <w:p w14:paraId="501E2EC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（1）①边际贡献总额=600×（30-16）=8400（万元）</w:t>
      </w:r>
      <w:r>
        <w:rPr>
          <w:rFonts w:hint="eastAsia" w:ascii="宋体" w:hAnsi="宋体" w:eastAsia="宋体" w:cs="宋体"/>
          <w:sz w:val="21"/>
          <w:szCs w:val="21"/>
        </w:rPr>
        <w:br w:type="textWrapping"/>
      </w:r>
      <w:r>
        <w:rPr>
          <w:rFonts w:hint="eastAsia" w:ascii="宋体" w:hAnsi="宋体" w:eastAsia="宋体" w:cs="宋体"/>
          <w:sz w:val="21"/>
          <w:szCs w:val="21"/>
        </w:rPr>
        <w:t>②保本点销售量=2800/（30-16）=200（万件）</w:t>
      </w:r>
      <w:r>
        <w:rPr>
          <w:rFonts w:hint="eastAsia" w:ascii="宋体" w:hAnsi="宋体" w:eastAsia="宋体" w:cs="宋体"/>
          <w:sz w:val="21"/>
          <w:szCs w:val="21"/>
        </w:rPr>
        <w:br w:type="textWrapping"/>
      </w:r>
      <w:r>
        <w:rPr>
          <w:rFonts w:hint="eastAsia" w:ascii="宋体" w:hAnsi="宋体" w:eastAsia="宋体" w:cs="宋体"/>
          <w:sz w:val="21"/>
          <w:szCs w:val="21"/>
        </w:rPr>
        <w:t>③安全边际额=（600-200）×30=12000（万元）</w:t>
      </w:r>
      <w:r>
        <w:rPr>
          <w:rFonts w:hint="eastAsia" w:ascii="宋体" w:hAnsi="宋体" w:eastAsia="宋体" w:cs="宋体"/>
          <w:sz w:val="21"/>
          <w:szCs w:val="21"/>
        </w:rPr>
        <w:br w:type="textWrapping"/>
      </w:r>
      <w:r>
        <w:rPr>
          <w:rFonts w:hint="eastAsia" w:ascii="宋体" w:hAnsi="宋体" w:eastAsia="宋体" w:cs="宋体"/>
          <w:sz w:val="21"/>
          <w:szCs w:val="21"/>
        </w:rPr>
        <w:t>④安全边际率=（600-200）/600=66.67%</w:t>
      </w:r>
    </w:p>
    <w:p w14:paraId="38D7B1D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（2）①2017年度X产品的预计销售量=0.7×600+（1-0.7）×640=612（万件）</w:t>
      </w:r>
      <w:r>
        <w:rPr>
          <w:rFonts w:hint="eastAsia" w:ascii="宋体" w:hAnsi="宋体" w:eastAsia="宋体" w:cs="宋体"/>
          <w:sz w:val="21"/>
          <w:szCs w:val="21"/>
        </w:rPr>
        <w:br w:type="textWrapping"/>
      </w:r>
      <w:r>
        <w:rPr>
          <w:rFonts w:hint="eastAsia" w:ascii="宋体" w:hAnsi="宋体" w:eastAsia="宋体" w:cs="宋体"/>
          <w:sz w:val="21"/>
          <w:szCs w:val="21"/>
        </w:rPr>
        <w:t>②以2016年为基期计算的经营杠杆系数=8400/（8400-2800）=1.5</w:t>
      </w:r>
      <w:r>
        <w:rPr>
          <w:rFonts w:hint="eastAsia" w:ascii="宋体" w:hAnsi="宋体" w:eastAsia="宋体" w:cs="宋体"/>
          <w:sz w:val="21"/>
          <w:szCs w:val="21"/>
        </w:rPr>
        <w:br w:type="textWrapping"/>
      </w:r>
      <w:r>
        <w:rPr>
          <w:rFonts w:hint="eastAsia" w:ascii="宋体" w:hAnsi="宋体" w:eastAsia="宋体" w:cs="宋体"/>
          <w:sz w:val="21"/>
          <w:szCs w:val="21"/>
        </w:rPr>
        <w:t>③预计2017年销售量增长率=（612-600）/600×100%=2%</w:t>
      </w:r>
      <w:r>
        <w:rPr>
          <w:rFonts w:hint="eastAsia" w:ascii="宋体" w:hAnsi="宋体" w:eastAsia="宋体" w:cs="宋体"/>
          <w:sz w:val="21"/>
          <w:szCs w:val="21"/>
        </w:rPr>
        <w:br w:type="textWrapping"/>
      </w:r>
      <w:r>
        <w:rPr>
          <w:rFonts w:hint="eastAsia" w:ascii="宋体" w:hAnsi="宋体" w:eastAsia="宋体" w:cs="宋体"/>
          <w:sz w:val="21"/>
          <w:szCs w:val="21"/>
        </w:rPr>
        <w:t>预测2017年息税前利润增长率=1.5×2%×100%=3%</w:t>
      </w:r>
    </w:p>
    <w:p w14:paraId="0510791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（3）增加的相关收益=120×（30-16）=1680（万元）</w:t>
      </w:r>
      <w:r>
        <w:rPr>
          <w:rFonts w:hint="eastAsia" w:ascii="宋体" w:hAnsi="宋体" w:eastAsia="宋体" w:cs="宋体"/>
          <w:sz w:val="21"/>
          <w:szCs w:val="21"/>
        </w:rPr>
        <w:br w:type="textWrapping"/>
      </w:r>
      <w:r>
        <w:rPr>
          <w:rFonts w:hint="eastAsia" w:ascii="宋体" w:hAnsi="宋体" w:eastAsia="宋体" w:cs="宋体"/>
          <w:sz w:val="21"/>
          <w:szCs w:val="21"/>
        </w:rPr>
        <w:t>增加的相关成本=350+1700×6%=452（万元）</w:t>
      </w:r>
      <w:r>
        <w:rPr>
          <w:rFonts w:hint="eastAsia" w:ascii="宋体" w:hAnsi="宋体" w:eastAsia="宋体" w:cs="宋体"/>
          <w:sz w:val="21"/>
          <w:szCs w:val="21"/>
        </w:rPr>
        <w:br w:type="textWrapping"/>
      </w:r>
      <w:r>
        <w:rPr>
          <w:rFonts w:hint="eastAsia" w:ascii="宋体" w:hAnsi="宋体" w:eastAsia="宋体" w:cs="宋体"/>
          <w:sz w:val="21"/>
          <w:szCs w:val="21"/>
        </w:rPr>
        <w:t>增加的相关利润=1680-452=1228（万元）</w:t>
      </w:r>
      <w:r>
        <w:rPr>
          <w:rFonts w:hint="eastAsia" w:ascii="宋体" w:hAnsi="宋体" w:eastAsia="宋体" w:cs="宋体"/>
          <w:sz w:val="21"/>
          <w:szCs w:val="21"/>
        </w:rPr>
        <w:br w:type="textWrapping"/>
      </w:r>
      <w:r>
        <w:rPr>
          <w:rFonts w:hint="eastAsia" w:ascii="宋体" w:hAnsi="宋体" w:eastAsia="宋体" w:cs="宋体"/>
          <w:sz w:val="21"/>
          <w:szCs w:val="21"/>
        </w:rPr>
        <w:t>改变信用条件后公司利润增加，所以改变信用条件对公司有利。</w:t>
      </w:r>
      <w:r>
        <w:rPr>
          <w:rFonts w:hint="eastAsia" w:ascii="宋体" w:hAnsi="宋体" w:eastAsia="宋体" w:cs="宋体"/>
          <w:sz w:val="21"/>
          <w:szCs w:val="21"/>
        </w:rPr>
        <w:br w:type="textWrapping"/>
      </w:r>
      <w:r>
        <w:rPr>
          <w:rFonts w:hint="eastAsia" w:ascii="宋体" w:hAnsi="宋体" w:eastAsia="宋体" w:cs="宋体"/>
          <w:sz w:val="21"/>
          <w:szCs w:val="21"/>
        </w:rPr>
        <w:t>（4）增加的息税前利润=300×（36-20）-600-200×（30-16）=1400（万元）</w:t>
      </w:r>
      <w:r>
        <w:rPr>
          <w:rFonts w:hint="eastAsia" w:ascii="宋体" w:hAnsi="宋体" w:eastAsia="宋体" w:cs="宋体"/>
          <w:sz w:val="21"/>
          <w:szCs w:val="21"/>
        </w:rPr>
        <w:br w:type="textWrapping"/>
      </w:r>
      <w:r>
        <w:rPr>
          <w:rFonts w:hint="eastAsia" w:ascii="宋体" w:hAnsi="宋体" w:eastAsia="宋体" w:cs="宋体"/>
          <w:sz w:val="21"/>
          <w:szCs w:val="21"/>
        </w:rPr>
        <w:t>投资新产品Y后公司的息税前利润会增加，所以应投产新产品Y。</w:t>
      </w:r>
    </w:p>
    <w:p w14:paraId="43F564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第八章  成本管理</w:t>
      </w:r>
    </w:p>
    <w:p w14:paraId="166EFC1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1251C6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（二）标准成本</w:t>
      </w:r>
      <w:r>
        <w:rPr>
          <w:rFonts w:hint="eastAsia" w:ascii="宋体" w:hAnsi="宋体" w:eastAsia="宋体" w:cs="宋体"/>
          <w:sz w:val="21"/>
          <w:szCs w:val="21"/>
        </w:rPr>
        <w:br w:type="textWrapping"/>
      </w:r>
      <w:r>
        <w:rPr>
          <w:rFonts w:hint="eastAsia" w:ascii="宋体" w:hAnsi="宋体" w:eastAsia="宋体" w:cs="宋体"/>
          <w:sz w:val="21"/>
          <w:szCs w:val="21"/>
        </w:rPr>
        <w:t>【考点1】总标准成本差异分析</w:t>
      </w:r>
      <w:r>
        <w:rPr>
          <w:rFonts w:hint="eastAsia" w:ascii="宋体" w:hAnsi="宋体" w:eastAsia="宋体" w:cs="宋体"/>
          <w:sz w:val="21"/>
          <w:szCs w:val="21"/>
        </w:rPr>
        <w:br w:type="textWrapping"/>
      </w:r>
      <w:r>
        <w:rPr>
          <w:rFonts w:hint="eastAsia" w:ascii="宋体" w:hAnsi="宋体" w:eastAsia="宋体" w:cs="宋体"/>
          <w:sz w:val="21"/>
          <w:szCs w:val="21"/>
        </w:rPr>
        <w:t>总差异=实际产量下实际成本-实际产量下标准成本=用量差异+价格差异</w:t>
      </w:r>
      <w:r>
        <w:rPr>
          <w:rFonts w:hint="eastAsia" w:ascii="宋体" w:hAnsi="宋体" w:eastAsia="宋体" w:cs="宋体"/>
          <w:sz w:val="21"/>
          <w:szCs w:val="21"/>
        </w:rPr>
        <w:br w:type="textWrapping"/>
      </w:r>
      <w:r>
        <w:rPr>
          <w:rFonts w:hint="eastAsia" w:ascii="宋体" w:hAnsi="宋体" w:eastAsia="宋体" w:cs="宋体"/>
          <w:sz w:val="21"/>
          <w:szCs w:val="21"/>
        </w:rPr>
        <w:t>【考点2】成本差异计算</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4"/>
        <w:gridCol w:w="7546"/>
      </w:tblGrid>
      <w:tr w14:paraId="2507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pct"/>
          </w:tcPr>
          <w:p w14:paraId="25E1C3E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直接材料价格差异</w:t>
            </w:r>
          </w:p>
        </w:tc>
        <w:tc>
          <w:tcPr>
            <w:tcW w:w="3603" w:type="pct"/>
          </w:tcPr>
          <w:p w14:paraId="20E8B4A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实际用量*（实际单价-标准单价）</w:t>
            </w:r>
          </w:p>
        </w:tc>
      </w:tr>
      <w:tr w14:paraId="67B1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pct"/>
          </w:tcPr>
          <w:p w14:paraId="3050072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直接材料数量差异</w:t>
            </w:r>
          </w:p>
        </w:tc>
        <w:tc>
          <w:tcPr>
            <w:tcW w:w="3603" w:type="pct"/>
          </w:tcPr>
          <w:p w14:paraId="7F78A0B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（实际用量-标准用量）*标准单价</w:t>
            </w:r>
          </w:p>
        </w:tc>
      </w:tr>
      <w:tr w14:paraId="1EB0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pct"/>
          </w:tcPr>
          <w:p w14:paraId="222E7E5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直接人工效率差异（量）</w:t>
            </w:r>
          </w:p>
        </w:tc>
        <w:tc>
          <w:tcPr>
            <w:tcW w:w="3603" w:type="pct"/>
          </w:tcPr>
          <w:p w14:paraId="1118B96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（实际工时－实际产量下标准工时）×标准工资率</w:t>
            </w:r>
          </w:p>
        </w:tc>
      </w:tr>
      <w:tr w14:paraId="7C59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pct"/>
          </w:tcPr>
          <w:p w14:paraId="51A83FD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工资率差异（价）</w:t>
            </w:r>
          </w:p>
        </w:tc>
        <w:tc>
          <w:tcPr>
            <w:tcW w:w="3603" w:type="pct"/>
          </w:tcPr>
          <w:p w14:paraId="3A64047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实际工时×（实际工资率－标准工资率）</w:t>
            </w:r>
          </w:p>
        </w:tc>
      </w:tr>
      <w:tr w14:paraId="3B8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pct"/>
          </w:tcPr>
          <w:p w14:paraId="75D03AB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变动制造费用效率差异</w:t>
            </w:r>
          </w:p>
        </w:tc>
        <w:tc>
          <w:tcPr>
            <w:tcW w:w="3603" w:type="pct"/>
          </w:tcPr>
          <w:p w14:paraId="4BB2821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（实际工时－标准工时）×变动制造费用标准分配率</w:t>
            </w:r>
          </w:p>
        </w:tc>
      </w:tr>
      <w:tr w14:paraId="1FBF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pct"/>
          </w:tcPr>
          <w:p w14:paraId="3088D65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变动制造费用耗费差异</w:t>
            </w:r>
          </w:p>
        </w:tc>
        <w:tc>
          <w:tcPr>
            <w:tcW w:w="3603" w:type="pct"/>
          </w:tcPr>
          <w:p w14:paraId="0302930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实际工时×（变动制造费用实际分配率－变动制造费用标准分配率）</w:t>
            </w:r>
          </w:p>
        </w:tc>
      </w:tr>
    </w:tbl>
    <w:p w14:paraId="1190B0D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C043A6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【例·单选题】某产品标准工时为2小时/件，变动制造费用标准分配率为3元/小时，如果实际产量为3000件，实际工时为6300小时，实际变动制造费用为20160元。则变动制造费用效率差异为（  ）。</w:t>
      </w:r>
      <w:r>
        <w:rPr>
          <w:rFonts w:hint="eastAsia" w:ascii="宋体" w:hAnsi="宋体" w:eastAsia="宋体" w:cs="宋体"/>
          <w:sz w:val="21"/>
          <w:szCs w:val="21"/>
        </w:rPr>
        <w:br w:type="textWrapping"/>
      </w:r>
      <w:r>
        <w:rPr>
          <w:rFonts w:hint="eastAsia" w:ascii="宋体" w:hAnsi="宋体" w:eastAsia="宋体" w:cs="宋体"/>
          <w:sz w:val="21"/>
          <w:szCs w:val="21"/>
        </w:rPr>
        <w:t>A.1260元         B.630元          C.2160元              D.900元</w:t>
      </w:r>
      <w:r>
        <w:rPr>
          <w:rFonts w:hint="eastAsia" w:ascii="宋体" w:hAnsi="宋体" w:eastAsia="宋体" w:cs="宋体"/>
          <w:sz w:val="21"/>
          <w:szCs w:val="21"/>
        </w:rPr>
        <w:br w:type="textWrapping"/>
      </w:r>
      <w:r>
        <w:rPr>
          <w:rFonts w:hint="eastAsia" w:ascii="宋体" w:hAnsi="宋体" w:eastAsia="宋体" w:cs="宋体"/>
          <w:sz w:val="21"/>
          <w:szCs w:val="21"/>
        </w:rPr>
        <w:t>答案：D</w:t>
      </w:r>
      <w:r>
        <w:rPr>
          <w:rFonts w:hint="eastAsia" w:ascii="宋体" w:hAnsi="宋体" w:eastAsia="宋体" w:cs="宋体"/>
          <w:sz w:val="21"/>
          <w:szCs w:val="21"/>
        </w:rPr>
        <w:br w:type="textWrapping"/>
      </w:r>
      <w:r>
        <w:rPr>
          <w:rFonts w:hint="eastAsia" w:ascii="宋体" w:hAnsi="宋体" w:eastAsia="宋体" w:cs="宋体"/>
          <w:sz w:val="21"/>
          <w:szCs w:val="21"/>
        </w:rPr>
        <w:t>解析：变动制造费用效率差异=（实际工时-标准工时）×变动制造费用标准分配率=（6300-3000×2）×3=900（元）（超支）。</w:t>
      </w:r>
    </w:p>
    <w:p w14:paraId="7E03E4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7E6988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【例·单选题】某产品本期产量为60套，直接材料标准用量为18千克/套，直接材料标准价格为270元/千克，直接材料实际用量为1 200千克，实际价格为210元/千克，则该产品的直接材料数量差异为（  ）元。</w:t>
      </w:r>
      <w:r>
        <w:rPr>
          <w:rFonts w:hint="eastAsia" w:ascii="宋体" w:hAnsi="宋体" w:eastAsia="宋体" w:cs="宋体"/>
          <w:sz w:val="21"/>
          <w:szCs w:val="21"/>
        </w:rPr>
        <w:br w:type="textWrapping"/>
      </w:r>
      <w:r>
        <w:rPr>
          <w:rFonts w:hint="eastAsia" w:ascii="宋体" w:hAnsi="宋体" w:eastAsia="宋体" w:cs="宋体"/>
          <w:sz w:val="21"/>
          <w:szCs w:val="21"/>
        </w:rPr>
        <w:t>A.10 800</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B.12 000</w:t>
      </w:r>
      <w:r>
        <w:rPr>
          <w:rFonts w:hint="eastAsia" w:ascii="宋体" w:hAnsi="宋体" w:eastAsia="宋体" w:cs="宋体"/>
          <w:sz w:val="21"/>
          <w:szCs w:val="21"/>
        </w:rPr>
        <w:br w:type="textWrapping"/>
      </w:r>
      <w:r>
        <w:rPr>
          <w:rFonts w:hint="eastAsia" w:ascii="宋体" w:hAnsi="宋体" w:eastAsia="宋体" w:cs="宋体"/>
          <w:sz w:val="21"/>
          <w:szCs w:val="21"/>
        </w:rPr>
        <w:t>C.32 400</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D.33 600</w:t>
      </w:r>
    </w:p>
    <w:p w14:paraId="4D7351C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解析：直接材料数量差异＝（实际用量－实际产量下标准用量）×标准价格＝（1 200－60×18）×270＝32 400（元）。故选C项。</w:t>
      </w:r>
    </w:p>
    <w:p w14:paraId="3EC054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AC9737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企业生产X产品，工时标准为2小时/件，变动制造费用标准分配率为24元/小时，当期实际产量为600件，实际变动制造费用为32 400元，实际工时为1 296小时，则在标准成本法下，当期变动制造费用效率差异为（  ）元。</w:t>
      </w:r>
      <w:r>
        <w:rPr>
          <w:rFonts w:hint="eastAsia" w:ascii="宋体" w:hAnsi="宋体" w:eastAsia="宋体" w:cs="宋体"/>
          <w:sz w:val="21"/>
          <w:szCs w:val="21"/>
        </w:rPr>
        <w:br w:type="textWrapping"/>
      </w:r>
      <w:r>
        <w:rPr>
          <w:rFonts w:hint="eastAsia" w:ascii="宋体" w:hAnsi="宋体" w:eastAsia="宋体" w:cs="宋体"/>
          <w:sz w:val="21"/>
          <w:szCs w:val="21"/>
        </w:rPr>
        <w:t>A.1 200</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B.2 304</w:t>
      </w:r>
      <w:r>
        <w:rPr>
          <w:rFonts w:hint="eastAsia" w:ascii="宋体" w:hAnsi="宋体" w:eastAsia="宋体" w:cs="宋体"/>
          <w:sz w:val="21"/>
          <w:szCs w:val="21"/>
        </w:rPr>
        <w:br w:type="textWrapping"/>
      </w:r>
      <w:r>
        <w:rPr>
          <w:rFonts w:hint="eastAsia" w:ascii="宋体" w:hAnsi="宋体" w:eastAsia="宋体" w:cs="宋体"/>
          <w:sz w:val="21"/>
          <w:szCs w:val="21"/>
        </w:rPr>
        <w:t>C.2 400</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D.1 296</w:t>
      </w:r>
    </w:p>
    <w:p w14:paraId="4316E49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答案：B</w:t>
      </w:r>
      <w:r>
        <w:rPr>
          <w:rFonts w:hint="eastAsia" w:ascii="宋体" w:hAnsi="宋体" w:eastAsia="宋体" w:cs="宋体"/>
          <w:sz w:val="21"/>
          <w:szCs w:val="21"/>
        </w:rPr>
        <w:br w:type="textWrapping"/>
      </w:r>
      <w:r>
        <w:rPr>
          <w:rFonts w:hint="eastAsia" w:ascii="宋体" w:hAnsi="宋体" w:eastAsia="宋体" w:cs="宋体"/>
          <w:sz w:val="21"/>
          <w:szCs w:val="21"/>
        </w:rPr>
        <w:t>解析：变动制造费用效率差异＝（实际工时－实际产量下标准工时）×变动制造费用标准分配率＝（1 296－600×2）×24＝2 304（元）。故选B项。</w:t>
      </w:r>
    </w:p>
    <w:p w14:paraId="4A28A9B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6A658DD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甲公司采用标准成本法进行成本控制，直接人工与变动制造费用的用量标准一致。A产品的变动制造费用效率差异为2000元，变动制造费用的标准分配率为2元/小时，标准工资率为6元/小时，则直接人工的效率差异是（  ）。</w:t>
      </w:r>
      <w:r>
        <w:rPr>
          <w:rFonts w:hint="eastAsia" w:ascii="宋体" w:hAnsi="宋体" w:eastAsia="宋体" w:cs="宋体"/>
          <w:sz w:val="21"/>
          <w:szCs w:val="21"/>
        </w:rPr>
        <w:br w:type="textWrapping"/>
      </w:r>
      <w:r>
        <w:rPr>
          <w:rFonts w:hint="eastAsia" w:ascii="宋体" w:hAnsi="宋体" w:eastAsia="宋体" w:cs="宋体"/>
          <w:sz w:val="21"/>
          <w:szCs w:val="21"/>
        </w:rPr>
        <w:t>A.2000元</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B.4000元</w:t>
      </w:r>
      <w:r>
        <w:rPr>
          <w:rFonts w:hint="eastAsia" w:ascii="宋体" w:hAnsi="宋体" w:eastAsia="宋体" w:cs="宋体"/>
          <w:sz w:val="21"/>
          <w:szCs w:val="21"/>
        </w:rPr>
        <w:br w:type="textWrapping"/>
      </w:r>
      <w:r>
        <w:rPr>
          <w:rFonts w:hint="eastAsia" w:ascii="宋体" w:hAnsi="宋体" w:eastAsia="宋体" w:cs="宋体"/>
          <w:sz w:val="21"/>
          <w:szCs w:val="21"/>
        </w:rPr>
        <w:t>C.6000元</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D.8000元</w:t>
      </w:r>
    </w:p>
    <w:p w14:paraId="4DB8CBA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变动制造费用效率差异＝（实际工时-标准工时）×变动制造费用标准分配率，直接人工效率差异＝（实际工时-标准工时）×标准工资率。因为变动制造费用效率差异为2000元，变动制造费用标准分配率为2元/小时，（实际工时-标准工时）＝2000÷2＝1000小时，标准工资率为6元/小时，直接人工效率差异＝1000×6＝6000元。故选C项。</w:t>
      </w:r>
    </w:p>
    <w:p w14:paraId="391BD0B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773C504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【考点3】固定制造费用成本差异分析</w:t>
      </w:r>
      <w:r>
        <w:rPr>
          <w:rFonts w:hint="eastAsia" w:ascii="宋体" w:hAnsi="宋体" w:eastAsia="宋体" w:cs="宋体"/>
          <w:sz w:val="21"/>
          <w:szCs w:val="21"/>
        </w:rPr>
        <w:br w:type="textWrapping"/>
      </w:r>
      <w:r>
        <w:rPr>
          <w:rFonts w:hint="eastAsia" w:ascii="宋体" w:hAnsi="宋体" w:eastAsia="宋体" w:cs="宋体"/>
          <w:sz w:val="21"/>
          <w:szCs w:val="21"/>
        </w:rPr>
        <w:t>标准分配率=固定制造费用标准成本总额（预算总额）/预算总工时</w:t>
      </w:r>
    </w:p>
    <w:p w14:paraId="2C3CBEB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pict>
          <v:shape id="_x0000_i1039" o:spt="75" type="#_x0000_t75" style="height:171.15pt;width:340.15pt;" filled="f" o:preferrelative="t" stroked="f" coordsize="21600,21600">
            <v:path/>
            <v:fill on="f" focussize="0,0"/>
            <v:stroke on="f"/>
            <v:imagedata r:id="rId30" o:title=""/>
            <o:lock v:ext="edit" aspectratio="t"/>
            <w10:wrap type="none"/>
            <w10:anchorlock/>
          </v:shape>
        </w:pict>
      </w:r>
    </w:p>
    <w:p w14:paraId="6EE8BB9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790387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甲公司生产某产品，预算产量为10000件，单位标准工时为1.2小时/件，固定制造费用预算总额为36000元。该产品实际产量为9500件，实际工时为15000小时，实际发生固定制造费用38000元。公司采用标准成本法，将固定制造费用成本差异分解为三差异进行计算与分析。</w:t>
      </w:r>
      <w:r>
        <w:rPr>
          <w:rFonts w:hint="eastAsia" w:ascii="宋体" w:hAnsi="宋体" w:eastAsia="宋体" w:cs="宋体"/>
          <w:sz w:val="21"/>
          <w:szCs w:val="21"/>
        </w:rPr>
        <w:br w:type="textWrapping"/>
      </w:r>
      <w:r>
        <w:rPr>
          <w:rFonts w:hint="eastAsia" w:ascii="宋体" w:hAnsi="宋体" w:eastAsia="宋体" w:cs="宋体"/>
          <w:sz w:val="21"/>
          <w:szCs w:val="21"/>
        </w:rPr>
        <w:t>要求：（1）计算固定制造费用耗费差异。</w:t>
      </w:r>
      <w:r>
        <w:rPr>
          <w:rFonts w:hint="eastAsia" w:ascii="宋体" w:hAnsi="宋体" w:eastAsia="宋体" w:cs="宋体"/>
          <w:sz w:val="21"/>
          <w:szCs w:val="21"/>
        </w:rPr>
        <w:br w:type="textWrapping"/>
      </w:r>
      <w:r>
        <w:rPr>
          <w:rFonts w:hint="eastAsia" w:ascii="宋体" w:hAnsi="宋体" w:eastAsia="宋体" w:cs="宋体"/>
          <w:sz w:val="21"/>
          <w:szCs w:val="21"/>
        </w:rPr>
        <w:t>（2）计算固定制造费用产量差异。</w:t>
      </w:r>
      <w:r>
        <w:rPr>
          <w:rFonts w:hint="eastAsia" w:ascii="宋体" w:hAnsi="宋体" w:eastAsia="宋体" w:cs="宋体"/>
          <w:sz w:val="21"/>
          <w:szCs w:val="21"/>
        </w:rPr>
        <w:br w:type="textWrapping"/>
      </w:r>
      <w:r>
        <w:rPr>
          <w:rFonts w:hint="eastAsia" w:ascii="宋体" w:hAnsi="宋体" w:eastAsia="宋体" w:cs="宋体"/>
          <w:sz w:val="21"/>
          <w:szCs w:val="21"/>
        </w:rPr>
        <w:t>（3）计算固定制造费用效率差异。</w:t>
      </w:r>
      <w:r>
        <w:rPr>
          <w:rFonts w:hint="eastAsia" w:ascii="宋体" w:hAnsi="宋体" w:eastAsia="宋体" w:cs="宋体"/>
          <w:sz w:val="21"/>
          <w:szCs w:val="21"/>
        </w:rPr>
        <w:br w:type="textWrapping"/>
      </w:r>
      <w:r>
        <w:rPr>
          <w:rFonts w:hint="eastAsia" w:ascii="宋体" w:hAnsi="宋体" w:eastAsia="宋体" w:cs="宋体"/>
          <w:sz w:val="21"/>
          <w:szCs w:val="21"/>
        </w:rPr>
        <w:t>（4）计算固定制造费用成本差异，并指出该差异属于有利还是不利差异。</w:t>
      </w:r>
    </w:p>
    <w:p w14:paraId="19B132C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固定制造费用耗费差异=38000-36000=2000（元）（超支）</w:t>
      </w:r>
      <w:r>
        <w:rPr>
          <w:rFonts w:hint="eastAsia" w:ascii="宋体" w:hAnsi="宋体" w:eastAsia="宋体" w:cs="宋体"/>
          <w:sz w:val="21"/>
          <w:szCs w:val="21"/>
        </w:rPr>
        <w:br w:type="textWrapping"/>
      </w:r>
      <w:r>
        <w:rPr>
          <w:rFonts w:hint="eastAsia" w:ascii="宋体" w:hAnsi="宋体" w:eastAsia="宋体" w:cs="宋体"/>
          <w:sz w:val="21"/>
          <w:szCs w:val="21"/>
        </w:rPr>
        <w:t>固定制造费用标准分配率=36000/（10000×1.2）=3（元/小时）</w:t>
      </w:r>
      <w:r>
        <w:rPr>
          <w:rFonts w:hint="eastAsia" w:ascii="宋体" w:hAnsi="宋体" w:eastAsia="宋体" w:cs="宋体"/>
          <w:sz w:val="21"/>
          <w:szCs w:val="21"/>
        </w:rPr>
        <w:br w:type="textWrapping"/>
      </w:r>
      <w:r>
        <w:rPr>
          <w:rFonts w:hint="eastAsia" w:ascii="宋体" w:hAnsi="宋体" w:eastAsia="宋体" w:cs="宋体"/>
          <w:sz w:val="21"/>
          <w:szCs w:val="21"/>
        </w:rPr>
        <w:t>固定制造费用产量差异=（10000×1.2-15000）×3=-9000（元）（节约）</w:t>
      </w:r>
      <w:r>
        <w:rPr>
          <w:rFonts w:hint="eastAsia" w:ascii="宋体" w:hAnsi="宋体" w:eastAsia="宋体" w:cs="宋体"/>
          <w:sz w:val="21"/>
          <w:szCs w:val="21"/>
        </w:rPr>
        <w:br w:type="textWrapping"/>
      </w:r>
      <w:r>
        <w:rPr>
          <w:rFonts w:hint="eastAsia" w:ascii="宋体" w:hAnsi="宋体" w:eastAsia="宋体" w:cs="宋体"/>
          <w:sz w:val="21"/>
          <w:szCs w:val="21"/>
        </w:rPr>
        <w:t>固定制造费用效率差异=（15000-9500×1.2）×3=10800（元）（超支）（（4）固定制造费用成本差异=38000-9500×1.2×3=3800（元）（超支）</w:t>
      </w:r>
      <w:r>
        <w:rPr>
          <w:rFonts w:hint="eastAsia" w:ascii="宋体" w:hAnsi="宋体" w:eastAsia="宋体" w:cs="宋体"/>
          <w:sz w:val="21"/>
          <w:szCs w:val="21"/>
        </w:rPr>
        <w:br w:type="textWrapping"/>
      </w:r>
      <w:r>
        <w:rPr>
          <w:rFonts w:hint="eastAsia" w:ascii="宋体" w:hAnsi="宋体" w:eastAsia="宋体" w:cs="宋体"/>
          <w:sz w:val="21"/>
          <w:szCs w:val="21"/>
        </w:rPr>
        <w:t>该差异属于不利差异。</w:t>
      </w:r>
    </w:p>
    <w:p w14:paraId="5B75F09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32B60B6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【例·单选题】某产品的预算产量为10000件，实际产量为9000件，实际发生固定制造费用180000元，固定制造费用标准分配率为8元/小时，工时标准为1.5小时/件，则固定制造费用成本差异为（  ）。</w:t>
      </w:r>
      <w:r>
        <w:rPr>
          <w:rFonts w:hint="eastAsia" w:ascii="宋体" w:hAnsi="宋体" w:eastAsia="宋体" w:cs="宋体"/>
          <w:sz w:val="21"/>
          <w:szCs w:val="21"/>
        </w:rPr>
        <w:br w:type="textWrapping"/>
      </w:r>
      <w:r>
        <w:rPr>
          <w:rFonts w:hint="eastAsia" w:ascii="宋体" w:hAnsi="宋体" w:eastAsia="宋体" w:cs="宋体"/>
          <w:sz w:val="21"/>
          <w:szCs w:val="21"/>
        </w:rPr>
        <w:t xml:space="preserve">A.超支72000元                 B.节约60000元   </w:t>
      </w:r>
      <w:r>
        <w:rPr>
          <w:rFonts w:hint="eastAsia" w:ascii="宋体" w:hAnsi="宋体" w:eastAsia="宋体" w:cs="宋体"/>
          <w:sz w:val="21"/>
          <w:szCs w:val="21"/>
        </w:rPr>
        <w:br w:type="textWrapping"/>
      </w:r>
      <w:r>
        <w:rPr>
          <w:rFonts w:hint="eastAsia" w:ascii="宋体" w:hAnsi="宋体" w:eastAsia="宋体" w:cs="宋体"/>
          <w:sz w:val="21"/>
          <w:szCs w:val="21"/>
        </w:rPr>
        <w:t>C.超支60000元                 D.节约72000元</w:t>
      </w:r>
      <w:r>
        <w:rPr>
          <w:rFonts w:hint="eastAsia" w:ascii="宋体" w:hAnsi="宋体" w:eastAsia="宋体" w:cs="宋体"/>
          <w:sz w:val="21"/>
          <w:szCs w:val="21"/>
        </w:rPr>
        <w:br w:type="textWrapping"/>
      </w:r>
      <w:r>
        <w:rPr>
          <w:rFonts w:hint="eastAsia" w:ascii="宋体" w:hAnsi="宋体" w:eastAsia="宋体" w:cs="宋体"/>
          <w:sz w:val="21"/>
          <w:szCs w:val="21"/>
        </w:rPr>
        <w:t>答案：A</w:t>
      </w:r>
      <w:r>
        <w:rPr>
          <w:rFonts w:hint="eastAsia" w:ascii="宋体" w:hAnsi="宋体" w:eastAsia="宋体" w:cs="宋体"/>
          <w:sz w:val="21"/>
          <w:szCs w:val="21"/>
        </w:rPr>
        <w:br w:type="textWrapping"/>
      </w:r>
      <w:r>
        <w:rPr>
          <w:rFonts w:hint="eastAsia" w:ascii="宋体" w:hAnsi="宋体" w:eastAsia="宋体" w:cs="宋体"/>
          <w:sz w:val="21"/>
          <w:szCs w:val="21"/>
        </w:rPr>
        <w:t>解析：固定制造费用成本差异=180000-9000×8×1.5=72000（元）（超支）</w:t>
      </w:r>
    </w:p>
    <w:p w14:paraId="15328B7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244497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【例·判断题】在标准成本法下，固定制造费用成本差异是指固定制造费用实际金额与固定制造费用预算金额之间的差异。（  ）</w:t>
      </w:r>
      <w:r>
        <w:rPr>
          <w:rFonts w:hint="eastAsia" w:ascii="宋体" w:hAnsi="宋体" w:eastAsia="宋体" w:cs="宋体"/>
          <w:sz w:val="21"/>
          <w:szCs w:val="21"/>
        </w:rPr>
        <w:br w:type="textWrapping"/>
      </w: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解析：在标准成本法下，固定制造费用耗费差异是指固定制造费用实际金额与固定制造费用预算金额（按照预算产量计算）之间的差异，固定制造费用项目成本差异是指固定制造费用项目实际成本与其标准成本之间的差额。</w:t>
      </w:r>
    </w:p>
    <w:p w14:paraId="78CF211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第八章  成本管理</w:t>
      </w:r>
    </w:p>
    <w:p w14:paraId="6AF3335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6EEFD4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（三）作业成本</w:t>
      </w:r>
      <w:r>
        <w:rPr>
          <w:rFonts w:hint="eastAsia" w:ascii="宋体" w:hAnsi="宋体" w:eastAsia="宋体" w:cs="宋体"/>
          <w:sz w:val="21"/>
          <w:szCs w:val="21"/>
        </w:rPr>
        <w:br w:type="textWrapping"/>
      </w:r>
      <w:r>
        <w:rPr>
          <w:rFonts w:hint="eastAsia" w:ascii="宋体" w:hAnsi="宋体" w:eastAsia="宋体" w:cs="宋体"/>
          <w:sz w:val="21"/>
          <w:szCs w:val="21"/>
        </w:rPr>
        <w:t>相关考点：</w:t>
      </w:r>
      <w:r>
        <w:rPr>
          <w:rFonts w:hint="eastAsia" w:ascii="宋体" w:hAnsi="宋体" w:eastAsia="宋体" w:cs="宋体"/>
          <w:sz w:val="21"/>
          <w:szCs w:val="21"/>
        </w:rPr>
        <w:br w:type="textWrapping"/>
      </w:r>
      <w:r>
        <w:rPr>
          <w:rFonts w:hint="eastAsia" w:ascii="宋体" w:hAnsi="宋体" w:eastAsia="宋体" w:cs="宋体"/>
          <w:sz w:val="21"/>
          <w:szCs w:val="21"/>
        </w:rPr>
        <w:t>（1）作业中心设计（产量级、批别级、品种级、顾客级、设施级）</w:t>
      </w:r>
      <w:r>
        <w:rPr>
          <w:rFonts w:hint="eastAsia" w:ascii="宋体" w:hAnsi="宋体" w:eastAsia="宋体" w:cs="宋体"/>
          <w:sz w:val="21"/>
          <w:szCs w:val="21"/>
        </w:rPr>
        <w:br w:type="textWrapping"/>
      </w:r>
      <w:r>
        <w:rPr>
          <w:rFonts w:hint="eastAsia" w:ascii="宋体" w:hAnsi="宋体" w:eastAsia="宋体" w:cs="宋体"/>
          <w:sz w:val="21"/>
          <w:szCs w:val="21"/>
        </w:rPr>
        <w:t>（2）作业动因选择和计量（交易动因、持续时间动因、强度动因）</w:t>
      </w:r>
      <w:r>
        <w:rPr>
          <w:rFonts w:hint="eastAsia" w:ascii="宋体" w:hAnsi="宋体" w:eastAsia="宋体" w:cs="宋体"/>
          <w:sz w:val="21"/>
          <w:szCs w:val="21"/>
        </w:rPr>
        <w:br w:type="textWrapping"/>
      </w:r>
      <w:r>
        <w:rPr>
          <w:rFonts w:hint="eastAsia" w:ascii="宋体" w:hAnsi="宋体" w:eastAsia="宋体" w:cs="宋体"/>
          <w:sz w:val="21"/>
          <w:szCs w:val="21"/>
        </w:rPr>
        <w:t>（3）增值作业与非增值作业；增值成本与非增值成本</w:t>
      </w:r>
      <w:r>
        <w:rPr>
          <w:rFonts w:hint="eastAsia" w:ascii="宋体" w:hAnsi="宋体" w:eastAsia="宋体" w:cs="宋体"/>
          <w:sz w:val="21"/>
          <w:szCs w:val="21"/>
        </w:rPr>
        <w:br w:type="textWrapping"/>
      </w:r>
      <w:r>
        <w:rPr>
          <w:rFonts w:hint="eastAsia" w:ascii="宋体" w:hAnsi="宋体" w:eastAsia="宋体" w:cs="宋体"/>
          <w:sz w:val="21"/>
          <w:szCs w:val="21"/>
        </w:rPr>
        <w:t>（4）作业成本管理节约途径（消除、选择、减少和共享）</w:t>
      </w:r>
    </w:p>
    <w:p w14:paraId="04068E1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（四）责任中心</w:t>
      </w:r>
      <w:r>
        <w:rPr>
          <w:rFonts w:hint="eastAsia" w:ascii="宋体" w:hAnsi="宋体" w:eastAsia="宋体" w:cs="宋体"/>
          <w:sz w:val="21"/>
          <w:szCs w:val="21"/>
        </w:rPr>
        <w:br w:type="textWrapping"/>
      </w:r>
      <w:r>
        <w:rPr>
          <w:rFonts w:hint="eastAsia" w:ascii="宋体" w:hAnsi="宋体" w:eastAsia="宋体" w:cs="宋体"/>
          <w:sz w:val="21"/>
          <w:szCs w:val="21"/>
        </w:rPr>
        <w:t>【考点1】成本中心、利润中心和投资中心</w:t>
      </w:r>
      <w:r>
        <w:rPr>
          <w:rFonts w:hint="eastAsia" w:ascii="宋体" w:hAnsi="宋体" w:eastAsia="宋体" w:cs="宋体"/>
          <w:sz w:val="21"/>
          <w:szCs w:val="21"/>
        </w:rPr>
        <w:br w:type="textWrapping"/>
      </w:r>
    </w:p>
    <w:p w14:paraId="276DD00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【例·多选题】在责任成本管理体制下，有关成本中心说法错误的有（  ）。</w:t>
      </w:r>
      <w:r>
        <w:rPr>
          <w:rFonts w:hint="eastAsia" w:ascii="宋体" w:hAnsi="宋体" w:eastAsia="宋体" w:cs="宋体"/>
          <w:sz w:val="21"/>
          <w:szCs w:val="21"/>
        </w:rPr>
        <w:br w:type="textWrapping"/>
      </w:r>
      <w:r>
        <w:rPr>
          <w:rFonts w:hint="eastAsia" w:ascii="宋体" w:hAnsi="宋体" w:eastAsia="宋体" w:cs="宋体"/>
          <w:sz w:val="21"/>
          <w:szCs w:val="21"/>
        </w:rPr>
        <w:t xml:space="preserve">A.成本中心对边际贡献负责                      </w:t>
      </w:r>
      <w:r>
        <w:rPr>
          <w:rFonts w:hint="eastAsia" w:ascii="宋体" w:hAnsi="宋体" w:eastAsia="宋体" w:cs="宋体"/>
          <w:sz w:val="21"/>
          <w:szCs w:val="21"/>
        </w:rPr>
        <w:br w:type="textWrapping"/>
      </w:r>
      <w:r>
        <w:rPr>
          <w:rFonts w:hint="eastAsia" w:ascii="宋体" w:hAnsi="宋体" w:eastAsia="宋体" w:cs="宋体"/>
          <w:sz w:val="21"/>
          <w:szCs w:val="21"/>
        </w:rPr>
        <w:t>B.成本中心对不可控成本负责</w:t>
      </w:r>
      <w:r>
        <w:rPr>
          <w:rFonts w:hint="eastAsia" w:ascii="宋体" w:hAnsi="宋体" w:eastAsia="宋体" w:cs="宋体"/>
          <w:sz w:val="21"/>
          <w:szCs w:val="21"/>
        </w:rPr>
        <w:br w:type="textWrapping"/>
      </w:r>
      <w:r>
        <w:rPr>
          <w:rFonts w:hint="eastAsia" w:ascii="宋体" w:hAnsi="宋体" w:eastAsia="宋体" w:cs="宋体"/>
          <w:sz w:val="21"/>
          <w:szCs w:val="21"/>
        </w:rPr>
        <w:t xml:space="preserve">C.成本中心对可控成本负责                      </w:t>
      </w:r>
      <w:r>
        <w:rPr>
          <w:rFonts w:hint="eastAsia" w:ascii="宋体" w:hAnsi="宋体" w:eastAsia="宋体" w:cs="宋体"/>
          <w:sz w:val="21"/>
          <w:szCs w:val="21"/>
        </w:rPr>
        <w:br w:type="textWrapping"/>
      </w:r>
      <w:r>
        <w:rPr>
          <w:rFonts w:hint="eastAsia" w:ascii="宋体" w:hAnsi="宋体" w:eastAsia="宋体" w:cs="宋体"/>
          <w:sz w:val="21"/>
          <w:szCs w:val="21"/>
        </w:rPr>
        <w:t>D.成本中心对利润负责</w:t>
      </w:r>
      <w:r>
        <w:rPr>
          <w:rFonts w:hint="eastAsia" w:ascii="宋体" w:hAnsi="宋体" w:eastAsia="宋体" w:cs="宋体"/>
          <w:sz w:val="21"/>
          <w:szCs w:val="21"/>
        </w:rPr>
        <w:br w:type="textWrapping"/>
      </w:r>
      <w:r>
        <w:rPr>
          <w:rFonts w:hint="eastAsia" w:ascii="宋体" w:hAnsi="宋体" w:eastAsia="宋体" w:cs="宋体"/>
          <w:sz w:val="21"/>
          <w:szCs w:val="21"/>
        </w:rPr>
        <w:t>答案：ABD</w:t>
      </w:r>
      <w:r>
        <w:rPr>
          <w:rFonts w:hint="eastAsia" w:ascii="宋体" w:hAnsi="宋体" w:eastAsia="宋体" w:cs="宋体"/>
          <w:sz w:val="21"/>
          <w:szCs w:val="21"/>
        </w:rPr>
        <w:br w:type="textWrapping"/>
      </w:r>
      <w:r>
        <w:rPr>
          <w:rFonts w:hint="eastAsia" w:ascii="宋体" w:hAnsi="宋体" w:eastAsia="宋体" w:cs="宋体"/>
          <w:sz w:val="21"/>
          <w:szCs w:val="21"/>
        </w:rPr>
        <w:t>解析：成本中心只对可控成本负责，不负责不可控成本。</w:t>
      </w:r>
    </w:p>
    <w:p w14:paraId="1FA20EE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6FC32D3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【例·单选题】在责任绩效评价中，用于评价利润中心管理者业绩的理想指标是（  ）。</w:t>
      </w:r>
      <w:r>
        <w:rPr>
          <w:rFonts w:hint="eastAsia" w:ascii="宋体" w:hAnsi="宋体" w:eastAsia="宋体" w:cs="宋体"/>
          <w:sz w:val="21"/>
          <w:szCs w:val="21"/>
        </w:rPr>
        <w:br w:type="textWrapping"/>
      </w:r>
      <w:r>
        <w:rPr>
          <w:rFonts w:hint="eastAsia" w:ascii="宋体" w:hAnsi="宋体" w:eastAsia="宋体" w:cs="宋体"/>
          <w:sz w:val="21"/>
          <w:szCs w:val="21"/>
        </w:rPr>
        <w:t xml:space="preserve">A.部门税前利润    </w:t>
      </w:r>
      <w:r>
        <w:rPr>
          <w:rFonts w:hint="eastAsia" w:ascii="宋体" w:hAnsi="宋体" w:eastAsia="宋体" w:cs="宋体"/>
          <w:sz w:val="21"/>
          <w:szCs w:val="21"/>
        </w:rPr>
        <w:br w:type="textWrapping"/>
      </w:r>
      <w:r>
        <w:rPr>
          <w:rFonts w:hint="eastAsia" w:ascii="宋体" w:hAnsi="宋体" w:eastAsia="宋体" w:cs="宋体"/>
          <w:sz w:val="21"/>
          <w:szCs w:val="21"/>
        </w:rPr>
        <w:t xml:space="preserve">B.可控边际贡献       </w:t>
      </w:r>
      <w:r>
        <w:rPr>
          <w:rFonts w:hint="eastAsia" w:ascii="宋体" w:hAnsi="宋体" w:eastAsia="宋体" w:cs="宋体"/>
          <w:sz w:val="21"/>
          <w:szCs w:val="21"/>
        </w:rPr>
        <w:br w:type="textWrapping"/>
      </w:r>
      <w:r>
        <w:rPr>
          <w:rFonts w:hint="eastAsia" w:ascii="宋体" w:hAnsi="宋体" w:eastAsia="宋体" w:cs="宋体"/>
          <w:sz w:val="21"/>
          <w:szCs w:val="21"/>
        </w:rPr>
        <w:t xml:space="preserve">C.边际贡献           </w:t>
      </w:r>
      <w:r>
        <w:rPr>
          <w:rFonts w:hint="eastAsia" w:ascii="宋体" w:hAnsi="宋体" w:eastAsia="宋体" w:cs="宋体"/>
          <w:sz w:val="21"/>
          <w:szCs w:val="21"/>
        </w:rPr>
        <w:br w:type="textWrapping"/>
      </w:r>
      <w:r>
        <w:rPr>
          <w:rFonts w:hint="eastAsia" w:ascii="宋体" w:hAnsi="宋体" w:eastAsia="宋体" w:cs="宋体"/>
          <w:sz w:val="21"/>
          <w:szCs w:val="21"/>
        </w:rPr>
        <w:t>D.部门边际贡献</w:t>
      </w:r>
      <w:r>
        <w:rPr>
          <w:rFonts w:hint="eastAsia" w:ascii="宋体" w:hAnsi="宋体" w:eastAsia="宋体" w:cs="宋体"/>
          <w:sz w:val="21"/>
          <w:szCs w:val="21"/>
        </w:rPr>
        <w:br w:type="textWrapping"/>
      </w:r>
      <w:r>
        <w:rPr>
          <w:rFonts w:hint="eastAsia" w:ascii="宋体" w:hAnsi="宋体" w:eastAsia="宋体" w:cs="宋体"/>
          <w:sz w:val="21"/>
          <w:szCs w:val="21"/>
        </w:rPr>
        <w:t>答案：B</w:t>
      </w:r>
      <w:r>
        <w:rPr>
          <w:rFonts w:hint="eastAsia" w:ascii="宋体" w:hAnsi="宋体" w:eastAsia="宋体" w:cs="宋体"/>
          <w:sz w:val="21"/>
          <w:szCs w:val="21"/>
        </w:rPr>
        <w:br w:type="textWrapping"/>
      </w:r>
      <w:r>
        <w:rPr>
          <w:rFonts w:hint="eastAsia" w:ascii="宋体" w:hAnsi="宋体" w:eastAsia="宋体" w:cs="宋体"/>
          <w:sz w:val="21"/>
          <w:szCs w:val="21"/>
        </w:rPr>
        <w:t>解析：可控边际贡献也称部门经理边际贡献，它衡量了部门经理有效运用其控制下的资源的能力，是评价利润中心管理者业绩的理想指标。</w:t>
      </w:r>
    </w:p>
    <w:p w14:paraId="29F34A1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9373B0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【例·计算分析题】甲公司为某企业集团的一个投资中心，X是甲公司下设的一个利润中心，相关资料如下：</w:t>
      </w:r>
      <w:r>
        <w:rPr>
          <w:rFonts w:hint="eastAsia" w:ascii="宋体" w:hAnsi="宋体" w:eastAsia="宋体" w:cs="宋体"/>
          <w:sz w:val="21"/>
          <w:szCs w:val="21"/>
        </w:rPr>
        <w:br w:type="textWrapping"/>
      </w:r>
      <w:r>
        <w:rPr>
          <w:rFonts w:hint="eastAsia" w:ascii="宋体" w:hAnsi="宋体" w:eastAsia="宋体" w:cs="宋体"/>
          <w:sz w:val="21"/>
          <w:szCs w:val="21"/>
        </w:rPr>
        <w:t>资料一：2012年X利润中心的营业收入为120万元，变动成本为72万元，该利润中心负责人可控固定成本为10万元，不可控但应由该利润中心负担的固定成本为8万元。</w:t>
      </w:r>
      <w:r>
        <w:rPr>
          <w:rFonts w:hint="eastAsia" w:ascii="宋体" w:hAnsi="宋体" w:eastAsia="宋体" w:cs="宋体"/>
          <w:sz w:val="21"/>
          <w:szCs w:val="21"/>
        </w:rPr>
        <w:br w:type="textWrapping"/>
      </w:r>
      <w:r>
        <w:rPr>
          <w:rFonts w:hint="eastAsia" w:ascii="宋体" w:hAnsi="宋体" w:eastAsia="宋体" w:cs="宋体"/>
          <w:sz w:val="21"/>
          <w:szCs w:val="21"/>
        </w:rPr>
        <w:t>资料二：甲公司2013年初已投资700万元，预计可实现利润98万元，现有一个投资额为300万元的投资机会，预计可获利润36万元，该企业集团要求的最低投资收益率为10%。</w:t>
      </w:r>
    </w:p>
    <w:p w14:paraId="4595AD0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（1）根据资料一，计算X利润中心2012年度的部门边际贡献。</w:t>
      </w:r>
      <w:r>
        <w:rPr>
          <w:rFonts w:hint="eastAsia" w:ascii="宋体" w:hAnsi="宋体" w:eastAsia="宋体" w:cs="宋体"/>
          <w:sz w:val="21"/>
          <w:szCs w:val="21"/>
        </w:rPr>
        <w:br w:type="textWrapping"/>
      </w:r>
      <w:r>
        <w:rPr>
          <w:rFonts w:hint="eastAsia" w:ascii="宋体" w:hAnsi="宋体" w:eastAsia="宋体" w:cs="宋体"/>
          <w:sz w:val="21"/>
          <w:szCs w:val="21"/>
        </w:rPr>
        <w:t>（2）根据资料二，计算甲公司接受新投资机会前的投资收益率和剩余收益。</w:t>
      </w:r>
      <w:r>
        <w:rPr>
          <w:rFonts w:hint="eastAsia" w:ascii="宋体" w:hAnsi="宋体" w:eastAsia="宋体" w:cs="宋体"/>
          <w:sz w:val="21"/>
          <w:szCs w:val="21"/>
        </w:rPr>
        <w:br w:type="textWrapping"/>
      </w:r>
      <w:r>
        <w:rPr>
          <w:rFonts w:hint="eastAsia" w:ascii="宋体" w:hAnsi="宋体" w:eastAsia="宋体" w:cs="宋体"/>
          <w:sz w:val="21"/>
          <w:szCs w:val="21"/>
        </w:rPr>
        <w:t>（3）根据资料二，计算甲公司接受新投资机会后的投资收益率和剩余收益。</w:t>
      </w:r>
      <w:r>
        <w:rPr>
          <w:rFonts w:hint="eastAsia" w:ascii="宋体" w:hAnsi="宋体" w:eastAsia="宋体" w:cs="宋体"/>
          <w:sz w:val="21"/>
          <w:szCs w:val="21"/>
        </w:rPr>
        <w:br w:type="textWrapping"/>
      </w:r>
      <w:r>
        <w:rPr>
          <w:rFonts w:hint="eastAsia" w:ascii="宋体" w:hAnsi="宋体" w:eastAsia="宋体" w:cs="宋体"/>
          <w:sz w:val="21"/>
          <w:szCs w:val="21"/>
        </w:rPr>
        <w:t>（4）根据（2），（3）的计算结果从企业集团整体利益的角度，分析甲公司是否应接受新投资机会，并说明理由。</w:t>
      </w:r>
    </w:p>
    <w:p w14:paraId="575B78A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（1）部门边际贡献＝120－72－10－8＝30（万元）</w:t>
      </w:r>
      <w:r>
        <w:rPr>
          <w:rFonts w:hint="eastAsia" w:ascii="宋体" w:hAnsi="宋体" w:eastAsia="宋体" w:cs="宋体"/>
          <w:sz w:val="21"/>
          <w:szCs w:val="21"/>
        </w:rPr>
        <w:br w:type="textWrapping"/>
      </w:r>
      <w:r>
        <w:rPr>
          <w:rFonts w:hint="eastAsia" w:ascii="宋体" w:hAnsi="宋体" w:eastAsia="宋体" w:cs="宋体"/>
          <w:sz w:val="21"/>
          <w:szCs w:val="21"/>
        </w:rPr>
        <w:t>（2）投资收益率＝98/700×100%＝14%</w:t>
      </w:r>
      <w:r>
        <w:rPr>
          <w:rFonts w:hint="eastAsia" w:ascii="宋体" w:hAnsi="宋体" w:eastAsia="宋体" w:cs="宋体"/>
          <w:sz w:val="21"/>
          <w:szCs w:val="21"/>
        </w:rPr>
        <w:br w:type="textWrapping"/>
      </w:r>
      <w:r>
        <w:rPr>
          <w:rFonts w:hint="eastAsia" w:ascii="宋体" w:hAnsi="宋体" w:eastAsia="宋体" w:cs="宋体"/>
          <w:sz w:val="21"/>
          <w:szCs w:val="21"/>
        </w:rPr>
        <w:t>剩余收益＝98－700×10%＝28（万元）</w:t>
      </w:r>
      <w:r>
        <w:rPr>
          <w:rFonts w:hint="eastAsia" w:ascii="宋体" w:hAnsi="宋体" w:eastAsia="宋体" w:cs="宋体"/>
          <w:sz w:val="21"/>
          <w:szCs w:val="21"/>
        </w:rPr>
        <w:br w:type="textWrapping"/>
      </w:r>
      <w:r>
        <w:rPr>
          <w:rFonts w:hint="eastAsia" w:ascii="宋体" w:hAnsi="宋体" w:eastAsia="宋体" w:cs="宋体"/>
          <w:sz w:val="21"/>
          <w:szCs w:val="21"/>
        </w:rPr>
        <w:t>（3）投资收益率＝（98＋36）/（700＋300）×100%＝13.4%</w:t>
      </w:r>
      <w:r>
        <w:rPr>
          <w:rFonts w:hint="eastAsia" w:ascii="宋体" w:hAnsi="宋体" w:eastAsia="宋体" w:cs="宋体"/>
          <w:sz w:val="21"/>
          <w:szCs w:val="21"/>
        </w:rPr>
        <w:br w:type="textWrapping"/>
      </w:r>
      <w:r>
        <w:rPr>
          <w:rFonts w:hint="eastAsia" w:ascii="宋体" w:hAnsi="宋体" w:eastAsia="宋体" w:cs="宋体"/>
          <w:sz w:val="21"/>
          <w:szCs w:val="21"/>
        </w:rPr>
        <w:t>剩余收益＝（98＋36）－（700＋300）×10%＝34（万元）</w:t>
      </w:r>
      <w:r>
        <w:rPr>
          <w:rFonts w:hint="eastAsia" w:ascii="宋体" w:hAnsi="宋体" w:eastAsia="宋体" w:cs="宋体"/>
          <w:sz w:val="21"/>
          <w:szCs w:val="21"/>
        </w:rPr>
        <w:br w:type="textWrapping"/>
      </w:r>
      <w:r>
        <w:rPr>
          <w:rFonts w:hint="eastAsia" w:ascii="宋体" w:hAnsi="宋体" w:eastAsia="宋体" w:cs="宋体"/>
          <w:sz w:val="21"/>
          <w:szCs w:val="21"/>
        </w:rPr>
        <w:t>从企业集团整体利益角度，甲公司应该接受新投资机会。因为接受新投资机会后，甲公司的剩余收益增加了。</w:t>
      </w:r>
    </w:p>
    <w:p w14:paraId="3833A7B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25595B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color w:val="FF0000"/>
          <w:sz w:val="21"/>
          <w:szCs w:val="21"/>
        </w:rPr>
        <w:t>【考点2】内部转移价格制定</w:t>
      </w:r>
      <w:r>
        <w:rPr>
          <w:rFonts w:hint="eastAsia" w:ascii="宋体" w:hAnsi="宋体" w:eastAsia="宋体" w:cs="宋体"/>
          <w:sz w:val="21"/>
          <w:szCs w:val="21"/>
        </w:rPr>
        <w:br w:type="textWrapping"/>
      </w:r>
    </w:p>
    <w:p w14:paraId="09F4AE1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【例·单选题】公司采用协商价格作为内部转移价格时，协商价格的下限一般为（  ）</w:t>
      </w:r>
      <w:r>
        <w:rPr>
          <w:rFonts w:hint="eastAsia" w:ascii="宋体" w:hAnsi="宋体" w:eastAsia="宋体" w:cs="宋体"/>
          <w:sz w:val="21"/>
          <w:szCs w:val="21"/>
        </w:rPr>
        <w:br w:type="textWrapping"/>
      </w:r>
      <w:r>
        <w:rPr>
          <w:rFonts w:hint="eastAsia" w:ascii="宋体" w:hAnsi="宋体" w:eastAsia="宋体" w:cs="宋体"/>
          <w:sz w:val="21"/>
          <w:szCs w:val="21"/>
        </w:rPr>
        <w:t xml:space="preserve">A.完全成本加成               </w:t>
      </w:r>
      <w:r>
        <w:rPr>
          <w:rFonts w:hint="eastAsia" w:ascii="宋体" w:hAnsi="宋体" w:eastAsia="宋体" w:cs="宋体"/>
          <w:sz w:val="21"/>
          <w:szCs w:val="21"/>
        </w:rPr>
        <w:br w:type="textWrapping"/>
      </w:r>
      <w:r>
        <w:rPr>
          <w:rFonts w:hint="eastAsia" w:ascii="宋体" w:hAnsi="宋体" w:eastAsia="宋体" w:cs="宋体"/>
          <w:sz w:val="21"/>
          <w:szCs w:val="21"/>
        </w:rPr>
        <w:t xml:space="preserve">B.市场价格         </w:t>
      </w:r>
      <w:r>
        <w:rPr>
          <w:rFonts w:hint="eastAsia" w:ascii="宋体" w:hAnsi="宋体" w:eastAsia="宋体" w:cs="宋体"/>
          <w:sz w:val="21"/>
          <w:szCs w:val="21"/>
        </w:rPr>
        <w:br w:type="textWrapping"/>
      </w:r>
      <w:r>
        <w:rPr>
          <w:rFonts w:hint="eastAsia" w:ascii="宋体" w:hAnsi="宋体" w:eastAsia="宋体" w:cs="宋体"/>
          <w:sz w:val="21"/>
          <w:szCs w:val="21"/>
        </w:rPr>
        <w:t xml:space="preserve">C.单位变动成本                 </w:t>
      </w:r>
      <w:r>
        <w:rPr>
          <w:rFonts w:hint="eastAsia" w:ascii="宋体" w:hAnsi="宋体" w:eastAsia="宋体" w:cs="宋体"/>
          <w:sz w:val="21"/>
          <w:szCs w:val="21"/>
        </w:rPr>
        <w:br w:type="textWrapping"/>
      </w:r>
      <w:r>
        <w:rPr>
          <w:rFonts w:hint="eastAsia" w:ascii="宋体" w:hAnsi="宋体" w:eastAsia="宋体" w:cs="宋体"/>
          <w:sz w:val="21"/>
          <w:szCs w:val="21"/>
        </w:rPr>
        <w:t>D.单位完全成本</w:t>
      </w:r>
      <w:r>
        <w:rPr>
          <w:rFonts w:hint="eastAsia" w:ascii="宋体" w:hAnsi="宋体" w:eastAsia="宋体" w:cs="宋体"/>
          <w:sz w:val="21"/>
          <w:szCs w:val="21"/>
        </w:rPr>
        <w:br w:type="textWrapping"/>
      </w: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解析：协商价格的上限是市场价格，下限则是单位变动成本。</w:t>
      </w:r>
    </w:p>
    <w:p w14:paraId="6D9BE46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60BBB13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【例·单选题】以成本为基础制定内部转移价格时，下列各项中，不适合作为转移定价基础的是（  ）。</w:t>
      </w:r>
      <w:r>
        <w:rPr>
          <w:rFonts w:hint="eastAsia" w:ascii="宋体" w:hAnsi="宋体" w:eastAsia="宋体" w:cs="宋体"/>
          <w:sz w:val="21"/>
          <w:szCs w:val="21"/>
        </w:rPr>
        <w:br w:type="textWrapping"/>
      </w:r>
      <w:r>
        <w:rPr>
          <w:rFonts w:hint="eastAsia" w:ascii="宋体" w:hAnsi="宋体" w:eastAsia="宋体" w:cs="宋体"/>
          <w:sz w:val="21"/>
          <w:szCs w:val="21"/>
        </w:rPr>
        <w:t xml:space="preserve">A.变动成本  </w:t>
      </w:r>
      <w:r>
        <w:rPr>
          <w:rFonts w:hint="eastAsia" w:ascii="宋体" w:hAnsi="宋体" w:eastAsia="宋体" w:cs="宋体"/>
          <w:sz w:val="21"/>
          <w:szCs w:val="21"/>
        </w:rPr>
        <w:br w:type="textWrapping"/>
      </w:r>
      <w:r>
        <w:rPr>
          <w:rFonts w:hint="eastAsia" w:ascii="宋体" w:hAnsi="宋体" w:eastAsia="宋体" w:cs="宋体"/>
          <w:sz w:val="21"/>
          <w:szCs w:val="21"/>
        </w:rPr>
        <w:t xml:space="preserve">B.固定成本  </w:t>
      </w:r>
      <w:r>
        <w:rPr>
          <w:rFonts w:hint="eastAsia" w:ascii="宋体" w:hAnsi="宋体" w:eastAsia="宋体" w:cs="宋体"/>
          <w:sz w:val="21"/>
          <w:szCs w:val="21"/>
        </w:rPr>
        <w:br w:type="textWrapping"/>
      </w:r>
      <w:r>
        <w:rPr>
          <w:rFonts w:hint="eastAsia" w:ascii="宋体" w:hAnsi="宋体" w:eastAsia="宋体" w:cs="宋体"/>
          <w:sz w:val="21"/>
          <w:szCs w:val="21"/>
        </w:rPr>
        <w:t xml:space="preserve">C.变动成本加固定制造费用   </w:t>
      </w:r>
      <w:r>
        <w:rPr>
          <w:rFonts w:hint="eastAsia" w:ascii="宋体" w:hAnsi="宋体" w:eastAsia="宋体" w:cs="宋体"/>
          <w:sz w:val="21"/>
          <w:szCs w:val="21"/>
        </w:rPr>
        <w:br w:type="textWrapping"/>
      </w:r>
      <w:r>
        <w:rPr>
          <w:rFonts w:hint="eastAsia" w:ascii="宋体" w:hAnsi="宋体" w:eastAsia="宋体" w:cs="宋体"/>
          <w:sz w:val="21"/>
          <w:szCs w:val="21"/>
        </w:rPr>
        <w:t>D.完全成本</w:t>
      </w:r>
      <w:r>
        <w:rPr>
          <w:rFonts w:hint="eastAsia" w:ascii="宋体" w:hAnsi="宋体" w:eastAsia="宋体" w:cs="宋体"/>
          <w:sz w:val="21"/>
          <w:szCs w:val="21"/>
        </w:rPr>
        <w:br w:type="textWrapping"/>
      </w:r>
      <w:r>
        <w:rPr>
          <w:rFonts w:hint="eastAsia" w:ascii="宋体" w:hAnsi="宋体" w:eastAsia="宋体" w:cs="宋体"/>
          <w:sz w:val="21"/>
          <w:szCs w:val="21"/>
        </w:rPr>
        <w:t>答案：B</w:t>
      </w:r>
      <w:r>
        <w:rPr>
          <w:rFonts w:hint="eastAsia" w:ascii="宋体" w:hAnsi="宋体" w:eastAsia="宋体" w:cs="宋体"/>
          <w:sz w:val="21"/>
          <w:szCs w:val="21"/>
        </w:rPr>
        <w:br w:type="textWrapping"/>
      </w:r>
      <w:r>
        <w:rPr>
          <w:rFonts w:hint="eastAsia" w:ascii="宋体" w:hAnsi="宋体" w:eastAsia="宋体" w:cs="宋体"/>
          <w:sz w:val="21"/>
          <w:szCs w:val="21"/>
        </w:rPr>
        <w:t>解析：成本型内部转移定价包括完全成本、完全成本加成、变动成本以及变动成本加固定制造费用四种形式。</w:t>
      </w:r>
    </w:p>
    <w:p w14:paraId="72AE9D2A">
      <w:pPr>
        <w:widowControl w:val="0"/>
        <w:autoSpaceDE w:val="0"/>
        <w:autoSpaceDN w:val="0"/>
        <w:adjustRightInd w:val="0"/>
        <w:snapToGrid w:val="0"/>
        <w:spacing w:line="360" w:lineRule="auto"/>
        <w:rPr>
          <w:rFonts w:hint="eastAsia" w:ascii="宋体" w:hAnsi="宋体" w:cs="宋体"/>
          <w:b/>
          <w:color w:val="auto"/>
          <w:sz w:val="21"/>
          <w:szCs w:val="21"/>
        </w:rPr>
      </w:pPr>
      <w:r>
        <w:rPr>
          <w:rFonts w:hint="eastAsia" w:ascii="宋体" w:hAnsi="宋体" w:cs="宋体"/>
          <w:b/>
          <w:color w:val="auto"/>
          <w:sz w:val="21"/>
          <w:szCs w:val="21"/>
        </w:rPr>
        <w:t>第九章</w:t>
      </w:r>
      <w:r>
        <w:rPr>
          <w:rFonts w:hint="eastAsia" w:ascii="宋体" w:hAnsi="宋体" w:cs="宋体"/>
          <w:b/>
          <w:color w:val="auto"/>
          <w:sz w:val="21"/>
          <w:szCs w:val="21"/>
          <w:lang w:val="en-US" w:eastAsia="zh-CN"/>
        </w:rPr>
        <w:t xml:space="preserve"> </w:t>
      </w:r>
      <w:r>
        <w:rPr>
          <w:rFonts w:hint="eastAsia" w:ascii="宋体" w:hAnsi="宋体" w:cs="宋体"/>
          <w:b/>
          <w:color w:val="auto"/>
          <w:sz w:val="21"/>
          <w:szCs w:val="21"/>
        </w:rPr>
        <w:t>收入与分配管理</w:t>
      </w:r>
    </w:p>
    <w:p w14:paraId="68224197">
      <w:pPr>
        <w:widowControl w:val="0"/>
        <w:autoSpaceDE w:val="0"/>
        <w:autoSpaceDN w:val="0"/>
        <w:adjustRightInd w:val="0"/>
        <w:snapToGrid w:val="0"/>
        <w:spacing w:line="360" w:lineRule="auto"/>
        <w:rPr>
          <w:rFonts w:hint="eastAsia" w:ascii="宋体" w:hAnsi="宋体" w:cs="宋体"/>
          <w:color w:val="auto"/>
          <w:sz w:val="21"/>
          <w:szCs w:val="21"/>
        </w:rPr>
      </w:pPr>
    </w:p>
    <w:p w14:paraId="0A578C67">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本章属于重点章节，考分</w:t>
      </w:r>
      <w:r>
        <w:rPr>
          <w:rFonts w:hint="eastAsia" w:ascii="宋体" w:hAnsi="宋体" w:cs="宋体"/>
          <w:color w:val="auto"/>
          <w:sz w:val="21"/>
          <w:szCs w:val="21"/>
          <w:lang w:val="en-US" w:eastAsia="zh-CN"/>
        </w:rPr>
        <w:t>8.5</w:t>
      </w:r>
      <w:r>
        <w:rPr>
          <w:rFonts w:hint="eastAsia" w:ascii="宋体" w:hAnsi="宋体" w:cs="宋体"/>
          <w:color w:val="auto"/>
          <w:sz w:val="21"/>
          <w:szCs w:val="21"/>
        </w:rPr>
        <w:t>分左右，考点如下：</w:t>
      </w:r>
    </w:p>
    <w:p w14:paraId="1857F95D">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（一）收入管理（销售预测分析、销售定价分析）</w:t>
      </w:r>
    </w:p>
    <w:p w14:paraId="2B94AAA1">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（二）分配管理（股利政策、分配理论、股利支付形式、股票分割与回购）</w:t>
      </w:r>
    </w:p>
    <w:p w14:paraId="0C6F5901">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w:t>
      </w:r>
      <w:r>
        <w:rPr>
          <w:rFonts w:hint="eastAsia" w:ascii="宋体" w:hAnsi="宋体" w:cs="宋体"/>
          <w:color w:val="auto"/>
          <w:sz w:val="21"/>
          <w:szCs w:val="21"/>
        </w:rPr>
        <w:t>考点</w:t>
      </w:r>
      <w:r>
        <w:rPr>
          <w:rFonts w:hint="eastAsia" w:ascii="宋体" w:hAnsi="宋体" w:cs="宋体"/>
          <w:color w:val="auto"/>
          <w:sz w:val="21"/>
          <w:szCs w:val="21"/>
          <w:lang w:val="en-US" w:eastAsia="zh-CN"/>
        </w:rPr>
        <w:t>1】</w:t>
      </w:r>
      <w:r>
        <w:rPr>
          <w:rFonts w:hint="eastAsia" w:ascii="宋体" w:hAnsi="宋体" w:cs="宋体"/>
          <w:color w:val="auto"/>
          <w:sz w:val="21"/>
          <w:szCs w:val="21"/>
        </w:rPr>
        <w:t>销售预测的定量分析法</w:t>
      </w:r>
    </w:p>
    <w:p w14:paraId="3C141FEA">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default"/>
          <w:sz w:val="21"/>
          <w:szCs w:val="24"/>
        </w:rPr>
        <w:pict>
          <v:shape id="_x0000_i1042" o:spt="75" type="#_x0000_t75" style="height:159.8pt;width:226.75pt;" filled="f" o:preferrelative="t" stroked="f" coordsize="21600,21600">
            <v:path/>
            <v:fill on="f" focussize="0,0"/>
            <v:stroke on="f"/>
            <v:imagedata r:id="rId31" blacklevel="3932f" o:title=""/>
            <o:lock v:ext="edit" aspectratio="t"/>
            <w10:wrap type="none"/>
            <w10:anchorlock/>
          </v:shape>
        </w:pict>
      </w:r>
    </w:p>
    <w:p w14:paraId="4418F0C3">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w:t>
      </w:r>
      <w:r>
        <w:rPr>
          <w:rFonts w:hint="eastAsia" w:ascii="宋体" w:hAnsi="宋体" w:cs="宋体"/>
          <w:color w:val="auto"/>
          <w:sz w:val="21"/>
          <w:szCs w:val="21"/>
        </w:rPr>
        <w:t>考点</w:t>
      </w:r>
      <w:r>
        <w:rPr>
          <w:rFonts w:hint="eastAsia" w:ascii="宋体" w:hAnsi="宋体" w:cs="宋体"/>
          <w:color w:val="auto"/>
          <w:sz w:val="21"/>
          <w:szCs w:val="21"/>
          <w:lang w:val="en-US" w:eastAsia="zh-CN"/>
        </w:rPr>
        <w:t>2】</w:t>
      </w:r>
      <w:r>
        <w:rPr>
          <w:rFonts w:hint="eastAsia" w:ascii="宋体" w:hAnsi="宋体" w:cs="宋体"/>
          <w:color w:val="auto"/>
          <w:sz w:val="21"/>
          <w:szCs w:val="21"/>
        </w:rPr>
        <w:t>销售预测的定性分析法</w:t>
      </w:r>
    </w:p>
    <w:p w14:paraId="781B3ACA">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1.</w:t>
      </w:r>
      <w:r>
        <w:rPr>
          <w:rFonts w:hint="eastAsia" w:ascii="宋体" w:hAnsi="宋体" w:cs="宋体"/>
          <w:color w:val="auto"/>
          <w:sz w:val="21"/>
          <w:szCs w:val="21"/>
        </w:rPr>
        <w:t>营销员判断法</w:t>
      </w:r>
    </w:p>
    <w:p w14:paraId="022C0985">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2.</w:t>
      </w:r>
      <w:r>
        <w:rPr>
          <w:rFonts w:hint="eastAsia" w:ascii="宋体" w:hAnsi="宋体" w:cs="宋体"/>
          <w:color w:val="auto"/>
          <w:sz w:val="21"/>
          <w:szCs w:val="21"/>
        </w:rPr>
        <w:t>专家判断法</w:t>
      </w:r>
    </w:p>
    <w:p w14:paraId="6CDD1537">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rPr>
        <w:t>产品寿命周期分析法</w:t>
      </w:r>
    </w:p>
    <w:p w14:paraId="1B7F0BAC">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p>
    <w:p w14:paraId="256218E8">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属于销售预测定量分析方法的是（  ）。</w:t>
      </w:r>
    </w:p>
    <w:p w14:paraId="4CBDE7A4">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A.</w:t>
      </w:r>
      <w:r>
        <w:rPr>
          <w:rFonts w:hint="eastAsia" w:ascii="宋体" w:hAnsi="宋体" w:cs="宋体"/>
          <w:color w:val="auto"/>
          <w:sz w:val="21"/>
          <w:szCs w:val="21"/>
        </w:rPr>
        <w:t xml:space="preserve">营销员判断法                         </w:t>
      </w:r>
    </w:p>
    <w:p w14:paraId="665A410B">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B.</w:t>
      </w:r>
      <w:r>
        <w:rPr>
          <w:rFonts w:hint="eastAsia" w:ascii="宋体" w:hAnsi="宋体" w:cs="宋体"/>
          <w:color w:val="auto"/>
          <w:sz w:val="21"/>
          <w:szCs w:val="21"/>
        </w:rPr>
        <w:t xml:space="preserve">专家判断法       </w:t>
      </w:r>
    </w:p>
    <w:p w14:paraId="49515993">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C.</w:t>
      </w:r>
      <w:r>
        <w:rPr>
          <w:rFonts w:hint="eastAsia" w:ascii="宋体" w:hAnsi="宋体" w:cs="宋体"/>
          <w:color w:val="auto"/>
          <w:sz w:val="21"/>
          <w:szCs w:val="21"/>
        </w:rPr>
        <w:t xml:space="preserve">产品寿命周期分析法                    </w:t>
      </w:r>
    </w:p>
    <w:p w14:paraId="089EBC56">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D.</w:t>
      </w:r>
      <w:r>
        <w:rPr>
          <w:rFonts w:hint="eastAsia" w:ascii="宋体" w:hAnsi="宋体" w:cs="宋体"/>
          <w:color w:val="auto"/>
          <w:sz w:val="21"/>
          <w:szCs w:val="21"/>
        </w:rPr>
        <w:t>趋势预测分析法</w:t>
      </w:r>
    </w:p>
    <w:p w14:paraId="4411D0F7">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D</w:t>
      </w:r>
    </w:p>
    <w:p w14:paraId="0EE56CFE">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销售预测的定性分析法包括营销员判断法、专家判断法、产品寿命周期分析法。销售预测定量分析方法包括趋势预测分析法和因果预测分析法。</w:t>
      </w:r>
    </w:p>
    <w:p w14:paraId="41F8A6D7">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p>
    <w:p w14:paraId="107FDF70">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下列各项销售预测分析方法中，属于定性分析法的是（  ）。</w:t>
      </w:r>
    </w:p>
    <w:p w14:paraId="68197B6F">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w:t>
      </w:r>
      <w:r>
        <w:rPr>
          <w:rFonts w:hint="eastAsia" w:ascii="宋体" w:hAnsi="宋体" w:cs="宋体"/>
          <w:color w:val="auto"/>
          <w:sz w:val="21"/>
          <w:szCs w:val="21"/>
        </w:rPr>
        <w:t xml:space="preserve">加权平均法             </w:t>
      </w:r>
      <w:r>
        <w:rPr>
          <w:rFonts w:hint="eastAsia" w:ascii="宋体" w:hAnsi="宋体" w:cs="宋体"/>
          <w:color w:val="auto"/>
          <w:sz w:val="21"/>
          <w:szCs w:val="21"/>
          <w:lang w:val="en-US" w:eastAsia="zh-CN"/>
        </w:rPr>
        <w:t>B.</w:t>
      </w:r>
      <w:r>
        <w:rPr>
          <w:rFonts w:hint="eastAsia" w:ascii="宋体" w:hAnsi="宋体" w:cs="宋体"/>
          <w:color w:val="auto"/>
          <w:sz w:val="21"/>
          <w:szCs w:val="21"/>
        </w:rPr>
        <w:t xml:space="preserve">指数平滑法    </w:t>
      </w:r>
    </w:p>
    <w:p w14:paraId="27FE5E03">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C.</w:t>
      </w:r>
      <w:r>
        <w:rPr>
          <w:rFonts w:hint="eastAsia" w:ascii="宋体" w:hAnsi="宋体" w:cs="宋体"/>
          <w:color w:val="auto"/>
          <w:sz w:val="21"/>
          <w:szCs w:val="21"/>
        </w:rPr>
        <w:t xml:space="preserve">因果预测分析法      </w:t>
      </w:r>
      <w:r>
        <w:rPr>
          <w:rFonts w:hint="eastAsia" w:ascii="宋体" w:hAnsi="宋体" w:cs="宋体"/>
          <w:color w:val="auto"/>
          <w:sz w:val="21"/>
          <w:szCs w:val="21"/>
          <w:lang w:val="en-US" w:eastAsia="zh-CN"/>
        </w:rPr>
        <w:t>D.</w:t>
      </w:r>
      <w:r>
        <w:rPr>
          <w:rFonts w:hint="eastAsia" w:ascii="宋体" w:hAnsi="宋体" w:cs="宋体"/>
          <w:color w:val="auto"/>
          <w:sz w:val="21"/>
          <w:szCs w:val="21"/>
        </w:rPr>
        <w:t>营销员判断法</w:t>
      </w:r>
    </w:p>
    <w:p w14:paraId="46CA7958">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D</w:t>
      </w:r>
    </w:p>
    <w:p w14:paraId="5164537C">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定性分析法，即非数量分析法，是指由专业人员根据实际经验，对预测对象的未来情况及发展趋势做出预测的一种分析方法。它一般适用于预测对象的历史资料不完备或无法进行定量分析时，主要包括营销员判断法、专家判断法和产品寿命周期分析法，选项</w:t>
      </w:r>
      <w:r>
        <w:rPr>
          <w:rFonts w:hint="eastAsia" w:ascii="宋体" w:hAnsi="宋体" w:cs="宋体"/>
          <w:color w:val="auto"/>
          <w:sz w:val="21"/>
          <w:szCs w:val="21"/>
          <w:lang w:val="en-US" w:eastAsia="zh-CN"/>
        </w:rPr>
        <w:t>D</w:t>
      </w:r>
      <w:r>
        <w:rPr>
          <w:rFonts w:hint="eastAsia" w:ascii="宋体" w:hAnsi="宋体" w:cs="宋体"/>
          <w:color w:val="auto"/>
          <w:sz w:val="21"/>
          <w:szCs w:val="21"/>
        </w:rPr>
        <w:t>正确</w:t>
      </w:r>
    </w:p>
    <w:p w14:paraId="74A58CB6">
      <w:pPr>
        <w:widowControl w:val="0"/>
        <w:autoSpaceDE w:val="0"/>
        <w:autoSpaceDN w:val="0"/>
        <w:adjustRightInd w:val="0"/>
        <w:snapToGrid w:val="0"/>
        <w:spacing w:line="360" w:lineRule="auto"/>
        <w:rPr>
          <w:rFonts w:hint="eastAsia" w:ascii="宋体" w:hAnsi="宋体" w:cs="宋体"/>
          <w:color w:val="auto"/>
          <w:sz w:val="21"/>
          <w:szCs w:val="21"/>
        </w:rPr>
      </w:pPr>
    </w:p>
    <w:p w14:paraId="622E0089">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w:t>
      </w:r>
      <w:r>
        <w:rPr>
          <w:rFonts w:hint="eastAsia" w:ascii="宋体" w:hAnsi="宋体" w:cs="宋体"/>
          <w:color w:val="auto"/>
          <w:sz w:val="21"/>
          <w:szCs w:val="21"/>
        </w:rPr>
        <w:t>考点</w:t>
      </w:r>
      <w:r>
        <w:rPr>
          <w:rFonts w:hint="eastAsia" w:ascii="宋体" w:hAnsi="宋体" w:cs="宋体"/>
          <w:color w:val="auto"/>
          <w:sz w:val="21"/>
          <w:szCs w:val="21"/>
          <w:lang w:val="en-US" w:eastAsia="zh-CN"/>
        </w:rPr>
        <w:t>3】</w:t>
      </w:r>
      <w:r>
        <w:rPr>
          <w:rFonts w:hint="eastAsia" w:ascii="宋体" w:hAnsi="宋体" w:cs="宋体"/>
          <w:color w:val="auto"/>
          <w:sz w:val="21"/>
          <w:szCs w:val="21"/>
        </w:rPr>
        <w:t>产品定价方法</w:t>
      </w:r>
    </w:p>
    <w:p w14:paraId="308FDD52">
      <w:pPr>
        <w:widowControl w:val="0"/>
        <w:autoSpaceDE w:val="0"/>
        <w:autoSpaceDN w:val="0"/>
        <w:adjustRightInd w:val="0"/>
        <w:snapToGrid w:val="0"/>
        <w:spacing w:line="360" w:lineRule="auto"/>
        <w:rPr>
          <w:rFonts w:hint="default"/>
          <w:sz w:val="21"/>
          <w:szCs w:val="24"/>
        </w:rPr>
      </w:pPr>
      <w:r>
        <w:rPr>
          <w:rFonts w:hint="default"/>
          <w:sz w:val="21"/>
          <w:szCs w:val="24"/>
        </w:rPr>
        <w:pict>
          <v:shape id="_x0000_i1040" o:spt="75" type="#_x0000_t75" style="height:99.6pt;width:285.55pt;" filled="f" o:preferrelative="t" stroked="f" coordsize="21600,21600">
            <v:path/>
            <v:fill on="f" focussize="0,0"/>
            <v:stroke on="f"/>
            <v:imagedata r:id="rId32" o:title=""/>
            <o:lock v:ext="edit" aspectratio="t"/>
            <w10:wrap type="none"/>
            <w10:anchorlock/>
          </v:shape>
        </w:pict>
      </w:r>
    </w:p>
    <w:p w14:paraId="62B2158C">
      <w:pPr>
        <w:widowControl w:val="0"/>
        <w:autoSpaceDE w:val="0"/>
        <w:autoSpaceDN w:val="0"/>
        <w:adjustRightInd w:val="0"/>
        <w:snapToGrid w:val="0"/>
        <w:spacing w:line="360" w:lineRule="auto"/>
        <w:rPr>
          <w:rFonts w:hint="eastAsia"/>
          <w:sz w:val="21"/>
          <w:szCs w:val="24"/>
          <w:lang w:val="en-US" w:eastAsia="zh-CN"/>
        </w:rPr>
      </w:pPr>
    </w:p>
    <w:p w14:paraId="1C3285A5">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下列各项产品定价方法中，以市场需求为基础的是（  ）。</w:t>
      </w:r>
    </w:p>
    <w:p w14:paraId="08B8942E">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w:t>
      </w:r>
      <w:r>
        <w:rPr>
          <w:rFonts w:hint="eastAsia" w:ascii="宋体" w:hAnsi="宋体" w:cs="宋体"/>
          <w:color w:val="auto"/>
          <w:sz w:val="21"/>
          <w:szCs w:val="21"/>
        </w:rPr>
        <w:t xml:space="preserve">目标利润定价法   </w:t>
      </w:r>
    </w:p>
    <w:p w14:paraId="79011FEF">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rPr>
        <w:t xml:space="preserve">保本点定价法   </w:t>
      </w:r>
    </w:p>
    <w:p w14:paraId="740359B8">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w:t>
      </w:r>
      <w:r>
        <w:rPr>
          <w:rFonts w:hint="eastAsia" w:ascii="宋体" w:hAnsi="宋体" w:cs="宋体"/>
          <w:color w:val="auto"/>
          <w:sz w:val="21"/>
          <w:szCs w:val="21"/>
        </w:rPr>
        <w:t xml:space="preserve">边际分析定价法  </w:t>
      </w:r>
    </w:p>
    <w:p w14:paraId="240708D0">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D.</w:t>
      </w:r>
      <w:r>
        <w:rPr>
          <w:rFonts w:hint="eastAsia" w:ascii="宋体" w:hAnsi="宋体" w:cs="宋体"/>
          <w:color w:val="auto"/>
          <w:sz w:val="21"/>
          <w:szCs w:val="21"/>
        </w:rPr>
        <w:t>变动成本定价法</w:t>
      </w:r>
    </w:p>
    <w:p w14:paraId="7938289D">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C</w:t>
      </w:r>
    </w:p>
    <w:p w14:paraId="1AD8C737">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以市场需求为基础的定价方法包括需求价格弹性系数定价法和边际分析定价法，选项</w:t>
      </w:r>
      <w:r>
        <w:rPr>
          <w:rFonts w:hint="eastAsia" w:ascii="宋体" w:hAnsi="宋体" w:cs="宋体"/>
          <w:color w:val="auto"/>
          <w:sz w:val="21"/>
          <w:szCs w:val="21"/>
          <w:lang w:val="en-US" w:eastAsia="zh-CN"/>
        </w:rPr>
        <w:t>C</w:t>
      </w:r>
      <w:r>
        <w:rPr>
          <w:rFonts w:hint="eastAsia" w:ascii="宋体" w:hAnsi="宋体" w:cs="宋体"/>
          <w:color w:val="auto"/>
          <w:sz w:val="21"/>
          <w:szCs w:val="21"/>
        </w:rPr>
        <w:t>正确。</w:t>
      </w:r>
    </w:p>
    <w:p w14:paraId="2FB18591">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p>
    <w:p w14:paraId="072C65A0">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 xml:space="preserve">某企业生产 </w:t>
      </w:r>
      <w:r>
        <w:rPr>
          <w:rFonts w:hint="eastAsia" w:ascii="宋体" w:hAnsi="宋体" w:cs="宋体"/>
          <w:color w:val="auto"/>
          <w:sz w:val="21"/>
          <w:szCs w:val="21"/>
          <w:lang w:val="en-US" w:eastAsia="zh-CN"/>
        </w:rPr>
        <w:t xml:space="preserve">M </w:t>
      </w:r>
      <w:r>
        <w:rPr>
          <w:rFonts w:hint="eastAsia" w:ascii="宋体" w:hAnsi="宋体" w:cs="宋体"/>
          <w:color w:val="auto"/>
          <w:sz w:val="21"/>
          <w:szCs w:val="21"/>
        </w:rPr>
        <w:t xml:space="preserve">产品，计划销售量为 </w:t>
      </w:r>
      <w:r>
        <w:rPr>
          <w:rFonts w:hint="eastAsia" w:ascii="宋体" w:hAnsi="宋体" w:cs="宋体"/>
          <w:color w:val="auto"/>
          <w:sz w:val="21"/>
          <w:szCs w:val="21"/>
          <w:lang w:val="en-US" w:eastAsia="zh-CN"/>
        </w:rPr>
        <w:t xml:space="preserve">20000 </w:t>
      </w:r>
      <w:r>
        <w:rPr>
          <w:rFonts w:hint="eastAsia" w:ascii="宋体" w:hAnsi="宋体" w:cs="宋体"/>
          <w:color w:val="auto"/>
          <w:sz w:val="21"/>
          <w:szCs w:val="21"/>
        </w:rPr>
        <w:t xml:space="preserve">件，目标利润总额为 </w:t>
      </w:r>
      <w:r>
        <w:rPr>
          <w:rFonts w:hint="eastAsia" w:ascii="宋体" w:hAnsi="宋体" w:cs="宋体"/>
          <w:color w:val="auto"/>
          <w:sz w:val="21"/>
          <w:szCs w:val="21"/>
          <w:lang w:val="en-US" w:eastAsia="zh-CN"/>
        </w:rPr>
        <w:t xml:space="preserve">400000 </w:t>
      </w:r>
      <w:r>
        <w:rPr>
          <w:rFonts w:hint="eastAsia" w:ascii="宋体" w:hAnsi="宋体" w:cs="宋体"/>
          <w:color w:val="auto"/>
          <w:sz w:val="21"/>
          <w:szCs w:val="21"/>
        </w:rPr>
        <w:t xml:space="preserve">元，完全成本总额为 </w:t>
      </w:r>
      <w:r>
        <w:rPr>
          <w:rFonts w:hint="eastAsia" w:ascii="宋体" w:hAnsi="宋体" w:cs="宋体"/>
          <w:color w:val="auto"/>
          <w:sz w:val="21"/>
          <w:szCs w:val="21"/>
          <w:lang w:val="en-US" w:eastAsia="zh-CN"/>
        </w:rPr>
        <w:t xml:space="preserve">600000 </w:t>
      </w:r>
      <w:r>
        <w:rPr>
          <w:rFonts w:hint="eastAsia" w:ascii="宋体" w:hAnsi="宋体" w:cs="宋体"/>
          <w:color w:val="auto"/>
          <w:sz w:val="21"/>
          <w:szCs w:val="21"/>
        </w:rPr>
        <w:t>元，不考虑其他因素，则使用目标利润法测算的</w:t>
      </w:r>
      <w:r>
        <w:rPr>
          <w:rFonts w:hint="eastAsia" w:ascii="宋体" w:hAnsi="宋体" w:cs="宋体"/>
          <w:color w:val="auto"/>
          <w:sz w:val="21"/>
          <w:szCs w:val="21"/>
          <w:lang w:val="en-US" w:eastAsia="zh-CN"/>
        </w:rPr>
        <w:t xml:space="preserve">M </w:t>
      </w:r>
      <w:r>
        <w:rPr>
          <w:rFonts w:hint="eastAsia" w:ascii="宋体" w:hAnsi="宋体" w:cs="宋体"/>
          <w:color w:val="auto"/>
          <w:sz w:val="21"/>
          <w:szCs w:val="21"/>
        </w:rPr>
        <w:t>产品的单价为（  ）元。</w:t>
      </w:r>
    </w:p>
    <w:p w14:paraId="33627C35">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A.10                  </w:t>
      </w:r>
    </w:p>
    <w:p w14:paraId="125038A9">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B.30                  </w:t>
      </w:r>
    </w:p>
    <w:p w14:paraId="0ED41AD6">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C.50                    </w:t>
      </w:r>
    </w:p>
    <w:p w14:paraId="7A8D35B2">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D.20</w:t>
      </w:r>
    </w:p>
    <w:p w14:paraId="71DAE0AE">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C</w:t>
      </w:r>
    </w:p>
    <w:p w14:paraId="448C65F8">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lang w:val="en-US" w:eastAsia="zh-CN"/>
        </w:rPr>
        <w:t xml:space="preserve">M </w:t>
      </w:r>
      <w:r>
        <w:rPr>
          <w:rFonts w:hint="eastAsia" w:ascii="宋体" w:hAnsi="宋体" w:cs="宋体"/>
          <w:color w:val="auto"/>
          <w:sz w:val="21"/>
          <w:szCs w:val="21"/>
        </w:rPr>
        <w:t>产品的单价＝（目标利润总额＋完全成本总额）</w:t>
      </w:r>
      <w:r>
        <w:rPr>
          <w:rFonts w:hint="eastAsia" w:ascii="宋体" w:hAnsi="宋体" w:cs="宋体"/>
          <w:color w:val="auto"/>
          <w:sz w:val="21"/>
          <w:szCs w:val="21"/>
          <w:lang w:val="en-US" w:eastAsia="zh-CN"/>
        </w:rPr>
        <w:t>/</w:t>
      </w:r>
      <w:r>
        <w:rPr>
          <w:rFonts w:hint="eastAsia" w:ascii="宋体" w:hAnsi="宋体" w:cs="宋体"/>
          <w:color w:val="auto"/>
          <w:sz w:val="21"/>
          <w:szCs w:val="21"/>
        </w:rPr>
        <w:t>销售量＝（</w:t>
      </w:r>
      <w:r>
        <w:rPr>
          <w:rFonts w:hint="eastAsia" w:ascii="宋体" w:hAnsi="宋体" w:cs="宋体"/>
          <w:color w:val="auto"/>
          <w:sz w:val="21"/>
          <w:szCs w:val="21"/>
          <w:lang w:val="en-US" w:eastAsia="zh-CN"/>
        </w:rPr>
        <w:t>400000</w:t>
      </w:r>
      <w:r>
        <w:rPr>
          <w:rFonts w:hint="eastAsia" w:ascii="宋体" w:hAnsi="宋体" w:cs="宋体"/>
          <w:color w:val="auto"/>
          <w:sz w:val="21"/>
          <w:szCs w:val="21"/>
        </w:rPr>
        <w:t>＋</w:t>
      </w:r>
      <w:r>
        <w:rPr>
          <w:rFonts w:hint="eastAsia" w:ascii="宋体" w:hAnsi="宋体" w:cs="宋体"/>
          <w:color w:val="auto"/>
          <w:sz w:val="21"/>
          <w:szCs w:val="21"/>
          <w:lang w:val="en-US" w:eastAsia="zh-CN"/>
        </w:rPr>
        <w:t>600000</w:t>
      </w:r>
      <w:r>
        <w:rPr>
          <w:rFonts w:hint="eastAsia" w:ascii="宋体" w:hAnsi="宋体" w:cs="宋体"/>
          <w:color w:val="auto"/>
          <w:sz w:val="21"/>
          <w:szCs w:val="21"/>
        </w:rPr>
        <w:t>）</w:t>
      </w:r>
      <w:r>
        <w:rPr>
          <w:rFonts w:hint="eastAsia" w:ascii="宋体" w:hAnsi="宋体" w:cs="宋体"/>
          <w:color w:val="auto"/>
          <w:sz w:val="21"/>
          <w:szCs w:val="21"/>
          <w:lang w:val="en-US" w:eastAsia="zh-CN"/>
        </w:rPr>
        <w:t>/20000</w:t>
      </w:r>
      <w:r>
        <w:rPr>
          <w:rFonts w:hint="eastAsia" w:ascii="宋体" w:hAnsi="宋体" w:cs="宋体"/>
          <w:color w:val="auto"/>
          <w:sz w:val="21"/>
          <w:szCs w:val="21"/>
        </w:rPr>
        <w:t>＝</w:t>
      </w:r>
      <w:r>
        <w:rPr>
          <w:rFonts w:hint="eastAsia" w:ascii="宋体" w:hAnsi="宋体" w:cs="宋体"/>
          <w:color w:val="auto"/>
          <w:sz w:val="21"/>
          <w:szCs w:val="21"/>
          <w:lang w:val="en-US" w:eastAsia="zh-CN"/>
        </w:rPr>
        <w:t>50</w:t>
      </w:r>
      <w:r>
        <w:rPr>
          <w:rFonts w:hint="eastAsia" w:ascii="宋体" w:hAnsi="宋体" w:cs="宋体"/>
          <w:color w:val="auto"/>
          <w:sz w:val="21"/>
          <w:szCs w:val="21"/>
        </w:rPr>
        <w:t>（元</w:t>
      </w:r>
      <w:r>
        <w:rPr>
          <w:rFonts w:hint="eastAsia" w:ascii="宋体" w:hAnsi="宋体" w:cs="宋体"/>
          <w:color w:val="auto"/>
          <w:sz w:val="21"/>
          <w:szCs w:val="21"/>
          <w:lang w:val="en-US" w:eastAsia="zh-CN"/>
        </w:rPr>
        <w:t>/</w:t>
      </w:r>
      <w:r>
        <w:rPr>
          <w:rFonts w:hint="eastAsia" w:ascii="宋体" w:hAnsi="宋体" w:cs="宋体"/>
          <w:color w:val="auto"/>
          <w:sz w:val="21"/>
          <w:szCs w:val="21"/>
        </w:rPr>
        <w:t>件）</w:t>
      </w:r>
    </w:p>
    <w:p w14:paraId="724D5B8A">
      <w:pPr>
        <w:widowControl w:val="0"/>
        <w:autoSpaceDE w:val="0"/>
        <w:autoSpaceDN w:val="0"/>
        <w:adjustRightInd w:val="0"/>
        <w:snapToGrid w:val="0"/>
        <w:spacing w:line="360" w:lineRule="auto"/>
        <w:rPr>
          <w:rFonts w:hint="eastAsia" w:ascii="宋体" w:hAnsi="宋体" w:cs="宋体"/>
          <w:color w:val="auto"/>
          <w:sz w:val="21"/>
          <w:szCs w:val="21"/>
        </w:rPr>
      </w:pPr>
    </w:p>
    <w:p w14:paraId="70BD9A2A">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某企业生产</w:t>
      </w:r>
      <w:r>
        <w:rPr>
          <w:rFonts w:hint="eastAsia" w:ascii="宋体" w:hAnsi="宋体" w:cs="宋体"/>
          <w:color w:val="auto"/>
          <w:sz w:val="21"/>
          <w:szCs w:val="21"/>
          <w:lang w:val="en-US" w:eastAsia="zh-CN"/>
        </w:rPr>
        <w:t>A</w:t>
      </w:r>
      <w:r>
        <w:rPr>
          <w:rFonts w:hint="eastAsia" w:ascii="宋体" w:hAnsi="宋体" w:cs="宋体"/>
          <w:color w:val="auto"/>
          <w:sz w:val="21"/>
          <w:szCs w:val="21"/>
        </w:rPr>
        <w:t>产品，预计单位产品的制造成本为</w:t>
      </w:r>
      <w:r>
        <w:rPr>
          <w:rFonts w:hint="eastAsia" w:ascii="宋体" w:hAnsi="宋体" w:cs="宋体"/>
          <w:color w:val="auto"/>
          <w:sz w:val="21"/>
          <w:szCs w:val="21"/>
          <w:lang w:val="en-US" w:eastAsia="zh-CN"/>
        </w:rPr>
        <w:t>200</w:t>
      </w:r>
      <w:r>
        <w:rPr>
          <w:rFonts w:hint="eastAsia" w:ascii="宋体" w:hAnsi="宋体" w:cs="宋体"/>
          <w:color w:val="auto"/>
          <w:sz w:val="21"/>
          <w:szCs w:val="21"/>
        </w:rPr>
        <w:t>元，单位产品的期间费用为</w:t>
      </w:r>
      <w:r>
        <w:rPr>
          <w:rFonts w:hint="eastAsia" w:ascii="宋体" w:hAnsi="宋体" w:cs="宋体"/>
          <w:color w:val="auto"/>
          <w:sz w:val="21"/>
          <w:szCs w:val="21"/>
          <w:lang w:val="en-US" w:eastAsia="zh-CN"/>
        </w:rPr>
        <w:t>50</w:t>
      </w:r>
      <w:r>
        <w:rPr>
          <w:rFonts w:hint="eastAsia" w:ascii="宋体" w:hAnsi="宋体" w:cs="宋体"/>
          <w:color w:val="auto"/>
          <w:sz w:val="21"/>
          <w:szCs w:val="21"/>
        </w:rPr>
        <w:t>元，销售利润率不能低于</w:t>
      </w:r>
      <w:r>
        <w:rPr>
          <w:rFonts w:hint="eastAsia" w:ascii="宋体" w:hAnsi="宋体" w:cs="宋体"/>
          <w:color w:val="auto"/>
          <w:sz w:val="21"/>
          <w:szCs w:val="21"/>
          <w:lang w:val="en-US" w:eastAsia="zh-CN"/>
        </w:rPr>
        <w:t>15%</w:t>
      </w:r>
      <w:r>
        <w:rPr>
          <w:rFonts w:hint="eastAsia" w:ascii="宋体" w:hAnsi="宋体" w:cs="宋体"/>
          <w:color w:val="auto"/>
          <w:sz w:val="21"/>
          <w:szCs w:val="21"/>
        </w:rPr>
        <w:t>，该产品适用的消费税税率为</w:t>
      </w:r>
      <w:r>
        <w:rPr>
          <w:rFonts w:hint="eastAsia" w:ascii="宋体" w:hAnsi="宋体" w:cs="宋体"/>
          <w:color w:val="auto"/>
          <w:sz w:val="21"/>
          <w:szCs w:val="21"/>
          <w:lang w:val="en-US" w:eastAsia="zh-CN"/>
        </w:rPr>
        <w:t>5%</w:t>
      </w:r>
      <w:r>
        <w:rPr>
          <w:rFonts w:hint="eastAsia" w:ascii="宋体" w:hAnsi="宋体" w:cs="宋体"/>
          <w:color w:val="auto"/>
          <w:sz w:val="21"/>
          <w:szCs w:val="21"/>
        </w:rPr>
        <w:t>，那么，运用销售利润率定价法，该企业的单位产品价格为（  ）元。</w:t>
      </w:r>
    </w:p>
    <w:p w14:paraId="44B38E7E">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A.312.5</w:t>
      </w:r>
      <w:r>
        <w:rPr>
          <w:rFonts w:hint="eastAsia" w:ascii="宋体" w:hAnsi="宋体" w:cs="宋体"/>
          <w:color w:val="auto"/>
          <w:sz w:val="21"/>
          <w:szCs w:val="21"/>
          <w:lang w:val="en-US" w:eastAsia="zh-CN"/>
        </w:rPr>
        <w:tab/>
      </w:r>
    </w:p>
    <w:p w14:paraId="19933AD2">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B.62.5</w:t>
      </w:r>
    </w:p>
    <w:p w14:paraId="43914E00">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C.302.5</w:t>
      </w:r>
      <w:r>
        <w:rPr>
          <w:rFonts w:hint="eastAsia" w:ascii="宋体" w:hAnsi="宋体" w:cs="宋体"/>
          <w:color w:val="auto"/>
          <w:sz w:val="21"/>
          <w:szCs w:val="21"/>
          <w:lang w:val="en-US" w:eastAsia="zh-CN"/>
        </w:rPr>
        <w:tab/>
      </w:r>
    </w:p>
    <w:p w14:paraId="65596C92">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D.260</w:t>
      </w:r>
    </w:p>
    <w:p w14:paraId="13112779">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A</w:t>
      </w:r>
    </w:p>
    <w:p w14:paraId="731DAE66">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单位产品价格为：（</w:t>
      </w:r>
      <w:r>
        <w:rPr>
          <w:rFonts w:hint="eastAsia" w:ascii="宋体" w:hAnsi="宋体" w:cs="宋体"/>
          <w:color w:val="auto"/>
          <w:sz w:val="21"/>
          <w:szCs w:val="21"/>
          <w:lang w:val="en-US" w:eastAsia="zh-CN"/>
        </w:rPr>
        <w:t>200+50</w:t>
      </w:r>
      <w:r>
        <w:rPr>
          <w:rFonts w:hint="eastAsia" w:ascii="宋体" w:hAnsi="宋体" w:cs="宋体"/>
          <w:color w:val="auto"/>
          <w:sz w:val="21"/>
          <w:szCs w:val="21"/>
        </w:rPr>
        <w:t>）</w:t>
      </w:r>
      <w:r>
        <w:rPr>
          <w:rFonts w:hint="eastAsia" w:ascii="宋体" w:hAnsi="宋体" w:cs="宋体"/>
          <w:color w:val="auto"/>
          <w:sz w:val="21"/>
          <w:szCs w:val="21"/>
          <w:lang w:val="en-US" w:eastAsia="zh-CN"/>
        </w:rPr>
        <w:t>/</w:t>
      </w:r>
      <w:r>
        <w:rPr>
          <w:rFonts w:hint="eastAsia" w:ascii="宋体" w:hAnsi="宋体" w:cs="宋体"/>
          <w:color w:val="auto"/>
          <w:sz w:val="21"/>
          <w:szCs w:val="21"/>
        </w:rPr>
        <w:t>（</w:t>
      </w:r>
      <w:r>
        <w:rPr>
          <w:rFonts w:hint="eastAsia" w:ascii="宋体" w:hAnsi="宋体" w:cs="宋体"/>
          <w:color w:val="auto"/>
          <w:sz w:val="21"/>
          <w:szCs w:val="21"/>
          <w:lang w:val="en-US" w:eastAsia="zh-CN"/>
        </w:rPr>
        <w:t>1- 15%-5%</w:t>
      </w:r>
      <w:r>
        <w:rPr>
          <w:rFonts w:hint="eastAsia" w:ascii="宋体" w:hAnsi="宋体" w:cs="宋体"/>
          <w:color w:val="auto"/>
          <w:sz w:val="21"/>
          <w:szCs w:val="21"/>
        </w:rPr>
        <w:t>）</w:t>
      </w:r>
      <w:r>
        <w:rPr>
          <w:rFonts w:hint="eastAsia" w:ascii="宋体" w:hAnsi="宋体" w:cs="宋体"/>
          <w:color w:val="auto"/>
          <w:sz w:val="21"/>
          <w:szCs w:val="21"/>
          <w:lang w:val="en-US" w:eastAsia="zh-CN"/>
        </w:rPr>
        <w:t>=312.5</w:t>
      </w:r>
      <w:r>
        <w:rPr>
          <w:rFonts w:hint="eastAsia" w:ascii="宋体" w:hAnsi="宋体" w:cs="宋体"/>
          <w:color w:val="auto"/>
          <w:sz w:val="21"/>
          <w:szCs w:val="21"/>
        </w:rPr>
        <w:t>（元）</w:t>
      </w:r>
    </w:p>
    <w:p w14:paraId="5A2F25AC">
      <w:pPr>
        <w:widowControl w:val="0"/>
        <w:autoSpaceDE w:val="0"/>
        <w:autoSpaceDN w:val="0"/>
        <w:adjustRightInd w:val="0"/>
        <w:snapToGrid w:val="0"/>
        <w:spacing w:line="360" w:lineRule="auto"/>
        <w:rPr>
          <w:rFonts w:hint="eastAsia" w:ascii="宋体" w:hAnsi="宋体" w:cs="宋体"/>
          <w:color w:val="auto"/>
          <w:sz w:val="21"/>
          <w:szCs w:val="21"/>
        </w:rPr>
      </w:pPr>
    </w:p>
    <w:p w14:paraId="149C5A21">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多选题</w:t>
      </w:r>
      <w:r>
        <w:rPr>
          <w:rFonts w:hint="eastAsia" w:ascii="宋体" w:hAnsi="宋体" w:cs="宋体"/>
          <w:color w:val="FF0000"/>
          <w:sz w:val="21"/>
          <w:szCs w:val="21"/>
          <w:lang w:val="en-US" w:eastAsia="zh-CN"/>
        </w:rPr>
        <w:t>】</w:t>
      </w:r>
      <w:r>
        <w:rPr>
          <w:rFonts w:hint="eastAsia" w:ascii="宋体" w:hAnsi="宋体" w:cs="宋体"/>
          <w:color w:val="auto"/>
          <w:sz w:val="21"/>
          <w:szCs w:val="21"/>
        </w:rPr>
        <w:t>下列各项中，属于以产品成本为基础的定价方法（  ）</w:t>
      </w:r>
    </w:p>
    <w:p w14:paraId="5F3C961B">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w:t>
      </w:r>
      <w:r>
        <w:rPr>
          <w:rFonts w:hint="eastAsia" w:ascii="宋体" w:hAnsi="宋体" w:cs="宋体"/>
          <w:color w:val="auto"/>
          <w:sz w:val="21"/>
          <w:szCs w:val="21"/>
        </w:rPr>
        <w:t xml:space="preserve">保本点定价法  </w:t>
      </w:r>
    </w:p>
    <w:p w14:paraId="2AD0F5B9">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rPr>
        <w:t xml:space="preserve">边际分析定价法 </w:t>
      </w:r>
    </w:p>
    <w:p w14:paraId="57B14467">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w:t>
      </w:r>
      <w:r>
        <w:rPr>
          <w:rFonts w:hint="eastAsia" w:ascii="宋体" w:hAnsi="宋体" w:cs="宋体"/>
          <w:color w:val="auto"/>
          <w:sz w:val="21"/>
          <w:szCs w:val="21"/>
        </w:rPr>
        <w:t xml:space="preserve">目标利润定价法  </w:t>
      </w:r>
    </w:p>
    <w:p w14:paraId="3612881F">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D.</w:t>
      </w:r>
      <w:r>
        <w:rPr>
          <w:rFonts w:hint="eastAsia" w:ascii="宋体" w:hAnsi="宋体" w:cs="宋体"/>
          <w:color w:val="auto"/>
          <w:sz w:val="21"/>
          <w:szCs w:val="21"/>
        </w:rPr>
        <w:t>需求价格弹性系数定价法</w:t>
      </w:r>
    </w:p>
    <w:p w14:paraId="5002C4A1">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AC</w:t>
      </w:r>
    </w:p>
    <w:p w14:paraId="0F9B809C">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以成本为基础的定价方法包括：全部成本费用加成定价法、保本点定价法、目标利润定价法和变动成本定价法，所以选择</w:t>
      </w:r>
      <w:r>
        <w:rPr>
          <w:rFonts w:hint="eastAsia" w:ascii="宋体" w:hAnsi="宋体" w:cs="宋体"/>
          <w:color w:val="auto"/>
          <w:sz w:val="21"/>
          <w:szCs w:val="21"/>
          <w:lang w:val="en-US" w:eastAsia="zh-CN"/>
        </w:rPr>
        <w:t>AC</w:t>
      </w:r>
      <w:r>
        <w:rPr>
          <w:rFonts w:hint="eastAsia" w:ascii="宋体" w:hAnsi="宋体" w:cs="宋体"/>
          <w:color w:val="auto"/>
          <w:sz w:val="21"/>
          <w:szCs w:val="21"/>
        </w:rPr>
        <w:t>。</w:t>
      </w:r>
    </w:p>
    <w:p w14:paraId="7D3DA40F">
      <w:pPr>
        <w:widowControl w:val="0"/>
        <w:autoSpaceDE w:val="0"/>
        <w:autoSpaceDN w:val="0"/>
        <w:adjustRightInd w:val="0"/>
        <w:snapToGrid w:val="0"/>
        <w:spacing w:line="360" w:lineRule="auto"/>
        <w:rPr>
          <w:rFonts w:hint="eastAsia" w:ascii="宋体" w:hAnsi="宋体" w:cs="宋体"/>
          <w:color w:val="auto"/>
          <w:sz w:val="21"/>
          <w:szCs w:val="21"/>
        </w:rPr>
      </w:pPr>
    </w:p>
    <w:p w14:paraId="53C24437">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计算分析题</w:t>
      </w:r>
      <w:r>
        <w:rPr>
          <w:rFonts w:hint="eastAsia" w:ascii="宋体" w:hAnsi="宋体" w:cs="宋体"/>
          <w:color w:val="FF0000"/>
          <w:sz w:val="21"/>
          <w:szCs w:val="21"/>
          <w:lang w:val="en-US" w:eastAsia="zh-CN"/>
        </w:rPr>
        <w:t>】</w:t>
      </w:r>
      <w:r>
        <w:rPr>
          <w:rFonts w:hint="eastAsia" w:ascii="宋体" w:hAnsi="宋体" w:cs="宋体"/>
          <w:color w:val="auto"/>
          <w:sz w:val="21"/>
          <w:szCs w:val="21"/>
        </w:rPr>
        <w:t>丙公司只生产销售</w:t>
      </w:r>
      <w:r>
        <w:rPr>
          <w:rFonts w:hint="eastAsia" w:ascii="宋体" w:hAnsi="宋体" w:cs="宋体"/>
          <w:color w:val="auto"/>
          <w:sz w:val="21"/>
          <w:szCs w:val="21"/>
          <w:lang w:val="en-US" w:eastAsia="zh-CN"/>
        </w:rPr>
        <w:t>H</w:t>
      </w:r>
      <w:r>
        <w:rPr>
          <w:rFonts w:hint="eastAsia" w:ascii="宋体" w:hAnsi="宋体" w:cs="宋体"/>
          <w:color w:val="auto"/>
          <w:sz w:val="21"/>
          <w:szCs w:val="21"/>
        </w:rPr>
        <w:t>产品，其销售量预测相关资料如表</w:t>
      </w:r>
      <w:r>
        <w:rPr>
          <w:rFonts w:hint="eastAsia" w:ascii="宋体" w:hAnsi="宋体" w:cs="宋体"/>
          <w:color w:val="auto"/>
          <w:sz w:val="21"/>
          <w:szCs w:val="21"/>
          <w:lang w:val="en-US" w:eastAsia="zh-CN"/>
        </w:rPr>
        <w:t>1</w:t>
      </w:r>
      <w:r>
        <w:rPr>
          <w:rFonts w:hint="eastAsia" w:ascii="宋体" w:hAnsi="宋体" w:cs="宋体"/>
          <w:color w:val="auto"/>
          <w:sz w:val="21"/>
          <w:szCs w:val="21"/>
        </w:rPr>
        <w:t>所示：</w:t>
      </w:r>
    </w:p>
    <w:p w14:paraId="27B589BE">
      <w:pPr>
        <w:widowControl w:val="0"/>
        <w:autoSpaceDE w:val="0"/>
        <w:autoSpaceDN w:val="0"/>
        <w:adjustRightInd w:val="0"/>
        <w:snapToGrid w:val="0"/>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rPr>
        <w:t>表</w:t>
      </w:r>
      <w:r>
        <w:rPr>
          <w:rFonts w:hint="eastAsia" w:ascii="宋体" w:hAnsi="宋体" w:cs="宋体"/>
          <w:color w:val="auto"/>
          <w:sz w:val="21"/>
          <w:szCs w:val="21"/>
          <w:lang w:val="en-US" w:eastAsia="zh-CN"/>
        </w:rPr>
        <w:t xml:space="preserve">1  </w:t>
      </w:r>
      <w:r>
        <w:rPr>
          <w:rFonts w:hint="eastAsia" w:ascii="宋体" w:hAnsi="宋体" w:cs="宋体"/>
          <w:color w:val="auto"/>
          <w:sz w:val="21"/>
          <w:szCs w:val="21"/>
        </w:rPr>
        <w:t>销售量预测相关资料                    单位：吨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3"/>
        <w:gridCol w:w="1506"/>
        <w:gridCol w:w="1535"/>
        <w:gridCol w:w="1535"/>
        <w:gridCol w:w="1535"/>
        <w:gridCol w:w="1535"/>
        <w:gridCol w:w="1535"/>
      </w:tblGrid>
      <w:tr w14:paraId="57AF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646"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1DC0B0E1">
            <w:pPr>
              <w:spacing w:beforeLines="0" w:afterLines="0"/>
              <w:rPr>
                <w:rFonts w:hint="eastAsia" w:ascii="Arial" w:hAnsi="Arial" w:cs="Arial"/>
                <w:color w:val="auto"/>
                <w:sz w:val="21"/>
                <w:szCs w:val="21"/>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3362481A">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20×1年</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02BD9EB5">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20×2年</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3BEBEA87">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20×3年</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4BB378EC">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20年×4</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3FD3833F">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20×5年</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13635335">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20年×6</w:t>
            </w:r>
          </w:p>
        </w:tc>
      </w:tr>
      <w:tr w14:paraId="5D87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646"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56874CE5">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预计销售量</w:t>
            </w:r>
          </w:p>
        </w:tc>
        <w:tc>
          <w:tcPr>
            <w:tcW w:w="714"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129ED0B4">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990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719EC067">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1000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20BAEA5A">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1020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45BC8A16">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1030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089DC083">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1030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5E0BF01B">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1040</w:t>
            </w:r>
          </w:p>
        </w:tc>
      </w:tr>
      <w:tr w14:paraId="358F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646"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7813A5F1">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实际销售量</w:t>
            </w:r>
          </w:p>
        </w:tc>
        <w:tc>
          <w:tcPr>
            <w:tcW w:w="714"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4AFCBE71">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945</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17A75B8D">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1005</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4D764C7B">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1035</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2F3828F4">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1050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66783CE2">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1020</w:t>
            </w:r>
          </w:p>
        </w:tc>
        <w:tc>
          <w:tcPr>
            <w:tcW w:w="727" w:type="pct"/>
            <w:tcBorders>
              <w:top w:val="single" w:color="auto" w:sz="4" w:space="0"/>
              <w:left w:val="single" w:color="auto" w:sz="4" w:space="0"/>
              <w:bottom w:val="single" w:color="auto" w:sz="4" w:space="0"/>
              <w:right w:val="single" w:color="auto" w:sz="4" w:space="0"/>
              <w:tl2br w:val="nil"/>
              <w:tr2bl w:val="nil"/>
            </w:tcBorders>
            <w:noWrap w:val="0"/>
            <w:tcMar>
              <w:top w:w="72" w:type="dxa"/>
              <w:left w:w="144" w:type="dxa"/>
              <w:bottom w:w="72" w:type="dxa"/>
              <w:right w:w="144" w:type="dxa"/>
            </w:tcMar>
            <w:vAlign w:val="top"/>
          </w:tcPr>
          <w:p w14:paraId="7440A735">
            <w:pPr>
              <w:pStyle w:val="11"/>
              <w:spacing w:before="0" w:beforeLines="0" w:beforeAutospacing="0" w:after="0" w:afterLines="0" w:afterAutospacing="0" w:line="273" w:lineRule="auto"/>
              <w:rPr>
                <w:rFonts w:hint="default"/>
                <w:sz w:val="21"/>
                <w:szCs w:val="24"/>
              </w:rPr>
            </w:pPr>
            <w:r>
              <w:rPr>
                <w:rFonts w:hint="eastAsia" w:ascii="宋体" w:hAnsi="宋体" w:cs="宋体"/>
                <w:color w:val="auto"/>
                <w:kern w:val="24"/>
                <w:sz w:val="21"/>
                <w:szCs w:val="21"/>
              </w:rPr>
              <w:t>1080</w:t>
            </w:r>
          </w:p>
        </w:tc>
      </w:tr>
    </w:tbl>
    <w:p w14:paraId="2C3A7A2B">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公司拟使用修正的移动平均法预测</w:t>
      </w:r>
      <w:r>
        <w:rPr>
          <w:rFonts w:hint="eastAsia" w:ascii="宋体" w:hAnsi="宋体" w:cs="宋体"/>
          <w:color w:val="auto"/>
          <w:sz w:val="21"/>
          <w:szCs w:val="21"/>
          <w:lang w:val="en-US" w:eastAsia="zh-CN"/>
        </w:rPr>
        <w:t>20×7</w:t>
      </w:r>
      <w:r>
        <w:rPr>
          <w:rFonts w:hint="eastAsia" w:ascii="宋体" w:hAnsi="宋体" w:cs="宋体"/>
          <w:color w:val="auto"/>
          <w:sz w:val="21"/>
          <w:szCs w:val="21"/>
        </w:rPr>
        <w:t>年</w:t>
      </w:r>
      <w:r>
        <w:rPr>
          <w:rFonts w:hint="eastAsia" w:ascii="宋体" w:hAnsi="宋体" w:cs="宋体"/>
          <w:color w:val="auto"/>
          <w:sz w:val="21"/>
          <w:szCs w:val="21"/>
          <w:lang w:val="en-US" w:eastAsia="zh-CN"/>
        </w:rPr>
        <w:t>H</w:t>
      </w:r>
      <w:r>
        <w:rPr>
          <w:rFonts w:hint="eastAsia" w:ascii="宋体" w:hAnsi="宋体" w:cs="宋体"/>
          <w:color w:val="auto"/>
          <w:sz w:val="21"/>
          <w:szCs w:val="21"/>
        </w:rPr>
        <w:t>产品的销售量，并以此为基础确定产品销售价格，样本期为</w:t>
      </w:r>
      <w:r>
        <w:rPr>
          <w:rFonts w:hint="eastAsia" w:ascii="宋体" w:hAnsi="宋体" w:cs="宋体"/>
          <w:color w:val="auto"/>
          <w:sz w:val="21"/>
          <w:szCs w:val="21"/>
          <w:lang w:val="en-US" w:eastAsia="zh-CN"/>
        </w:rPr>
        <w:t>3</w:t>
      </w:r>
      <w:r>
        <w:rPr>
          <w:rFonts w:hint="eastAsia" w:ascii="宋体" w:hAnsi="宋体" w:cs="宋体"/>
          <w:color w:val="auto"/>
          <w:sz w:val="21"/>
          <w:szCs w:val="21"/>
        </w:rPr>
        <w:t>期。</w:t>
      </w:r>
      <w:r>
        <w:rPr>
          <w:rFonts w:hint="eastAsia" w:ascii="宋体" w:hAnsi="宋体" w:cs="宋体"/>
          <w:color w:val="auto"/>
          <w:sz w:val="21"/>
          <w:szCs w:val="21"/>
          <w:lang w:val="en-US" w:eastAsia="zh-CN"/>
        </w:rPr>
        <w:t>20</w:t>
      </w:r>
      <w:r>
        <w:rPr>
          <w:rFonts w:hint="eastAsia" w:ascii="宋体" w:hAnsi="宋体" w:cs="宋体"/>
          <w:color w:val="auto"/>
          <w:sz w:val="21"/>
          <w:szCs w:val="21"/>
        </w:rPr>
        <w:t>年公司目标利润总额（不考虑所得税）为</w:t>
      </w:r>
      <w:r>
        <w:rPr>
          <w:rFonts w:hint="eastAsia" w:ascii="宋体" w:hAnsi="宋体" w:cs="宋体"/>
          <w:color w:val="auto"/>
          <w:sz w:val="21"/>
          <w:szCs w:val="21"/>
          <w:lang w:val="en-US" w:eastAsia="zh-CN"/>
        </w:rPr>
        <w:t>307 700</w:t>
      </w:r>
      <w:r>
        <w:rPr>
          <w:rFonts w:hint="eastAsia" w:ascii="宋体" w:hAnsi="宋体" w:cs="宋体"/>
          <w:color w:val="auto"/>
          <w:sz w:val="21"/>
          <w:szCs w:val="21"/>
        </w:rPr>
        <w:t>元。完全成本总额为</w:t>
      </w:r>
      <w:r>
        <w:rPr>
          <w:rFonts w:hint="eastAsia" w:ascii="宋体" w:hAnsi="宋体" w:cs="宋体"/>
          <w:color w:val="auto"/>
          <w:sz w:val="21"/>
          <w:szCs w:val="21"/>
          <w:lang w:val="en-US" w:eastAsia="zh-CN"/>
        </w:rPr>
        <w:t>800 000</w:t>
      </w:r>
      <w:r>
        <w:rPr>
          <w:rFonts w:hint="eastAsia" w:ascii="宋体" w:hAnsi="宋体" w:cs="宋体"/>
          <w:color w:val="auto"/>
          <w:sz w:val="21"/>
          <w:szCs w:val="21"/>
        </w:rPr>
        <w:t>元。</w:t>
      </w:r>
      <w:r>
        <w:rPr>
          <w:rFonts w:hint="eastAsia" w:ascii="宋体" w:hAnsi="宋体" w:cs="宋体"/>
          <w:color w:val="auto"/>
          <w:sz w:val="21"/>
          <w:szCs w:val="21"/>
          <w:lang w:val="en-US" w:eastAsia="zh-CN"/>
        </w:rPr>
        <w:t>H</w:t>
      </w:r>
      <w:r>
        <w:rPr>
          <w:rFonts w:hint="eastAsia" w:ascii="宋体" w:hAnsi="宋体" w:cs="宋体"/>
          <w:color w:val="auto"/>
          <w:sz w:val="21"/>
          <w:szCs w:val="21"/>
        </w:rPr>
        <w:t>产品适用的消费税税率为</w:t>
      </w:r>
      <w:r>
        <w:rPr>
          <w:rFonts w:hint="eastAsia" w:ascii="宋体" w:hAnsi="宋体" w:cs="宋体"/>
          <w:color w:val="auto"/>
          <w:sz w:val="21"/>
          <w:szCs w:val="21"/>
          <w:lang w:val="en-US" w:eastAsia="zh-CN"/>
        </w:rPr>
        <w:t>5%</w:t>
      </w:r>
      <w:r>
        <w:rPr>
          <w:rFonts w:hint="eastAsia" w:ascii="宋体" w:hAnsi="宋体" w:cs="宋体"/>
          <w:color w:val="auto"/>
          <w:sz w:val="21"/>
          <w:szCs w:val="21"/>
        </w:rPr>
        <w:t>。</w:t>
      </w:r>
    </w:p>
    <w:p w14:paraId="123B4A95">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要求：</w:t>
      </w:r>
    </w:p>
    <w:p w14:paraId="7529E6C5">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en-US" w:eastAsia="zh-CN"/>
        </w:rPr>
        <w:t>1</w:t>
      </w:r>
      <w:r>
        <w:rPr>
          <w:rFonts w:hint="eastAsia" w:ascii="宋体" w:hAnsi="宋体" w:cs="宋体"/>
          <w:color w:val="auto"/>
          <w:sz w:val="21"/>
          <w:szCs w:val="21"/>
        </w:rPr>
        <w:t>）假设样本期为</w:t>
      </w:r>
      <w:r>
        <w:rPr>
          <w:rFonts w:hint="eastAsia" w:ascii="宋体" w:hAnsi="宋体" w:cs="宋体"/>
          <w:color w:val="auto"/>
          <w:sz w:val="21"/>
          <w:szCs w:val="21"/>
          <w:lang w:val="en-US" w:eastAsia="zh-CN"/>
        </w:rPr>
        <w:t>3</w:t>
      </w:r>
      <w:r>
        <w:rPr>
          <w:rFonts w:hint="eastAsia" w:ascii="宋体" w:hAnsi="宋体" w:cs="宋体"/>
          <w:color w:val="auto"/>
          <w:sz w:val="21"/>
          <w:szCs w:val="21"/>
        </w:rPr>
        <w:t>期，使用移动平均法预测</w:t>
      </w:r>
      <w:r>
        <w:rPr>
          <w:rFonts w:hint="eastAsia" w:ascii="宋体" w:hAnsi="宋体" w:cs="宋体"/>
          <w:color w:val="auto"/>
          <w:sz w:val="21"/>
          <w:szCs w:val="21"/>
          <w:lang w:val="en-US" w:eastAsia="zh-CN"/>
        </w:rPr>
        <w:t>20×7</w:t>
      </w:r>
      <w:r>
        <w:rPr>
          <w:rFonts w:hint="eastAsia" w:ascii="宋体" w:hAnsi="宋体" w:cs="宋体"/>
          <w:color w:val="auto"/>
          <w:sz w:val="21"/>
          <w:szCs w:val="21"/>
        </w:rPr>
        <w:t>年</w:t>
      </w:r>
      <w:r>
        <w:rPr>
          <w:rFonts w:hint="eastAsia" w:ascii="宋体" w:hAnsi="宋体" w:cs="宋体"/>
          <w:color w:val="auto"/>
          <w:sz w:val="21"/>
          <w:szCs w:val="21"/>
          <w:lang w:val="en-US" w:eastAsia="zh-CN"/>
        </w:rPr>
        <w:t xml:space="preserve">H </w:t>
      </w:r>
      <w:r>
        <w:rPr>
          <w:rFonts w:hint="eastAsia" w:ascii="宋体" w:hAnsi="宋体" w:cs="宋体"/>
          <w:color w:val="auto"/>
          <w:sz w:val="21"/>
          <w:szCs w:val="21"/>
        </w:rPr>
        <w:t>产品的销售量。</w:t>
      </w:r>
    </w:p>
    <w:p w14:paraId="2DFC4E63">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en-US" w:eastAsia="zh-CN"/>
        </w:rPr>
        <w:t>2</w:t>
      </w:r>
      <w:r>
        <w:rPr>
          <w:rFonts w:hint="eastAsia" w:ascii="宋体" w:hAnsi="宋体" w:cs="宋体"/>
          <w:color w:val="auto"/>
          <w:sz w:val="21"/>
          <w:szCs w:val="21"/>
        </w:rPr>
        <w:t>）使用修正的移动平均法预测</w:t>
      </w:r>
      <w:r>
        <w:rPr>
          <w:rFonts w:hint="eastAsia" w:ascii="宋体" w:hAnsi="宋体" w:cs="宋体"/>
          <w:color w:val="auto"/>
          <w:sz w:val="21"/>
          <w:szCs w:val="21"/>
          <w:lang w:val="en-US" w:eastAsia="zh-CN"/>
        </w:rPr>
        <w:t>20×7</w:t>
      </w:r>
      <w:r>
        <w:rPr>
          <w:rFonts w:hint="eastAsia" w:ascii="宋体" w:hAnsi="宋体" w:cs="宋体"/>
          <w:color w:val="auto"/>
          <w:sz w:val="21"/>
          <w:szCs w:val="21"/>
        </w:rPr>
        <w:t>年</w:t>
      </w:r>
      <w:r>
        <w:rPr>
          <w:rFonts w:hint="eastAsia" w:ascii="宋体" w:hAnsi="宋体" w:cs="宋体"/>
          <w:color w:val="auto"/>
          <w:sz w:val="21"/>
          <w:szCs w:val="21"/>
          <w:lang w:val="en-US" w:eastAsia="zh-CN"/>
        </w:rPr>
        <w:t>H</w:t>
      </w:r>
      <w:r>
        <w:rPr>
          <w:rFonts w:hint="eastAsia" w:ascii="宋体" w:hAnsi="宋体" w:cs="宋体"/>
          <w:color w:val="auto"/>
          <w:sz w:val="21"/>
          <w:szCs w:val="21"/>
        </w:rPr>
        <w:t>产品的销售量。</w:t>
      </w:r>
    </w:p>
    <w:p w14:paraId="4EC57092">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en-US" w:eastAsia="zh-CN"/>
        </w:rPr>
        <w:t>3</w:t>
      </w:r>
      <w:r>
        <w:rPr>
          <w:rFonts w:hint="eastAsia" w:ascii="宋体" w:hAnsi="宋体" w:cs="宋体"/>
          <w:color w:val="auto"/>
          <w:sz w:val="21"/>
          <w:szCs w:val="21"/>
        </w:rPr>
        <w:t>）使用目标利润法确定</w:t>
      </w:r>
      <w:r>
        <w:rPr>
          <w:rFonts w:hint="eastAsia" w:ascii="宋体" w:hAnsi="宋体" w:cs="宋体"/>
          <w:color w:val="auto"/>
          <w:sz w:val="21"/>
          <w:szCs w:val="21"/>
          <w:lang w:val="en-US" w:eastAsia="zh-CN"/>
        </w:rPr>
        <w:t>20×7</w:t>
      </w:r>
      <w:r>
        <w:rPr>
          <w:rFonts w:hint="eastAsia" w:ascii="宋体" w:hAnsi="宋体" w:cs="宋体"/>
          <w:color w:val="auto"/>
          <w:sz w:val="21"/>
          <w:szCs w:val="21"/>
        </w:rPr>
        <w:t>年</w:t>
      </w:r>
      <w:r>
        <w:rPr>
          <w:rFonts w:hint="eastAsia" w:ascii="宋体" w:hAnsi="宋体" w:cs="宋体"/>
          <w:color w:val="auto"/>
          <w:sz w:val="21"/>
          <w:szCs w:val="21"/>
          <w:lang w:val="en-US" w:eastAsia="zh-CN"/>
        </w:rPr>
        <w:t>H</w:t>
      </w:r>
      <w:r>
        <w:rPr>
          <w:rFonts w:hint="eastAsia" w:ascii="宋体" w:hAnsi="宋体" w:cs="宋体"/>
          <w:color w:val="auto"/>
          <w:sz w:val="21"/>
          <w:szCs w:val="21"/>
        </w:rPr>
        <w:t>产品的销售价格。</w:t>
      </w:r>
    </w:p>
    <w:p w14:paraId="79B48A6F">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p>
    <w:p w14:paraId="5F520BCF">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en-US" w:eastAsia="zh-CN"/>
        </w:rPr>
        <w:t>1</w:t>
      </w:r>
      <w:r>
        <w:rPr>
          <w:rFonts w:hint="eastAsia" w:ascii="宋体" w:hAnsi="宋体" w:cs="宋体"/>
          <w:color w:val="auto"/>
          <w:sz w:val="21"/>
          <w:szCs w:val="21"/>
        </w:rPr>
        <w:t>）</w:t>
      </w:r>
      <w:r>
        <w:rPr>
          <w:rFonts w:hint="eastAsia" w:ascii="宋体" w:hAnsi="宋体" w:cs="宋体"/>
          <w:color w:val="auto"/>
          <w:sz w:val="21"/>
          <w:szCs w:val="21"/>
          <w:lang w:val="en-US" w:eastAsia="zh-CN"/>
        </w:rPr>
        <w:t>20×7</w:t>
      </w:r>
      <w:r>
        <w:rPr>
          <w:rFonts w:hint="eastAsia" w:ascii="宋体" w:hAnsi="宋体" w:cs="宋体"/>
          <w:color w:val="auto"/>
          <w:sz w:val="21"/>
          <w:szCs w:val="21"/>
        </w:rPr>
        <w:t>年</w:t>
      </w:r>
      <w:r>
        <w:rPr>
          <w:rFonts w:hint="eastAsia" w:ascii="宋体" w:hAnsi="宋体" w:cs="宋体"/>
          <w:color w:val="auto"/>
          <w:sz w:val="21"/>
          <w:szCs w:val="21"/>
          <w:lang w:val="en-US" w:eastAsia="zh-CN"/>
        </w:rPr>
        <w:t>H</w:t>
      </w:r>
      <w:r>
        <w:rPr>
          <w:rFonts w:hint="eastAsia" w:ascii="宋体" w:hAnsi="宋体" w:cs="宋体"/>
          <w:color w:val="auto"/>
          <w:sz w:val="21"/>
          <w:szCs w:val="21"/>
        </w:rPr>
        <w:t>产品的预测销售量</w:t>
      </w:r>
      <w:r>
        <w:rPr>
          <w:rFonts w:hint="eastAsia" w:ascii="宋体" w:hAnsi="宋体" w:cs="宋体"/>
          <w:color w:val="auto"/>
          <w:sz w:val="21"/>
          <w:szCs w:val="21"/>
          <w:lang w:val="en-US" w:eastAsia="zh-CN"/>
        </w:rPr>
        <w:t>=</w:t>
      </w:r>
      <w:r>
        <w:rPr>
          <w:rFonts w:hint="eastAsia" w:ascii="宋体" w:hAnsi="宋体" w:cs="宋体"/>
          <w:color w:val="auto"/>
          <w:sz w:val="21"/>
          <w:szCs w:val="21"/>
        </w:rPr>
        <w:t>（</w:t>
      </w:r>
      <w:r>
        <w:rPr>
          <w:rFonts w:hint="eastAsia" w:ascii="宋体" w:hAnsi="宋体" w:cs="宋体"/>
          <w:color w:val="auto"/>
          <w:sz w:val="21"/>
          <w:szCs w:val="21"/>
          <w:lang w:val="en-US" w:eastAsia="zh-CN"/>
        </w:rPr>
        <w:t>1050+1020+1080</w:t>
      </w:r>
      <w:r>
        <w:rPr>
          <w:rFonts w:hint="eastAsia" w:ascii="宋体" w:hAnsi="宋体" w:cs="宋体"/>
          <w:color w:val="auto"/>
          <w:sz w:val="21"/>
          <w:szCs w:val="21"/>
        </w:rPr>
        <w:t>）</w:t>
      </w:r>
      <w:r>
        <w:rPr>
          <w:rFonts w:hint="eastAsia" w:ascii="宋体" w:hAnsi="宋体" w:cs="宋体"/>
          <w:color w:val="auto"/>
          <w:sz w:val="21"/>
          <w:szCs w:val="21"/>
          <w:lang w:val="en-US" w:eastAsia="zh-CN"/>
        </w:rPr>
        <w:t>/3=1050</w:t>
      </w:r>
      <w:r>
        <w:rPr>
          <w:rFonts w:hint="eastAsia" w:ascii="宋体" w:hAnsi="宋体" w:cs="宋体"/>
          <w:color w:val="auto"/>
          <w:sz w:val="21"/>
          <w:szCs w:val="21"/>
        </w:rPr>
        <w:t>（吨）</w:t>
      </w:r>
    </w:p>
    <w:p w14:paraId="02F73926">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en-US" w:eastAsia="zh-CN"/>
        </w:rPr>
        <w:t>2</w:t>
      </w:r>
      <w:r>
        <w:rPr>
          <w:rFonts w:hint="eastAsia" w:ascii="宋体" w:hAnsi="宋体" w:cs="宋体"/>
          <w:color w:val="auto"/>
          <w:sz w:val="21"/>
          <w:szCs w:val="21"/>
        </w:rPr>
        <w:t>）</w:t>
      </w:r>
      <w:r>
        <w:rPr>
          <w:rFonts w:hint="eastAsia" w:ascii="宋体" w:hAnsi="宋体" w:cs="宋体"/>
          <w:color w:val="auto"/>
          <w:sz w:val="21"/>
          <w:szCs w:val="21"/>
          <w:lang w:val="en-US" w:eastAsia="zh-CN"/>
        </w:rPr>
        <w:t>20×7</w:t>
      </w:r>
      <w:r>
        <w:rPr>
          <w:rFonts w:hint="eastAsia" w:ascii="宋体" w:hAnsi="宋体" w:cs="宋体"/>
          <w:color w:val="auto"/>
          <w:sz w:val="21"/>
          <w:szCs w:val="21"/>
        </w:rPr>
        <w:t>年修正后的</w:t>
      </w:r>
      <w:r>
        <w:rPr>
          <w:rFonts w:hint="eastAsia" w:ascii="宋体" w:hAnsi="宋体" w:cs="宋体"/>
          <w:color w:val="auto"/>
          <w:sz w:val="21"/>
          <w:szCs w:val="21"/>
          <w:lang w:val="en-US" w:eastAsia="zh-CN"/>
        </w:rPr>
        <w:t>H</w:t>
      </w:r>
      <w:r>
        <w:rPr>
          <w:rFonts w:hint="eastAsia" w:ascii="宋体" w:hAnsi="宋体" w:cs="宋体"/>
          <w:color w:val="auto"/>
          <w:sz w:val="21"/>
          <w:szCs w:val="21"/>
        </w:rPr>
        <w:t>产品预测销售量</w:t>
      </w:r>
      <w:r>
        <w:rPr>
          <w:rFonts w:hint="eastAsia" w:ascii="宋体" w:hAnsi="宋体" w:cs="宋体"/>
          <w:color w:val="auto"/>
          <w:sz w:val="21"/>
          <w:szCs w:val="21"/>
          <w:lang w:val="en-US" w:eastAsia="zh-CN"/>
        </w:rPr>
        <w:t>=1050+</w:t>
      </w:r>
      <w:r>
        <w:rPr>
          <w:rFonts w:hint="eastAsia" w:ascii="宋体" w:hAnsi="宋体" w:cs="宋体"/>
          <w:color w:val="auto"/>
          <w:sz w:val="21"/>
          <w:szCs w:val="21"/>
        </w:rPr>
        <w:t>（</w:t>
      </w:r>
      <w:r>
        <w:rPr>
          <w:rFonts w:hint="eastAsia" w:ascii="宋体" w:hAnsi="宋体" w:cs="宋体"/>
          <w:color w:val="auto"/>
          <w:sz w:val="21"/>
          <w:szCs w:val="21"/>
          <w:lang w:val="en-US" w:eastAsia="zh-CN"/>
        </w:rPr>
        <w:t>1050- 1040</w:t>
      </w:r>
      <w:r>
        <w:rPr>
          <w:rFonts w:hint="eastAsia" w:ascii="宋体" w:hAnsi="宋体" w:cs="宋体"/>
          <w:color w:val="auto"/>
          <w:sz w:val="21"/>
          <w:szCs w:val="21"/>
        </w:rPr>
        <w:t>）</w:t>
      </w:r>
      <w:r>
        <w:rPr>
          <w:rFonts w:hint="eastAsia" w:ascii="宋体" w:hAnsi="宋体" w:cs="宋体"/>
          <w:color w:val="auto"/>
          <w:sz w:val="21"/>
          <w:szCs w:val="21"/>
          <w:lang w:val="en-US" w:eastAsia="zh-CN"/>
        </w:rPr>
        <w:t>=1060</w:t>
      </w:r>
      <w:r>
        <w:rPr>
          <w:rFonts w:hint="eastAsia" w:ascii="宋体" w:hAnsi="宋体" w:cs="宋体"/>
          <w:color w:val="auto"/>
          <w:sz w:val="21"/>
          <w:szCs w:val="21"/>
        </w:rPr>
        <w:t>（吨）</w:t>
      </w:r>
    </w:p>
    <w:p w14:paraId="5278EC8E">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en-US" w:eastAsia="zh-CN"/>
        </w:rPr>
        <w:t>3</w:t>
      </w:r>
      <w:r>
        <w:rPr>
          <w:rFonts w:hint="eastAsia" w:ascii="宋体" w:hAnsi="宋体" w:cs="宋体"/>
          <w:color w:val="auto"/>
          <w:sz w:val="21"/>
          <w:szCs w:val="21"/>
        </w:rPr>
        <w:t>）单位产品价格</w:t>
      </w:r>
      <w:r>
        <w:rPr>
          <w:rFonts w:hint="eastAsia" w:ascii="宋体" w:hAnsi="宋体" w:cs="宋体"/>
          <w:color w:val="auto"/>
          <w:sz w:val="21"/>
          <w:szCs w:val="21"/>
          <w:lang w:val="en-US" w:eastAsia="zh-CN"/>
        </w:rPr>
        <w:t>=</w:t>
      </w:r>
      <w:r>
        <w:rPr>
          <w:rFonts w:hint="eastAsia" w:ascii="宋体" w:hAnsi="宋体" w:cs="宋体"/>
          <w:color w:val="auto"/>
          <w:sz w:val="21"/>
          <w:szCs w:val="21"/>
        </w:rPr>
        <w:t>（</w:t>
      </w:r>
      <w:r>
        <w:rPr>
          <w:rFonts w:hint="eastAsia" w:ascii="宋体" w:hAnsi="宋体" w:cs="宋体"/>
          <w:color w:val="auto"/>
          <w:sz w:val="21"/>
          <w:szCs w:val="21"/>
          <w:lang w:val="en-US" w:eastAsia="zh-CN"/>
        </w:rPr>
        <w:t>307700+800000</w:t>
      </w:r>
      <w:r>
        <w:rPr>
          <w:rFonts w:hint="eastAsia" w:ascii="宋体" w:hAnsi="宋体" w:cs="宋体"/>
          <w:color w:val="auto"/>
          <w:sz w:val="21"/>
          <w:szCs w:val="21"/>
        </w:rPr>
        <w:t>）</w:t>
      </w:r>
      <w:r>
        <w:rPr>
          <w:rFonts w:hint="eastAsia" w:ascii="宋体" w:hAnsi="宋体" w:cs="宋体"/>
          <w:color w:val="auto"/>
          <w:sz w:val="21"/>
          <w:szCs w:val="21"/>
          <w:lang w:val="en-US" w:eastAsia="zh-CN"/>
        </w:rPr>
        <w:t>/[1060×</w:t>
      </w:r>
      <w:r>
        <w:rPr>
          <w:rFonts w:hint="eastAsia" w:ascii="宋体" w:hAnsi="宋体" w:cs="宋体"/>
          <w:color w:val="auto"/>
          <w:sz w:val="21"/>
          <w:szCs w:val="21"/>
        </w:rPr>
        <w:t>（</w:t>
      </w:r>
      <w:r>
        <w:rPr>
          <w:rFonts w:hint="eastAsia" w:ascii="宋体" w:hAnsi="宋体" w:cs="宋体"/>
          <w:color w:val="auto"/>
          <w:sz w:val="21"/>
          <w:szCs w:val="21"/>
          <w:lang w:val="en-US" w:eastAsia="zh-CN"/>
        </w:rPr>
        <w:t>1- 5%</w:t>
      </w:r>
      <w:r>
        <w:rPr>
          <w:rFonts w:hint="eastAsia" w:ascii="宋体" w:hAnsi="宋体" w:cs="宋体"/>
          <w:color w:val="auto"/>
          <w:sz w:val="21"/>
          <w:szCs w:val="21"/>
        </w:rPr>
        <w:t>）</w:t>
      </w:r>
      <w:r>
        <w:rPr>
          <w:rFonts w:hint="eastAsia" w:ascii="宋体" w:hAnsi="宋体" w:cs="宋体"/>
          <w:color w:val="auto"/>
          <w:sz w:val="21"/>
          <w:szCs w:val="21"/>
          <w:lang w:val="en-US" w:eastAsia="zh-CN"/>
        </w:rPr>
        <w:t>]=1100</w:t>
      </w:r>
      <w:r>
        <w:rPr>
          <w:rFonts w:hint="eastAsia" w:ascii="宋体" w:hAnsi="宋体" w:cs="宋体"/>
          <w:color w:val="auto"/>
          <w:sz w:val="21"/>
          <w:szCs w:val="21"/>
        </w:rPr>
        <w:t>（元）。</w:t>
      </w:r>
    </w:p>
    <w:p w14:paraId="3F30DC25">
      <w:pPr>
        <w:widowControl w:val="0"/>
        <w:autoSpaceDE w:val="0"/>
        <w:autoSpaceDN w:val="0"/>
        <w:adjustRightInd w:val="0"/>
        <w:snapToGrid w:val="0"/>
        <w:spacing w:line="360" w:lineRule="auto"/>
        <w:rPr>
          <w:rFonts w:hint="eastAsia" w:ascii="宋体" w:hAnsi="宋体" w:cs="宋体"/>
          <w:color w:val="auto"/>
          <w:sz w:val="21"/>
          <w:szCs w:val="21"/>
        </w:rPr>
      </w:pPr>
    </w:p>
    <w:p w14:paraId="33FC7A84">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w:t>
      </w:r>
      <w:r>
        <w:rPr>
          <w:rFonts w:hint="eastAsia" w:ascii="宋体" w:hAnsi="宋体" w:cs="宋体"/>
          <w:color w:val="auto"/>
          <w:sz w:val="21"/>
          <w:szCs w:val="21"/>
        </w:rPr>
        <w:t>考点</w:t>
      </w:r>
      <w:r>
        <w:rPr>
          <w:rFonts w:hint="eastAsia" w:ascii="宋体" w:hAnsi="宋体" w:cs="宋体"/>
          <w:color w:val="auto"/>
          <w:sz w:val="21"/>
          <w:szCs w:val="21"/>
          <w:lang w:val="en-US" w:eastAsia="zh-CN"/>
        </w:rPr>
        <w:t>4】</w:t>
      </w:r>
      <w:r>
        <w:rPr>
          <w:rFonts w:hint="eastAsia" w:ascii="宋体" w:hAnsi="宋体" w:cs="宋体"/>
          <w:color w:val="auto"/>
          <w:sz w:val="21"/>
          <w:szCs w:val="21"/>
        </w:rPr>
        <w:t>股利分配理论</w:t>
      </w:r>
    </w:p>
    <w:p w14:paraId="4BE593CA">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（一）股利无关论</w:t>
      </w:r>
    </w:p>
    <w:p w14:paraId="0BCE747C">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（二）股利相关论</w:t>
      </w:r>
    </w:p>
    <w:p w14:paraId="73ACBD21">
      <w:pPr>
        <w:widowControl w:val="0"/>
        <w:autoSpaceDE w:val="0"/>
        <w:autoSpaceDN w:val="0"/>
        <w:adjustRightInd w:val="0"/>
        <w:snapToGrid w:val="0"/>
        <w:spacing w:line="360" w:lineRule="auto"/>
        <w:rPr>
          <w:rFonts w:hint="default"/>
          <w:sz w:val="21"/>
          <w:szCs w:val="24"/>
        </w:rPr>
      </w:pPr>
      <w:r>
        <w:rPr>
          <w:rFonts w:hint="default"/>
          <w:sz w:val="21"/>
          <w:szCs w:val="24"/>
        </w:rPr>
        <w:pict>
          <v:shape id="_x0000_i1041" o:spt="75" type="#_x0000_t75" style="height:55.65pt;width:337.15pt;" filled="f" o:preferrelative="t" stroked="f" coordsize="21600,21600">
            <v:path/>
            <v:fill on="f" focussize="0,0"/>
            <v:stroke on="f"/>
            <v:imagedata r:id="rId33" o:title=""/>
            <o:lock v:ext="edit" aspectratio="t"/>
            <w10:wrap type="none"/>
            <w10:anchorlock/>
          </v:shape>
        </w:pict>
      </w:r>
    </w:p>
    <w:p w14:paraId="0D69B580">
      <w:pPr>
        <w:widowControl w:val="0"/>
        <w:autoSpaceDE w:val="0"/>
        <w:autoSpaceDN w:val="0"/>
        <w:adjustRightInd w:val="0"/>
        <w:snapToGrid w:val="0"/>
        <w:spacing w:line="360" w:lineRule="auto"/>
        <w:rPr>
          <w:rFonts w:hint="eastAsia"/>
          <w:sz w:val="21"/>
          <w:szCs w:val="24"/>
          <w:lang w:val="en-US" w:eastAsia="zh-CN"/>
        </w:rPr>
      </w:pPr>
    </w:p>
    <w:p w14:paraId="3C79E068">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用留存收益再投资给投资者带来的收益具有较大的不确定性，并且投资的风险随着时间的推移会进一步加大，因此，厌恶风险的投资者会偏好确定的股利收益，而不愿将收益留存在公司内部去承担未来的投资风险。这种观点的理论依据是（  ）。</w:t>
      </w:r>
    </w:p>
    <w:p w14:paraId="16E11604">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A.</w:t>
      </w:r>
      <w:r>
        <w:rPr>
          <w:rFonts w:hint="eastAsia" w:ascii="宋体" w:hAnsi="宋体" w:cs="宋体"/>
          <w:color w:val="auto"/>
          <w:sz w:val="21"/>
          <w:szCs w:val="21"/>
        </w:rPr>
        <w:t xml:space="preserve">“手中鸟”理论  </w:t>
      </w:r>
    </w:p>
    <w:p w14:paraId="3FC87E7E">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B.</w:t>
      </w:r>
      <w:r>
        <w:rPr>
          <w:rFonts w:hint="eastAsia" w:ascii="宋体" w:hAnsi="宋体" w:cs="宋体"/>
          <w:color w:val="auto"/>
          <w:sz w:val="21"/>
          <w:szCs w:val="21"/>
        </w:rPr>
        <w:t xml:space="preserve">信号传递理论  </w:t>
      </w:r>
    </w:p>
    <w:p w14:paraId="798A4CEA">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C.</w:t>
      </w:r>
      <w:r>
        <w:rPr>
          <w:rFonts w:hint="eastAsia" w:ascii="宋体" w:hAnsi="宋体" w:cs="宋体"/>
          <w:color w:val="auto"/>
          <w:sz w:val="21"/>
          <w:szCs w:val="21"/>
        </w:rPr>
        <w:t xml:space="preserve">所得税差异理论   </w:t>
      </w:r>
    </w:p>
    <w:p w14:paraId="585C5979">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D.</w:t>
      </w:r>
      <w:r>
        <w:rPr>
          <w:rFonts w:hint="eastAsia" w:ascii="宋体" w:hAnsi="宋体" w:cs="宋体"/>
          <w:color w:val="auto"/>
          <w:sz w:val="21"/>
          <w:szCs w:val="21"/>
        </w:rPr>
        <w:t>代理理论</w:t>
      </w:r>
    </w:p>
    <w:p w14:paraId="296EF57D">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A</w:t>
      </w:r>
    </w:p>
    <w:p w14:paraId="0E7E140C">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本题描述的是“手中鸟”理论的观点。</w:t>
      </w:r>
    </w:p>
    <w:p w14:paraId="08DFB04F">
      <w:pPr>
        <w:widowControl w:val="0"/>
        <w:autoSpaceDE w:val="0"/>
        <w:autoSpaceDN w:val="0"/>
        <w:adjustRightInd w:val="0"/>
        <w:snapToGrid w:val="0"/>
        <w:spacing w:line="360" w:lineRule="auto"/>
        <w:rPr>
          <w:rFonts w:hint="eastAsia" w:ascii="宋体" w:hAnsi="宋体" w:cs="宋体"/>
          <w:color w:val="auto"/>
          <w:sz w:val="21"/>
          <w:szCs w:val="21"/>
        </w:rPr>
      </w:pPr>
    </w:p>
    <w:p w14:paraId="16E3A990">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lang w:val="en-US" w:eastAsia="zh-CN"/>
        </w:rPr>
        <w:t>【</w:t>
      </w:r>
      <w:r>
        <w:rPr>
          <w:rFonts w:hint="eastAsia" w:ascii="宋体" w:hAnsi="宋体" w:cs="宋体"/>
          <w:color w:val="FF0000"/>
          <w:sz w:val="21"/>
          <w:szCs w:val="21"/>
        </w:rPr>
        <w:t>例</w:t>
      </w:r>
      <w:r>
        <w:rPr>
          <w:rFonts w:hint="eastAsia" w:ascii="宋体" w:hAnsi="宋体" w:cs="宋体"/>
          <w:color w:val="FF0000"/>
          <w:sz w:val="21"/>
          <w:szCs w:val="21"/>
          <w:lang w:val="en-US" w:eastAsia="zh-CN"/>
        </w:rPr>
        <w:t>·</w:t>
      </w:r>
      <w:r>
        <w:rPr>
          <w:rFonts w:hint="eastAsia" w:ascii="宋体" w:hAnsi="宋体" w:cs="宋体"/>
          <w:color w:val="FF0000"/>
          <w:sz w:val="21"/>
          <w:szCs w:val="21"/>
        </w:rPr>
        <w:t>单选题</w:t>
      </w:r>
      <w:r>
        <w:rPr>
          <w:rFonts w:hint="eastAsia" w:ascii="宋体" w:hAnsi="宋体" w:cs="宋体"/>
          <w:color w:val="FF0000"/>
          <w:sz w:val="21"/>
          <w:szCs w:val="21"/>
          <w:lang w:val="en-US" w:eastAsia="zh-CN"/>
        </w:rPr>
        <w:t>】</w:t>
      </w:r>
      <w:r>
        <w:rPr>
          <w:rFonts w:hint="eastAsia" w:ascii="宋体" w:hAnsi="宋体" w:cs="宋体"/>
          <w:color w:val="auto"/>
          <w:sz w:val="21"/>
          <w:szCs w:val="21"/>
        </w:rPr>
        <w:t>有种观点认为，企业支付高现金股利可以减少管理者对自由现金流量的支配，从而在一定程度上抑制管理者的在职消费，持这种观点的股利分配理论是（  ）。</w:t>
      </w:r>
    </w:p>
    <w:p w14:paraId="10A80C61">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A.</w:t>
      </w:r>
      <w:r>
        <w:rPr>
          <w:rFonts w:hint="eastAsia" w:ascii="宋体" w:hAnsi="宋体" w:cs="宋体"/>
          <w:color w:val="auto"/>
          <w:sz w:val="21"/>
          <w:szCs w:val="21"/>
        </w:rPr>
        <w:t xml:space="preserve">“手中鸟”理论   </w:t>
      </w:r>
    </w:p>
    <w:p w14:paraId="28D24A83">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B.</w:t>
      </w:r>
      <w:r>
        <w:rPr>
          <w:rFonts w:hint="eastAsia" w:ascii="宋体" w:hAnsi="宋体" w:cs="宋体"/>
          <w:color w:val="auto"/>
          <w:sz w:val="21"/>
          <w:szCs w:val="21"/>
        </w:rPr>
        <w:t xml:space="preserve">信号传递理论   </w:t>
      </w:r>
    </w:p>
    <w:p w14:paraId="167D8C1F">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C.</w:t>
      </w:r>
      <w:r>
        <w:rPr>
          <w:rFonts w:hint="eastAsia" w:ascii="宋体" w:hAnsi="宋体" w:cs="宋体"/>
          <w:color w:val="auto"/>
          <w:sz w:val="21"/>
          <w:szCs w:val="21"/>
        </w:rPr>
        <w:t xml:space="preserve">所得税差异理论   </w:t>
      </w:r>
    </w:p>
    <w:p w14:paraId="28706726">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D.</w:t>
      </w:r>
      <w:r>
        <w:rPr>
          <w:rFonts w:hint="eastAsia" w:ascii="宋体" w:hAnsi="宋体" w:cs="宋体"/>
          <w:color w:val="auto"/>
          <w:sz w:val="21"/>
          <w:szCs w:val="21"/>
        </w:rPr>
        <w:t>代理理论</w:t>
      </w:r>
    </w:p>
    <w:p w14:paraId="128820E6">
      <w:pPr>
        <w:widowControl w:val="0"/>
        <w:autoSpaceDE w:val="0"/>
        <w:autoSpaceDN w:val="0"/>
        <w:adjustRightInd w:val="0"/>
        <w:snapToGrid w:val="0"/>
        <w:spacing w:line="360" w:lineRule="auto"/>
        <w:rPr>
          <w:rFonts w:hint="eastAsia" w:ascii="宋体" w:hAnsi="宋体" w:cs="宋体"/>
          <w:color w:val="FF0000"/>
          <w:sz w:val="21"/>
          <w:szCs w:val="21"/>
          <w:lang w:val="en-US" w:eastAsia="zh-CN"/>
        </w:rPr>
      </w:pPr>
      <w:r>
        <w:rPr>
          <w:rFonts w:hint="eastAsia" w:ascii="宋体" w:hAnsi="宋体" w:cs="宋体"/>
          <w:color w:val="FF0000"/>
          <w:sz w:val="21"/>
          <w:szCs w:val="21"/>
        </w:rPr>
        <w:t>答案：</w:t>
      </w:r>
      <w:r>
        <w:rPr>
          <w:rFonts w:hint="eastAsia" w:ascii="宋体" w:hAnsi="宋体" w:cs="宋体"/>
          <w:color w:val="FF0000"/>
          <w:sz w:val="21"/>
          <w:szCs w:val="21"/>
          <w:lang w:val="en-US" w:eastAsia="zh-CN"/>
        </w:rPr>
        <w:t>D</w:t>
      </w:r>
    </w:p>
    <w:p w14:paraId="3826C16F">
      <w:pPr>
        <w:widowControl w:val="0"/>
        <w:autoSpaceDE w:val="0"/>
        <w:autoSpaceDN w:val="0"/>
        <w:adjustRightInd w:val="0"/>
        <w:snapToGrid w:val="0"/>
        <w:spacing w:line="360" w:lineRule="auto"/>
        <w:rPr>
          <w:rFonts w:hint="eastAsia" w:ascii="宋体" w:hAnsi="宋体" w:cs="宋体"/>
          <w:color w:val="auto"/>
          <w:sz w:val="21"/>
          <w:szCs w:val="21"/>
        </w:rPr>
      </w:pPr>
      <w:r>
        <w:rPr>
          <w:rFonts w:hint="eastAsia" w:ascii="宋体" w:hAnsi="宋体" w:cs="宋体"/>
          <w:color w:val="FF0000"/>
          <w:sz w:val="21"/>
          <w:szCs w:val="21"/>
        </w:rPr>
        <w:t>解析：</w:t>
      </w:r>
      <w:r>
        <w:rPr>
          <w:rFonts w:hint="eastAsia" w:ascii="宋体" w:hAnsi="宋体" w:cs="宋体"/>
          <w:color w:val="auto"/>
          <w:sz w:val="21"/>
          <w:szCs w:val="21"/>
        </w:rPr>
        <w:t>代理理论认为，股利的支付减少了管理者对自由现金流量的支配权，这在一定程度上可以抑制公司管理者的过度投资或在职消费行为，从而保护外部投资者的利益。</w:t>
      </w:r>
    </w:p>
    <w:p w14:paraId="38A9958F">
      <w:pPr>
        <w:widowControl w:val="0"/>
        <w:autoSpaceDE w:val="0"/>
        <w:autoSpaceDN w:val="0"/>
        <w:adjustRightInd w:val="0"/>
        <w:snapToGrid w:val="0"/>
        <w:spacing w:line="360" w:lineRule="auto"/>
        <w:rPr>
          <w:rFonts w:hint="eastAsia" w:ascii="宋体" w:hAnsi="宋体" w:cs="宋体"/>
          <w:color w:val="auto"/>
          <w:sz w:val="21"/>
          <w:szCs w:val="21"/>
        </w:rPr>
      </w:pPr>
    </w:p>
    <w:p w14:paraId="3A18AB6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第九章  收入与分配管理</w:t>
      </w:r>
    </w:p>
    <w:p w14:paraId="4ACFCA0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154E09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【考点5】股利分配政策</w:t>
      </w:r>
      <w:r>
        <w:rPr>
          <w:rFonts w:hint="eastAsia" w:ascii="宋体" w:hAnsi="宋体" w:eastAsia="宋体" w:cs="宋体"/>
          <w:sz w:val="21"/>
          <w:szCs w:val="21"/>
        </w:rPr>
        <w:br w:type="textWrapping"/>
      </w:r>
      <w:r>
        <w:rPr>
          <w:rFonts w:hint="eastAsia" w:ascii="宋体" w:hAnsi="宋体" w:eastAsia="宋体" w:cs="宋体"/>
          <w:sz w:val="21"/>
          <w:szCs w:val="21"/>
        </w:rPr>
        <w:t>剩余股利政策</w:t>
      </w:r>
      <w:r>
        <w:rPr>
          <w:rFonts w:hint="eastAsia" w:ascii="宋体" w:hAnsi="宋体" w:eastAsia="宋体" w:cs="宋体"/>
          <w:sz w:val="21"/>
          <w:szCs w:val="21"/>
        </w:rPr>
        <w:br w:type="textWrapping"/>
      </w:r>
      <w:r>
        <w:rPr>
          <w:rFonts w:hint="eastAsia" w:ascii="宋体" w:hAnsi="宋体" w:eastAsia="宋体" w:cs="宋体"/>
          <w:sz w:val="21"/>
          <w:szCs w:val="21"/>
        </w:rPr>
        <w:t>固定股利支付率</w:t>
      </w:r>
      <w:r>
        <w:rPr>
          <w:rFonts w:hint="eastAsia" w:ascii="宋体" w:hAnsi="宋体" w:eastAsia="宋体" w:cs="宋体"/>
          <w:sz w:val="21"/>
          <w:szCs w:val="21"/>
        </w:rPr>
        <w:br w:type="textWrapping"/>
      </w:r>
      <w:r>
        <w:rPr>
          <w:rFonts w:hint="eastAsia" w:ascii="宋体" w:hAnsi="宋体" w:eastAsia="宋体" w:cs="宋体"/>
          <w:sz w:val="21"/>
          <w:szCs w:val="21"/>
        </w:rPr>
        <w:t>固定或稳定增长</w:t>
      </w:r>
      <w:r>
        <w:rPr>
          <w:rFonts w:hint="eastAsia" w:ascii="宋体" w:hAnsi="宋体" w:eastAsia="宋体" w:cs="宋体"/>
          <w:sz w:val="21"/>
          <w:szCs w:val="21"/>
        </w:rPr>
        <w:br w:type="textWrapping"/>
      </w:r>
      <w:r>
        <w:rPr>
          <w:rFonts w:hint="eastAsia" w:ascii="宋体" w:hAnsi="宋体" w:eastAsia="宋体" w:cs="宋体"/>
          <w:sz w:val="21"/>
          <w:szCs w:val="21"/>
        </w:rPr>
        <w:t>低正常股利加额外股利</w:t>
      </w:r>
    </w:p>
    <w:p w14:paraId="1EC7A6C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560DF3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【例·单选题】某公司目标资本结构要求权益资本占55%，2020年的净利润为2500万元，预计2021年投资所需资金为3000万元。按照剩余股利政策。2020年可发放的现金股利为（  ）。</w:t>
      </w:r>
      <w:r>
        <w:rPr>
          <w:rFonts w:hint="eastAsia" w:ascii="宋体" w:hAnsi="宋体" w:eastAsia="宋体" w:cs="宋体"/>
          <w:sz w:val="21"/>
          <w:szCs w:val="21"/>
        </w:rPr>
        <w:br w:type="textWrapping"/>
      </w:r>
      <w:r>
        <w:rPr>
          <w:rFonts w:hint="eastAsia" w:ascii="宋体" w:hAnsi="宋体" w:eastAsia="宋体" w:cs="宋体"/>
          <w:sz w:val="21"/>
          <w:szCs w:val="21"/>
        </w:rPr>
        <w:t xml:space="preserve">A.850万元            B.1150万元        </w:t>
      </w:r>
      <w:r>
        <w:rPr>
          <w:rFonts w:hint="eastAsia" w:ascii="宋体" w:hAnsi="宋体" w:eastAsia="宋体" w:cs="宋体"/>
          <w:sz w:val="21"/>
          <w:szCs w:val="21"/>
        </w:rPr>
        <w:br w:type="textWrapping"/>
      </w:r>
      <w:r>
        <w:rPr>
          <w:rFonts w:hint="eastAsia" w:ascii="宋体" w:hAnsi="宋体" w:eastAsia="宋体" w:cs="宋体"/>
          <w:sz w:val="21"/>
          <w:szCs w:val="21"/>
        </w:rPr>
        <w:t>C.1375万元          D.1125万元</w:t>
      </w:r>
      <w:r>
        <w:rPr>
          <w:rFonts w:hint="eastAsia" w:ascii="宋体" w:hAnsi="宋体" w:eastAsia="宋体" w:cs="宋体"/>
          <w:sz w:val="21"/>
          <w:szCs w:val="21"/>
        </w:rPr>
        <w:br w:type="textWrapping"/>
      </w:r>
      <w:r>
        <w:rPr>
          <w:rFonts w:hint="eastAsia" w:ascii="宋体" w:hAnsi="宋体" w:eastAsia="宋体" w:cs="宋体"/>
          <w:sz w:val="21"/>
          <w:szCs w:val="21"/>
        </w:rPr>
        <w:t>答案：A</w:t>
      </w:r>
      <w:r>
        <w:rPr>
          <w:rFonts w:hint="eastAsia" w:ascii="宋体" w:hAnsi="宋体" w:eastAsia="宋体" w:cs="宋体"/>
          <w:sz w:val="21"/>
          <w:szCs w:val="21"/>
        </w:rPr>
        <w:br w:type="textWrapping"/>
      </w:r>
      <w:r>
        <w:rPr>
          <w:rFonts w:hint="eastAsia" w:ascii="宋体" w:hAnsi="宋体" w:eastAsia="宋体" w:cs="宋体"/>
          <w:sz w:val="21"/>
          <w:szCs w:val="21"/>
        </w:rPr>
        <w:t>解析：2020年可发放的现金股利=2500-3000×55%=850（万元）。</w:t>
      </w:r>
    </w:p>
    <w:p w14:paraId="69BFA37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B7046F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【例·判断题】在公司具有良好的投资机会时，剩余股利政策要求公司尽量使用留存收益来满足目标资本结构所需的权益资本数额。（  ）</w:t>
      </w:r>
      <w:r>
        <w:rPr>
          <w:rFonts w:hint="eastAsia" w:ascii="宋体" w:hAnsi="宋体" w:eastAsia="宋体" w:cs="宋体"/>
          <w:sz w:val="21"/>
          <w:szCs w:val="21"/>
        </w:rPr>
        <w:br w:type="textWrapping"/>
      </w: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解析：剩余股利政策是指公司在有良好的投资机会时，根据目标资本结构，测算出投资所需的权益资本额，先从盈余中留用，然后将剩余的盈余作为股利来分配。所以该表述正确。</w:t>
      </w:r>
    </w:p>
    <w:p w14:paraId="7DEAD46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4C5449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【例·多选题】下列各项中，属于固定或稳定增长的股利政策优点的有（  ）。</w:t>
      </w:r>
      <w:r>
        <w:rPr>
          <w:rFonts w:hint="eastAsia" w:ascii="宋体" w:hAnsi="宋体" w:eastAsia="宋体" w:cs="宋体"/>
          <w:sz w:val="21"/>
          <w:szCs w:val="21"/>
        </w:rPr>
        <w:br w:type="textWrapping"/>
      </w:r>
      <w:r>
        <w:rPr>
          <w:rFonts w:hint="eastAsia" w:ascii="宋体" w:hAnsi="宋体" w:eastAsia="宋体" w:cs="宋体"/>
          <w:sz w:val="21"/>
          <w:szCs w:val="21"/>
        </w:rPr>
        <w:t>A.稳定的股利有利于稳定股价</w:t>
      </w:r>
      <w:r>
        <w:rPr>
          <w:rFonts w:hint="eastAsia" w:ascii="宋体" w:hAnsi="宋体" w:eastAsia="宋体" w:cs="宋体"/>
          <w:sz w:val="21"/>
          <w:szCs w:val="21"/>
        </w:rPr>
        <w:br w:type="textWrapping"/>
      </w:r>
      <w:r>
        <w:rPr>
          <w:rFonts w:hint="eastAsia" w:ascii="宋体" w:hAnsi="宋体" w:eastAsia="宋体" w:cs="宋体"/>
          <w:sz w:val="21"/>
          <w:szCs w:val="21"/>
        </w:rPr>
        <w:t>B.稳定的股利有利于树立公司的良好形象</w:t>
      </w:r>
      <w:r>
        <w:rPr>
          <w:rFonts w:hint="eastAsia" w:ascii="宋体" w:hAnsi="宋体" w:eastAsia="宋体" w:cs="宋体"/>
          <w:sz w:val="21"/>
          <w:szCs w:val="21"/>
        </w:rPr>
        <w:br w:type="textWrapping"/>
      </w:r>
      <w:r>
        <w:rPr>
          <w:rFonts w:hint="eastAsia" w:ascii="宋体" w:hAnsi="宋体" w:eastAsia="宋体" w:cs="宋体"/>
          <w:sz w:val="21"/>
          <w:szCs w:val="21"/>
        </w:rPr>
        <w:t>C.稳定的股利使股利与公司盈余密切挂钩</w:t>
      </w:r>
      <w:r>
        <w:rPr>
          <w:rFonts w:hint="eastAsia" w:ascii="宋体" w:hAnsi="宋体" w:eastAsia="宋体" w:cs="宋体"/>
          <w:sz w:val="21"/>
          <w:szCs w:val="21"/>
        </w:rPr>
        <w:br w:type="textWrapping"/>
      </w:r>
      <w:r>
        <w:rPr>
          <w:rFonts w:hint="eastAsia" w:ascii="宋体" w:hAnsi="宋体" w:eastAsia="宋体" w:cs="宋体"/>
          <w:sz w:val="21"/>
          <w:szCs w:val="21"/>
        </w:rPr>
        <w:t>D.稳定的股利有利于优化公司资本结构</w:t>
      </w:r>
    </w:p>
    <w:p w14:paraId="6DD90A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答案：AB</w:t>
      </w:r>
      <w:r>
        <w:rPr>
          <w:rFonts w:hint="eastAsia" w:ascii="宋体" w:hAnsi="宋体" w:eastAsia="宋体" w:cs="宋体"/>
          <w:sz w:val="21"/>
          <w:szCs w:val="21"/>
        </w:rPr>
        <w:br w:type="textWrapping"/>
      </w:r>
      <w:r>
        <w:rPr>
          <w:rFonts w:hint="eastAsia" w:ascii="宋体" w:hAnsi="宋体" w:eastAsia="宋体" w:cs="宋体"/>
          <w:sz w:val="21"/>
          <w:szCs w:val="21"/>
        </w:rPr>
        <w:t>解析：固定或稳定增长股利政策的优点有：（1）稳定的股利向市场传递着公司正常发展的信息，有利于树立公司的良好形象，增强投资者对公司的信心，稳定股票的价格。（2）稳定的股利额有助于投资者安排股利收入和支出，有利于吸引那些打算进行长期投资并对股利有很高依赖性的股东。（3）固定或稳定增长的股利政策可能会不符合剩余股利理论，但考虑到股票市场会受多种因素影响（包括股东的心理状态和其他要求），为了将股利或股利增长率维持在稳定的水平上，即使推迟某些投资方案或暂时偏离目标资本结构，也可能比降低股利或股利增长率更为有利。</w:t>
      </w:r>
    </w:p>
    <w:p w14:paraId="1722776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FA5AC6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【例·计算分析题】甲公司是一家能源类上市公司，当年取得的利润在下年分配。2018年公司净利润10000万元。2019年分配现金股利3000万元，预 计2019年净利润12000万元。2020年只投资一个新项目，总投资额8000万元。</w:t>
      </w:r>
      <w:r>
        <w:rPr>
          <w:rFonts w:hint="eastAsia" w:ascii="宋体" w:hAnsi="宋体" w:eastAsia="宋体" w:cs="宋体"/>
          <w:sz w:val="21"/>
          <w:szCs w:val="21"/>
        </w:rPr>
        <w:br w:type="textWrapping"/>
      </w: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（1）如果甲公司采用固定股利政策，计算2019年净利润的股利支付率。</w:t>
      </w:r>
      <w:r>
        <w:rPr>
          <w:rFonts w:hint="eastAsia" w:ascii="宋体" w:hAnsi="宋体" w:eastAsia="宋体" w:cs="宋体"/>
          <w:sz w:val="21"/>
          <w:szCs w:val="21"/>
        </w:rPr>
        <w:br w:type="textWrapping"/>
      </w:r>
      <w:r>
        <w:rPr>
          <w:rFonts w:hint="eastAsia" w:ascii="宋体" w:hAnsi="宋体" w:eastAsia="宋体" w:cs="宋体"/>
          <w:sz w:val="21"/>
          <w:szCs w:val="21"/>
        </w:rPr>
        <w:t>（2）如果甲公司采用固定股利支付率政策，计算2019年净利润的股利支付率。</w:t>
      </w:r>
    </w:p>
    <w:p w14:paraId="6E46CFC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（3）如果甲公司采用剩余股利政策，目标资本结构是负债/权益等于2/3，计算2019年净利润的股利支付率。</w:t>
      </w:r>
      <w:r>
        <w:rPr>
          <w:rFonts w:hint="eastAsia" w:ascii="宋体" w:hAnsi="宋体" w:eastAsia="宋体" w:cs="宋体"/>
          <w:sz w:val="21"/>
          <w:szCs w:val="21"/>
        </w:rPr>
        <w:br w:type="textWrapping"/>
      </w:r>
      <w:r>
        <w:rPr>
          <w:rFonts w:hint="eastAsia" w:ascii="宋体" w:hAnsi="宋体" w:eastAsia="宋体" w:cs="宋体"/>
          <w:sz w:val="21"/>
          <w:szCs w:val="21"/>
        </w:rPr>
        <w:t>（4）如果甲公司采用低正常股利加额外股利政策，低正常股利为2000万元，额外股利为2019年净利润扣除低正常股利后余额的16%，计算2019年净利润的股利支付率。</w:t>
      </w:r>
    </w:p>
    <w:p w14:paraId="2C9BD00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（1）2019年净利润的股利支付率=3000/12000=25%。</w:t>
      </w:r>
      <w:r>
        <w:rPr>
          <w:rFonts w:hint="eastAsia" w:ascii="宋体" w:hAnsi="宋体" w:eastAsia="宋体" w:cs="宋体"/>
          <w:sz w:val="21"/>
          <w:szCs w:val="21"/>
        </w:rPr>
        <w:br w:type="textWrapping"/>
      </w:r>
      <w:r>
        <w:rPr>
          <w:rFonts w:hint="eastAsia" w:ascii="宋体" w:hAnsi="宋体" w:eastAsia="宋体" w:cs="宋体"/>
          <w:sz w:val="21"/>
          <w:szCs w:val="21"/>
        </w:rPr>
        <w:t>（2）2019年净利润的股利支付率=3000／10000=30%。</w:t>
      </w:r>
      <w:r>
        <w:rPr>
          <w:rFonts w:hint="eastAsia" w:ascii="宋体" w:hAnsi="宋体" w:eastAsia="宋体" w:cs="宋体"/>
          <w:sz w:val="21"/>
          <w:szCs w:val="21"/>
        </w:rPr>
        <w:br w:type="textWrapping"/>
      </w:r>
      <w:r>
        <w:rPr>
          <w:rFonts w:hint="eastAsia" w:ascii="宋体" w:hAnsi="宋体" w:eastAsia="宋体" w:cs="宋体"/>
          <w:sz w:val="21"/>
          <w:szCs w:val="21"/>
        </w:rPr>
        <w:t>（3）2019年净利润的股利支付率=（12000-8000×3/5）/12000=60%</w:t>
      </w:r>
      <w:r>
        <w:rPr>
          <w:rFonts w:hint="eastAsia" w:ascii="宋体" w:hAnsi="宋体" w:eastAsia="宋体" w:cs="宋体"/>
          <w:sz w:val="21"/>
          <w:szCs w:val="21"/>
        </w:rPr>
        <w:br w:type="textWrapping"/>
      </w:r>
      <w:r>
        <w:rPr>
          <w:rFonts w:hint="eastAsia" w:ascii="宋体" w:hAnsi="宋体" w:eastAsia="宋体" w:cs="宋体"/>
          <w:sz w:val="21"/>
          <w:szCs w:val="21"/>
        </w:rPr>
        <w:t>（4）2019年股利=2000+ （12000-2000）×16%=3600（万元）</w:t>
      </w:r>
      <w:r>
        <w:rPr>
          <w:rFonts w:hint="eastAsia" w:ascii="宋体" w:hAnsi="宋体" w:eastAsia="宋体" w:cs="宋体"/>
          <w:sz w:val="21"/>
          <w:szCs w:val="21"/>
        </w:rPr>
        <w:br w:type="textWrapping"/>
      </w:r>
      <w:r>
        <w:rPr>
          <w:rFonts w:hint="eastAsia" w:ascii="宋体" w:hAnsi="宋体" w:eastAsia="宋体" w:cs="宋体"/>
          <w:sz w:val="21"/>
          <w:szCs w:val="21"/>
        </w:rPr>
        <w:t>2019年净利润的股利支付率=3600/12000=30%。</w:t>
      </w:r>
    </w:p>
    <w:p w14:paraId="71FEA86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14C242C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【考点5】股利支付形式</w:t>
      </w:r>
      <w:r>
        <w:rPr>
          <w:rFonts w:hint="eastAsia" w:ascii="宋体" w:hAnsi="宋体" w:eastAsia="宋体" w:cs="宋体"/>
          <w:sz w:val="21"/>
          <w:szCs w:val="21"/>
        </w:rPr>
        <w:br w:type="textWrapping"/>
      </w:r>
      <w:r>
        <w:rPr>
          <w:rFonts w:hint="eastAsia" w:ascii="宋体" w:hAnsi="宋体" w:eastAsia="宋体" w:cs="宋体"/>
          <w:sz w:val="21"/>
          <w:szCs w:val="21"/>
        </w:rPr>
        <w:t>现金股利</w:t>
      </w:r>
      <w:r>
        <w:rPr>
          <w:rFonts w:hint="eastAsia" w:ascii="宋体" w:hAnsi="宋体" w:eastAsia="宋体" w:cs="宋体"/>
          <w:sz w:val="21"/>
          <w:szCs w:val="21"/>
        </w:rPr>
        <w:br w:type="textWrapping"/>
      </w:r>
      <w:r>
        <w:rPr>
          <w:rFonts w:hint="eastAsia" w:ascii="宋体" w:hAnsi="宋体" w:eastAsia="宋体" w:cs="宋体"/>
          <w:sz w:val="21"/>
          <w:szCs w:val="21"/>
        </w:rPr>
        <w:t>财产股利</w:t>
      </w:r>
      <w:r>
        <w:rPr>
          <w:rFonts w:hint="eastAsia" w:ascii="宋体" w:hAnsi="宋体" w:eastAsia="宋体" w:cs="宋体"/>
          <w:sz w:val="21"/>
          <w:szCs w:val="21"/>
        </w:rPr>
        <w:br w:type="textWrapping"/>
      </w:r>
      <w:r>
        <w:rPr>
          <w:rFonts w:hint="eastAsia" w:ascii="宋体" w:hAnsi="宋体" w:eastAsia="宋体" w:cs="宋体"/>
          <w:sz w:val="21"/>
          <w:szCs w:val="21"/>
        </w:rPr>
        <w:t>负债股利</w:t>
      </w:r>
      <w:r>
        <w:rPr>
          <w:rFonts w:hint="eastAsia" w:ascii="宋体" w:hAnsi="宋体" w:eastAsia="宋体" w:cs="宋体"/>
          <w:sz w:val="21"/>
          <w:szCs w:val="21"/>
        </w:rPr>
        <w:br w:type="textWrapping"/>
      </w:r>
      <w:r>
        <w:rPr>
          <w:rFonts w:hint="eastAsia" w:ascii="宋体" w:hAnsi="宋体" w:eastAsia="宋体" w:cs="宋体"/>
          <w:sz w:val="21"/>
          <w:szCs w:val="21"/>
        </w:rPr>
        <w:t>股票股利</w:t>
      </w:r>
    </w:p>
    <w:p w14:paraId="0123A32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21C2DE2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【例·单选题】如果某公司以所持有的其他公司的有价证券作为股利发给本公司股东，则该股利支付方式属于（  ）。</w:t>
      </w:r>
      <w:r>
        <w:rPr>
          <w:rFonts w:hint="eastAsia" w:ascii="宋体" w:hAnsi="宋体" w:eastAsia="宋体" w:cs="宋体"/>
          <w:sz w:val="21"/>
          <w:szCs w:val="21"/>
        </w:rPr>
        <w:br w:type="textWrapping"/>
      </w:r>
      <w:r>
        <w:rPr>
          <w:rFonts w:hint="eastAsia" w:ascii="宋体" w:hAnsi="宋体" w:eastAsia="宋体" w:cs="宋体"/>
          <w:sz w:val="21"/>
          <w:szCs w:val="21"/>
        </w:rPr>
        <w:t xml:space="preserve">A.负债股利   </w:t>
      </w:r>
      <w:r>
        <w:rPr>
          <w:rFonts w:hint="eastAsia" w:ascii="宋体" w:hAnsi="宋体" w:eastAsia="宋体" w:cs="宋体"/>
          <w:sz w:val="21"/>
          <w:szCs w:val="21"/>
        </w:rPr>
        <w:br w:type="textWrapping"/>
      </w:r>
      <w:r>
        <w:rPr>
          <w:rFonts w:hint="eastAsia" w:ascii="宋体" w:hAnsi="宋体" w:eastAsia="宋体" w:cs="宋体"/>
          <w:sz w:val="21"/>
          <w:szCs w:val="21"/>
        </w:rPr>
        <w:t xml:space="preserve">B.财产股利    </w:t>
      </w:r>
      <w:r>
        <w:rPr>
          <w:rFonts w:hint="eastAsia" w:ascii="宋体" w:hAnsi="宋体" w:eastAsia="宋体" w:cs="宋体"/>
          <w:sz w:val="21"/>
          <w:szCs w:val="21"/>
        </w:rPr>
        <w:br w:type="textWrapping"/>
      </w:r>
      <w:r>
        <w:rPr>
          <w:rFonts w:hint="eastAsia" w:ascii="宋体" w:hAnsi="宋体" w:eastAsia="宋体" w:cs="宋体"/>
          <w:sz w:val="21"/>
          <w:szCs w:val="21"/>
        </w:rPr>
        <w:t xml:space="preserve">C.股票股利     </w:t>
      </w:r>
      <w:r>
        <w:rPr>
          <w:rFonts w:hint="eastAsia" w:ascii="宋体" w:hAnsi="宋体" w:eastAsia="宋体" w:cs="宋体"/>
          <w:sz w:val="21"/>
          <w:szCs w:val="21"/>
        </w:rPr>
        <w:br w:type="textWrapping"/>
      </w:r>
      <w:r>
        <w:rPr>
          <w:rFonts w:hint="eastAsia" w:ascii="宋体" w:hAnsi="宋体" w:eastAsia="宋体" w:cs="宋体"/>
          <w:sz w:val="21"/>
          <w:szCs w:val="21"/>
        </w:rPr>
        <w:t>D.现金股利</w:t>
      </w:r>
      <w:r>
        <w:rPr>
          <w:rFonts w:hint="eastAsia" w:ascii="宋体" w:hAnsi="宋体" w:eastAsia="宋体" w:cs="宋体"/>
          <w:sz w:val="21"/>
          <w:szCs w:val="21"/>
        </w:rPr>
        <w:br w:type="textWrapping"/>
      </w:r>
      <w:r>
        <w:rPr>
          <w:rFonts w:hint="eastAsia" w:ascii="宋体" w:hAnsi="宋体" w:eastAsia="宋体" w:cs="宋体"/>
          <w:sz w:val="21"/>
          <w:szCs w:val="21"/>
        </w:rPr>
        <w:t>答案：B</w:t>
      </w:r>
      <w:r>
        <w:rPr>
          <w:rFonts w:hint="eastAsia" w:ascii="宋体" w:hAnsi="宋体" w:eastAsia="宋体" w:cs="宋体"/>
          <w:sz w:val="21"/>
          <w:szCs w:val="21"/>
        </w:rPr>
        <w:br w:type="textWrapping"/>
      </w:r>
      <w:r>
        <w:rPr>
          <w:rFonts w:hint="eastAsia" w:ascii="宋体" w:hAnsi="宋体" w:eastAsia="宋体" w:cs="宋体"/>
          <w:sz w:val="21"/>
          <w:szCs w:val="21"/>
        </w:rPr>
        <w:t>解析：财产股利是以现金以外的其他资产支付的股利，主要是以公司所拥有的其他公司的有价证券，如债券、股票等，作为股利支付给股东。</w:t>
      </w:r>
    </w:p>
    <w:p w14:paraId="323A39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E2B749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【考点6】股票股利</w:t>
      </w:r>
      <w:r>
        <w:rPr>
          <w:rFonts w:hint="eastAsia" w:ascii="宋体" w:hAnsi="宋体" w:eastAsia="宋体" w:cs="宋体"/>
          <w:sz w:val="21"/>
          <w:szCs w:val="21"/>
        </w:rPr>
        <w:br w:type="textWrapping"/>
      </w:r>
      <w:r>
        <w:rPr>
          <w:rFonts w:hint="eastAsia" w:ascii="宋体" w:hAnsi="宋体" w:eastAsia="宋体" w:cs="宋体"/>
          <w:sz w:val="21"/>
          <w:szCs w:val="21"/>
        </w:rPr>
        <w:t>（一）股票股利的影响因素</w:t>
      </w:r>
      <w:r>
        <w:rPr>
          <w:rFonts w:hint="eastAsia" w:ascii="宋体" w:hAnsi="宋体" w:eastAsia="宋体" w:cs="宋体"/>
          <w:sz w:val="21"/>
          <w:szCs w:val="21"/>
        </w:rPr>
        <w:br w:type="textWrapping"/>
      </w:r>
      <w:r>
        <w:rPr>
          <w:rFonts w:hint="eastAsia" w:ascii="宋体" w:hAnsi="宋体" w:eastAsia="宋体" w:cs="宋体"/>
          <w:sz w:val="21"/>
          <w:szCs w:val="21"/>
        </w:rPr>
        <w:t>（1）股东权益结构变化：未分配利润转化为股本和资本公积；</w:t>
      </w:r>
      <w:r>
        <w:rPr>
          <w:rFonts w:hint="eastAsia" w:ascii="宋体" w:hAnsi="宋体" w:eastAsia="宋体" w:cs="宋体"/>
          <w:sz w:val="21"/>
          <w:szCs w:val="21"/>
        </w:rPr>
        <w:br w:type="textWrapping"/>
      </w:r>
      <w:r>
        <w:rPr>
          <w:rFonts w:hint="eastAsia" w:ascii="宋体" w:hAnsi="宋体" w:eastAsia="宋体" w:cs="宋体"/>
          <w:sz w:val="21"/>
          <w:szCs w:val="21"/>
        </w:rPr>
        <w:t>（2）没有现金流出企业，不会导致公司财产减少；</w:t>
      </w:r>
      <w:r>
        <w:rPr>
          <w:rFonts w:hint="eastAsia" w:ascii="宋体" w:hAnsi="宋体" w:eastAsia="宋体" w:cs="宋体"/>
          <w:sz w:val="21"/>
          <w:szCs w:val="21"/>
        </w:rPr>
        <w:br w:type="textWrapping"/>
      </w:r>
      <w:r>
        <w:rPr>
          <w:rFonts w:hint="eastAsia" w:ascii="宋体" w:hAnsi="宋体" w:eastAsia="宋体" w:cs="宋体"/>
          <w:sz w:val="21"/>
          <w:szCs w:val="21"/>
        </w:rPr>
        <w:t>（3）资产、负债、股东权益总额不变；</w:t>
      </w:r>
      <w:r>
        <w:rPr>
          <w:rFonts w:hint="eastAsia" w:ascii="宋体" w:hAnsi="宋体" w:eastAsia="宋体" w:cs="宋体"/>
          <w:sz w:val="21"/>
          <w:szCs w:val="21"/>
        </w:rPr>
        <w:br w:type="textWrapping"/>
      </w:r>
      <w:r>
        <w:rPr>
          <w:rFonts w:hint="eastAsia" w:ascii="宋体" w:hAnsi="宋体" w:eastAsia="宋体" w:cs="宋体"/>
          <w:sz w:val="21"/>
          <w:szCs w:val="21"/>
        </w:rPr>
        <w:t>（4）不直接增加股东财富和公司价值；</w:t>
      </w:r>
      <w:r>
        <w:rPr>
          <w:rFonts w:hint="eastAsia" w:ascii="宋体" w:hAnsi="宋体" w:eastAsia="宋体" w:cs="宋体"/>
          <w:sz w:val="21"/>
          <w:szCs w:val="21"/>
        </w:rPr>
        <w:br w:type="textWrapping"/>
      </w:r>
      <w:r>
        <w:rPr>
          <w:rFonts w:hint="eastAsia" w:ascii="宋体" w:hAnsi="宋体" w:eastAsia="宋体" w:cs="宋体"/>
          <w:sz w:val="21"/>
          <w:szCs w:val="21"/>
        </w:rPr>
        <w:t>（5）增加流通在外的股票数量，同时降低股票的每股价值；</w:t>
      </w:r>
      <w:r>
        <w:rPr>
          <w:rFonts w:hint="eastAsia" w:ascii="宋体" w:hAnsi="宋体" w:eastAsia="宋体" w:cs="宋体"/>
          <w:sz w:val="21"/>
          <w:szCs w:val="21"/>
        </w:rPr>
        <w:br w:type="textWrapping"/>
      </w:r>
      <w:r>
        <w:rPr>
          <w:rFonts w:hint="eastAsia" w:ascii="宋体" w:hAnsi="宋体" w:eastAsia="宋体" w:cs="宋体"/>
          <w:sz w:val="21"/>
          <w:szCs w:val="21"/>
        </w:rPr>
        <w:t>（6）股东持股比例不变。</w:t>
      </w:r>
      <w:r>
        <w:rPr>
          <w:rFonts w:hint="eastAsia" w:ascii="宋体" w:hAnsi="宋体" w:eastAsia="宋体" w:cs="宋体"/>
          <w:sz w:val="21"/>
          <w:szCs w:val="21"/>
        </w:rPr>
        <w:br w:type="textWrapping"/>
      </w:r>
      <w:r>
        <w:rPr>
          <w:rFonts w:hint="eastAsia" w:ascii="宋体" w:hAnsi="宋体" w:eastAsia="宋体" w:cs="宋体"/>
          <w:sz w:val="21"/>
          <w:szCs w:val="21"/>
        </w:rPr>
        <w:t>（二）股利支付程序</w:t>
      </w:r>
    </w:p>
    <w:p w14:paraId="78BB9A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E9CA93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【例·多选题】下列关于发放股票股利的表述中，正确是有（  ）。</w:t>
      </w:r>
      <w:r>
        <w:rPr>
          <w:rFonts w:hint="eastAsia" w:ascii="宋体" w:hAnsi="宋体" w:eastAsia="宋体" w:cs="宋体"/>
          <w:sz w:val="21"/>
          <w:szCs w:val="21"/>
        </w:rPr>
        <w:br w:type="textWrapping"/>
      </w:r>
      <w:r>
        <w:rPr>
          <w:rFonts w:hint="eastAsia" w:ascii="宋体" w:hAnsi="宋体" w:eastAsia="宋体" w:cs="宋体"/>
          <w:sz w:val="21"/>
          <w:szCs w:val="21"/>
        </w:rPr>
        <w:t xml:space="preserve">A.不会导致公司现金流出             </w:t>
      </w:r>
      <w:r>
        <w:rPr>
          <w:rFonts w:hint="eastAsia" w:ascii="宋体" w:hAnsi="宋体" w:eastAsia="宋体" w:cs="宋体"/>
          <w:sz w:val="21"/>
          <w:szCs w:val="21"/>
        </w:rPr>
        <w:br w:type="textWrapping"/>
      </w:r>
      <w:r>
        <w:rPr>
          <w:rFonts w:hint="eastAsia" w:ascii="宋体" w:hAnsi="宋体" w:eastAsia="宋体" w:cs="宋体"/>
          <w:sz w:val="21"/>
          <w:szCs w:val="21"/>
        </w:rPr>
        <w:t>B.会增加公司流通在外的股票数量</w:t>
      </w:r>
      <w:r>
        <w:rPr>
          <w:rFonts w:hint="eastAsia" w:ascii="宋体" w:hAnsi="宋体" w:eastAsia="宋体" w:cs="宋体"/>
          <w:sz w:val="21"/>
          <w:szCs w:val="21"/>
        </w:rPr>
        <w:br w:type="textWrapping"/>
      </w:r>
      <w:r>
        <w:rPr>
          <w:rFonts w:hint="eastAsia" w:ascii="宋体" w:hAnsi="宋体" w:eastAsia="宋体" w:cs="宋体"/>
          <w:sz w:val="21"/>
          <w:szCs w:val="21"/>
        </w:rPr>
        <w:t xml:space="preserve">C.会改变公司股东权益的内部结构      </w:t>
      </w:r>
      <w:r>
        <w:rPr>
          <w:rFonts w:hint="eastAsia" w:ascii="宋体" w:hAnsi="宋体" w:eastAsia="宋体" w:cs="宋体"/>
          <w:sz w:val="21"/>
          <w:szCs w:val="21"/>
        </w:rPr>
        <w:br w:type="textWrapping"/>
      </w:r>
      <w:r>
        <w:rPr>
          <w:rFonts w:hint="eastAsia" w:ascii="宋体" w:hAnsi="宋体" w:eastAsia="宋体" w:cs="宋体"/>
          <w:sz w:val="21"/>
          <w:szCs w:val="21"/>
        </w:rPr>
        <w:t>D.会对公司股东权益总额产生影响</w:t>
      </w:r>
      <w:r>
        <w:rPr>
          <w:rFonts w:hint="eastAsia" w:ascii="宋体" w:hAnsi="宋体" w:eastAsia="宋体" w:cs="宋体"/>
          <w:sz w:val="21"/>
          <w:szCs w:val="21"/>
        </w:rPr>
        <w:br w:type="textWrapping"/>
      </w:r>
      <w:r>
        <w:rPr>
          <w:rFonts w:hint="eastAsia" w:ascii="宋体" w:hAnsi="宋体" w:eastAsia="宋体" w:cs="宋体"/>
          <w:sz w:val="21"/>
          <w:szCs w:val="21"/>
        </w:rPr>
        <w:t>答案：ABC</w:t>
      </w:r>
      <w:r>
        <w:rPr>
          <w:rFonts w:hint="eastAsia" w:ascii="宋体" w:hAnsi="宋体" w:eastAsia="宋体" w:cs="宋体"/>
          <w:sz w:val="21"/>
          <w:szCs w:val="21"/>
        </w:rPr>
        <w:br w:type="textWrapping"/>
      </w:r>
      <w:r>
        <w:rPr>
          <w:rFonts w:hint="eastAsia" w:ascii="宋体" w:hAnsi="宋体" w:eastAsia="宋体" w:cs="宋体"/>
          <w:sz w:val="21"/>
          <w:szCs w:val="21"/>
        </w:rPr>
        <w:t>解析：发放股票股利，只会引起股东权益内部此增彼减，不会对公司股东权益总额产生影响，所以选项D不正确。</w:t>
      </w:r>
    </w:p>
    <w:p w14:paraId="532CF25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72AA22A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【考点7】股票分割与股票购回</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4597"/>
        <w:gridCol w:w="4281"/>
      </w:tblGrid>
      <w:tr w14:paraId="062A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tcPr>
          <w:p w14:paraId="44CA81E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tc>
        <w:tc>
          <w:tcPr>
            <w:tcW w:w="2195" w:type="pct"/>
          </w:tcPr>
          <w:p w14:paraId="493D1A9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相同点</w:t>
            </w:r>
          </w:p>
        </w:tc>
        <w:tc>
          <w:tcPr>
            <w:tcW w:w="2044" w:type="pct"/>
          </w:tcPr>
          <w:p w14:paraId="26DF5FE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不同点</w:t>
            </w:r>
          </w:p>
        </w:tc>
      </w:tr>
      <w:tr w14:paraId="2034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tcPr>
          <w:p w14:paraId="6D0706F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股票股利</w:t>
            </w:r>
          </w:p>
        </w:tc>
        <w:tc>
          <w:tcPr>
            <w:tcW w:w="2195" w:type="pct"/>
          </w:tcPr>
          <w:p w14:paraId="0A1442B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（1）股东权益总额不变</w:t>
            </w:r>
            <w:r>
              <w:rPr>
                <w:rFonts w:hint="eastAsia" w:ascii="宋体" w:hAnsi="宋体" w:eastAsia="宋体" w:cs="宋体"/>
                <w:sz w:val="21"/>
                <w:szCs w:val="21"/>
              </w:rPr>
              <w:br w:type="textWrapping"/>
            </w:r>
            <w:r>
              <w:rPr>
                <w:rFonts w:hint="eastAsia" w:ascii="宋体" w:hAnsi="宋体" w:eastAsia="宋体" w:cs="宋体"/>
                <w:sz w:val="21"/>
                <w:szCs w:val="21"/>
              </w:rPr>
              <w:t>（2）股数增加</w:t>
            </w:r>
            <w:r>
              <w:rPr>
                <w:rFonts w:hint="eastAsia" w:ascii="宋体" w:hAnsi="宋体" w:eastAsia="宋体" w:cs="宋体"/>
                <w:sz w:val="21"/>
                <w:szCs w:val="21"/>
              </w:rPr>
              <w:br w:type="textWrapping"/>
            </w:r>
            <w:r>
              <w:rPr>
                <w:rFonts w:hint="eastAsia" w:ascii="宋体" w:hAnsi="宋体" w:eastAsia="宋体" w:cs="宋体"/>
                <w:sz w:val="21"/>
                <w:szCs w:val="21"/>
              </w:rPr>
              <w:t>（3）每股收益和每股市价下降</w:t>
            </w:r>
          </w:p>
        </w:tc>
        <w:tc>
          <w:tcPr>
            <w:tcW w:w="2044" w:type="pct"/>
          </w:tcPr>
          <w:p w14:paraId="08E8537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（1）股东内部结构发生变化</w:t>
            </w:r>
            <w:r>
              <w:rPr>
                <w:rFonts w:hint="eastAsia" w:ascii="宋体" w:hAnsi="宋体" w:eastAsia="宋体" w:cs="宋体"/>
                <w:sz w:val="21"/>
                <w:szCs w:val="21"/>
              </w:rPr>
              <w:br w:type="textWrapping"/>
            </w:r>
            <w:r>
              <w:rPr>
                <w:rFonts w:hint="eastAsia" w:ascii="宋体" w:hAnsi="宋体" w:eastAsia="宋体" w:cs="宋体"/>
                <w:sz w:val="21"/>
                <w:szCs w:val="21"/>
              </w:rPr>
              <w:t>（2）面值不变</w:t>
            </w:r>
            <w:r>
              <w:rPr>
                <w:rFonts w:hint="eastAsia" w:ascii="宋体" w:hAnsi="宋体" w:eastAsia="宋体" w:cs="宋体"/>
                <w:sz w:val="21"/>
                <w:szCs w:val="21"/>
              </w:rPr>
              <w:br w:type="textWrapping"/>
            </w:r>
            <w:r>
              <w:rPr>
                <w:rFonts w:hint="eastAsia" w:ascii="宋体" w:hAnsi="宋体" w:eastAsia="宋体" w:cs="宋体"/>
                <w:sz w:val="21"/>
                <w:szCs w:val="21"/>
              </w:rPr>
              <w:t>（3）属于股利支付</w:t>
            </w:r>
          </w:p>
        </w:tc>
      </w:tr>
      <w:tr w14:paraId="3A31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tcPr>
          <w:p w14:paraId="1B1C4E0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股票分割</w:t>
            </w:r>
          </w:p>
        </w:tc>
        <w:tc>
          <w:tcPr>
            <w:tcW w:w="2195" w:type="pct"/>
          </w:tcPr>
          <w:p w14:paraId="0FF3621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tc>
        <w:tc>
          <w:tcPr>
            <w:tcW w:w="2044" w:type="pct"/>
          </w:tcPr>
          <w:p w14:paraId="19DB133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（1）股东内部结构都不变</w:t>
            </w:r>
            <w:r>
              <w:rPr>
                <w:rFonts w:hint="eastAsia" w:ascii="宋体" w:hAnsi="宋体" w:eastAsia="宋体" w:cs="宋体"/>
                <w:sz w:val="21"/>
                <w:szCs w:val="21"/>
              </w:rPr>
              <w:br w:type="textWrapping"/>
            </w:r>
            <w:r>
              <w:rPr>
                <w:rFonts w:hint="eastAsia" w:ascii="宋体" w:hAnsi="宋体" w:eastAsia="宋体" w:cs="宋体"/>
                <w:sz w:val="21"/>
                <w:szCs w:val="21"/>
              </w:rPr>
              <w:t>（2）面值变小</w:t>
            </w:r>
            <w:r>
              <w:rPr>
                <w:rFonts w:hint="eastAsia" w:ascii="宋体" w:hAnsi="宋体" w:eastAsia="宋体" w:cs="宋体"/>
                <w:sz w:val="21"/>
                <w:szCs w:val="21"/>
              </w:rPr>
              <w:br w:type="textWrapping"/>
            </w:r>
            <w:r>
              <w:rPr>
                <w:rFonts w:hint="eastAsia" w:ascii="宋体" w:hAnsi="宋体" w:eastAsia="宋体" w:cs="宋体"/>
                <w:sz w:val="21"/>
                <w:szCs w:val="21"/>
              </w:rPr>
              <w:t>（3）不是股利支付</w:t>
            </w:r>
          </w:p>
        </w:tc>
      </w:tr>
    </w:tbl>
    <w:p w14:paraId="175B452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0E37E2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【例·单选题】实施股票分割和股票股利产生的效果相似，他们都会（  ）。</w:t>
      </w:r>
      <w:r>
        <w:rPr>
          <w:rFonts w:hint="eastAsia" w:ascii="宋体" w:hAnsi="宋体" w:eastAsia="宋体" w:cs="宋体"/>
          <w:sz w:val="21"/>
          <w:szCs w:val="21"/>
        </w:rPr>
        <w:br w:type="textWrapping"/>
      </w:r>
      <w:r>
        <w:rPr>
          <w:rFonts w:hint="eastAsia" w:ascii="宋体" w:hAnsi="宋体" w:eastAsia="宋体" w:cs="宋体"/>
          <w:sz w:val="21"/>
          <w:szCs w:val="21"/>
        </w:rPr>
        <w:t>A.降低股票毎股面值      B.降低股票每股价格</w:t>
      </w:r>
      <w:r>
        <w:rPr>
          <w:rFonts w:hint="eastAsia" w:ascii="宋体" w:hAnsi="宋体" w:eastAsia="宋体" w:cs="宋体"/>
          <w:sz w:val="21"/>
          <w:szCs w:val="21"/>
        </w:rPr>
        <w:br w:type="textWrapping"/>
      </w:r>
      <w:r>
        <w:rPr>
          <w:rFonts w:hint="eastAsia" w:ascii="宋体" w:hAnsi="宋体" w:eastAsia="宋体" w:cs="宋体"/>
          <w:sz w:val="21"/>
          <w:szCs w:val="21"/>
        </w:rPr>
        <w:t>C.减少股东权益总额      D.改变股东权益结构</w:t>
      </w:r>
      <w:r>
        <w:rPr>
          <w:rFonts w:hint="eastAsia" w:ascii="宋体" w:hAnsi="宋体" w:eastAsia="宋体" w:cs="宋体"/>
          <w:sz w:val="21"/>
          <w:szCs w:val="21"/>
        </w:rPr>
        <w:br w:type="textWrapping"/>
      </w:r>
      <w:r>
        <w:rPr>
          <w:rFonts w:hint="eastAsia" w:ascii="宋体" w:hAnsi="宋体" w:eastAsia="宋体" w:cs="宋体"/>
          <w:sz w:val="21"/>
          <w:szCs w:val="21"/>
        </w:rPr>
        <w:t>答案：B</w:t>
      </w:r>
      <w:r>
        <w:rPr>
          <w:rFonts w:hint="eastAsia" w:ascii="宋体" w:hAnsi="宋体" w:eastAsia="宋体" w:cs="宋体"/>
          <w:sz w:val="21"/>
          <w:szCs w:val="21"/>
        </w:rPr>
        <w:br w:type="textWrapping"/>
      </w:r>
      <w:r>
        <w:rPr>
          <w:rFonts w:hint="eastAsia" w:ascii="宋体" w:hAnsi="宋体" w:eastAsia="宋体" w:cs="宋体"/>
          <w:sz w:val="21"/>
          <w:szCs w:val="21"/>
        </w:rPr>
        <w:t>解析：股票股利和股票分割，都会导致普通股股数增加，进而降低股票每股市价。</w:t>
      </w:r>
    </w:p>
    <w:p w14:paraId="21B90C4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0B5EC07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综合题】某公司成立于20×3年1月1日，20×3年度实现的净利润为1000万元，分配现金股利550万元，提取盈余公积450万元（所提盈余公积均已指定用途）。20×4年实现的净利润为900万元（不考虑计提法定盈余公积的因素）。20×5年计划增加投资，所需资金为700万元。假定公司目标资本结构为自有资金占60%，借入资金占40%。</w:t>
      </w:r>
      <w:r>
        <w:rPr>
          <w:rFonts w:hint="eastAsia" w:ascii="宋体" w:hAnsi="宋体" w:eastAsia="宋体" w:cs="宋体"/>
          <w:sz w:val="21"/>
          <w:szCs w:val="21"/>
        </w:rPr>
        <w:br w:type="textWrapping"/>
      </w:r>
      <w:r>
        <w:rPr>
          <w:rFonts w:hint="eastAsia" w:ascii="宋体" w:hAnsi="宋体" w:eastAsia="宋体" w:cs="宋体"/>
          <w:sz w:val="21"/>
          <w:szCs w:val="21"/>
        </w:rPr>
        <w:t>要求：（1）在保持目标资本结构的前提下，计算20×5年投资方案所需的自有资金额和需要从外部借入的资金额。</w:t>
      </w:r>
      <w:r>
        <w:rPr>
          <w:rFonts w:hint="eastAsia" w:ascii="宋体" w:hAnsi="宋体" w:eastAsia="宋体" w:cs="宋体"/>
          <w:sz w:val="21"/>
          <w:szCs w:val="21"/>
        </w:rPr>
        <w:br w:type="textWrapping"/>
      </w:r>
      <w:r>
        <w:rPr>
          <w:rFonts w:hint="eastAsia" w:ascii="宋体" w:hAnsi="宋体" w:eastAsia="宋体" w:cs="宋体"/>
          <w:sz w:val="21"/>
          <w:szCs w:val="21"/>
        </w:rPr>
        <w:t>（2）在保持目标资本结构的前提下，如果公司执行剩余股利政策。计算20×4年度应分配的现金股利。</w:t>
      </w:r>
    </w:p>
    <w:p w14:paraId="62D4895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（3）在不考虑目标资本结构的前提下，如果公司执行固定股利政策，计算20×4年度应分配的现金股利、可用于20×5年投资的留存收益和需要额外筹集的资金额。</w:t>
      </w:r>
      <w:r>
        <w:rPr>
          <w:rFonts w:hint="eastAsia" w:ascii="宋体" w:hAnsi="宋体" w:eastAsia="宋体" w:cs="宋体"/>
          <w:sz w:val="21"/>
          <w:szCs w:val="21"/>
        </w:rPr>
        <w:br w:type="textWrapping"/>
      </w:r>
      <w:r>
        <w:rPr>
          <w:rFonts w:hint="eastAsia" w:ascii="宋体" w:hAnsi="宋体" w:eastAsia="宋体" w:cs="宋体"/>
          <w:sz w:val="21"/>
          <w:szCs w:val="21"/>
        </w:rPr>
        <w:t>（4）不考虑目标资本结构的前提下，如果公司执行固定股利支付率政策，计算该公司的股利支付率和20×4年度应分配的现金股利。</w:t>
      </w:r>
      <w:r>
        <w:rPr>
          <w:rFonts w:hint="eastAsia" w:ascii="宋体" w:hAnsi="宋体" w:eastAsia="宋体" w:cs="宋体"/>
          <w:sz w:val="21"/>
          <w:szCs w:val="21"/>
        </w:rPr>
        <w:br w:type="textWrapping"/>
      </w:r>
      <w:r>
        <w:rPr>
          <w:rFonts w:hint="eastAsia" w:ascii="宋体" w:hAnsi="宋体" w:eastAsia="宋体" w:cs="宋体"/>
          <w:sz w:val="21"/>
          <w:szCs w:val="21"/>
        </w:rPr>
        <w:t>（5）假定公司20×5年面临着从外部筹资的困难，只能从内部筹资，不考虑目标资本结构，计算在此情况下20×4年度应分配的现金股利。</w:t>
      </w:r>
    </w:p>
    <w:p w14:paraId="27A9CC5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w:t>
      </w:r>
      <w:r>
        <w:rPr>
          <w:rFonts w:hint="eastAsia" w:ascii="宋体" w:hAnsi="宋体" w:eastAsia="宋体" w:cs="宋体"/>
          <w:sz w:val="21"/>
          <w:szCs w:val="21"/>
        </w:rPr>
        <w:br w:type="textWrapping"/>
      </w:r>
      <w:r>
        <w:rPr>
          <w:rFonts w:hint="eastAsia" w:ascii="宋体" w:hAnsi="宋体" w:eastAsia="宋体" w:cs="宋体"/>
          <w:sz w:val="21"/>
          <w:szCs w:val="21"/>
        </w:rPr>
        <w:t>（1）20×5年投资方案所需的自有资金额＝700×60％＝420（万元）</w:t>
      </w:r>
      <w:r>
        <w:rPr>
          <w:rFonts w:hint="eastAsia" w:ascii="宋体" w:hAnsi="宋体" w:eastAsia="宋体" w:cs="宋体"/>
          <w:sz w:val="21"/>
          <w:szCs w:val="21"/>
        </w:rPr>
        <w:br w:type="textWrapping"/>
      </w:r>
      <w:r>
        <w:rPr>
          <w:rFonts w:hint="eastAsia" w:ascii="宋体" w:hAnsi="宋体" w:eastAsia="宋体" w:cs="宋体"/>
          <w:sz w:val="21"/>
          <w:szCs w:val="21"/>
        </w:rPr>
        <w:t>20×5年投资方案所需从外部借入的资金额＝700×40％＝280（万元）</w:t>
      </w:r>
      <w:r>
        <w:rPr>
          <w:rFonts w:hint="eastAsia" w:ascii="宋体" w:hAnsi="宋体" w:eastAsia="宋体" w:cs="宋体"/>
          <w:sz w:val="21"/>
          <w:szCs w:val="21"/>
        </w:rPr>
        <w:br w:type="textWrapping"/>
      </w:r>
      <w:r>
        <w:rPr>
          <w:rFonts w:hint="eastAsia" w:ascii="宋体" w:hAnsi="宋体" w:eastAsia="宋体" w:cs="宋体"/>
          <w:sz w:val="21"/>
          <w:szCs w:val="21"/>
        </w:rPr>
        <w:t>（2）20×4年度应分配的现金股利＝净利润-2005年投资方案所需的自有资金额＝900-420＝480（万元）</w:t>
      </w:r>
    </w:p>
    <w:p w14:paraId="51C7587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（3）20×4年度应分配的现金股利＝上年分配的现金股利＝550（万元）</w:t>
      </w:r>
      <w:r>
        <w:rPr>
          <w:rFonts w:hint="eastAsia" w:ascii="宋体" w:hAnsi="宋体" w:eastAsia="宋体" w:cs="宋体"/>
          <w:sz w:val="21"/>
          <w:szCs w:val="21"/>
        </w:rPr>
        <w:br w:type="textWrapping"/>
      </w:r>
      <w:r>
        <w:rPr>
          <w:rFonts w:hint="eastAsia" w:ascii="宋体" w:hAnsi="宋体" w:eastAsia="宋体" w:cs="宋体"/>
          <w:sz w:val="21"/>
          <w:szCs w:val="21"/>
        </w:rPr>
        <w:t>可用于20×5年投资的留存收益＝900-550＝350（万元）</w:t>
      </w:r>
      <w:r>
        <w:rPr>
          <w:rFonts w:hint="eastAsia" w:ascii="宋体" w:hAnsi="宋体" w:eastAsia="宋体" w:cs="宋体"/>
          <w:sz w:val="21"/>
          <w:szCs w:val="21"/>
        </w:rPr>
        <w:br w:type="textWrapping"/>
      </w:r>
      <w:r>
        <w:rPr>
          <w:rFonts w:hint="eastAsia" w:ascii="宋体" w:hAnsi="宋体" w:eastAsia="宋体" w:cs="宋体"/>
          <w:sz w:val="21"/>
          <w:szCs w:val="21"/>
        </w:rPr>
        <w:t>20×5年投资需要额外筹集的资金额＝700-350＝350（万元）</w:t>
      </w:r>
      <w:r>
        <w:rPr>
          <w:rFonts w:hint="eastAsia" w:ascii="宋体" w:hAnsi="宋体" w:eastAsia="宋体" w:cs="宋体"/>
          <w:sz w:val="21"/>
          <w:szCs w:val="21"/>
        </w:rPr>
        <w:br w:type="textWrapping"/>
      </w:r>
      <w:r>
        <w:rPr>
          <w:rFonts w:hint="eastAsia" w:ascii="宋体" w:hAnsi="宋体" w:eastAsia="宋体" w:cs="宋体"/>
          <w:sz w:val="21"/>
          <w:szCs w:val="21"/>
        </w:rPr>
        <w:t>（4）该公司的股利支付率＝550/1000×100％＝55％</w:t>
      </w:r>
      <w:r>
        <w:rPr>
          <w:rFonts w:hint="eastAsia" w:ascii="宋体" w:hAnsi="宋体" w:eastAsia="宋体" w:cs="宋体"/>
          <w:sz w:val="21"/>
          <w:szCs w:val="21"/>
        </w:rPr>
        <w:br w:type="textWrapping"/>
      </w:r>
      <w:r>
        <w:rPr>
          <w:rFonts w:hint="eastAsia" w:ascii="宋体" w:hAnsi="宋体" w:eastAsia="宋体" w:cs="宋体"/>
          <w:sz w:val="21"/>
          <w:szCs w:val="21"/>
        </w:rPr>
        <w:t>20×4年度应分配的现金股利＝55％×900＝495（万元）</w:t>
      </w:r>
      <w:r>
        <w:rPr>
          <w:rFonts w:hint="eastAsia" w:ascii="宋体" w:hAnsi="宋体" w:eastAsia="宋体" w:cs="宋体"/>
          <w:sz w:val="21"/>
          <w:szCs w:val="21"/>
        </w:rPr>
        <w:br w:type="textWrapping"/>
      </w:r>
      <w:r>
        <w:rPr>
          <w:rFonts w:hint="eastAsia" w:ascii="宋体" w:hAnsi="宋体" w:eastAsia="宋体" w:cs="宋体"/>
          <w:sz w:val="21"/>
          <w:szCs w:val="21"/>
        </w:rPr>
        <w:t>（5）因为公司只能从内部筹资，所以05年的投资需要从</w:t>
      </w:r>
      <w:r>
        <w:rPr>
          <w:rFonts w:hint="eastAsia" w:ascii="宋体" w:hAnsi="宋体" w:eastAsia="宋体" w:cs="宋体"/>
          <w:sz w:val="21"/>
          <w:szCs w:val="21"/>
        </w:rPr>
        <w:br w:type="textWrapping"/>
      </w:r>
      <w:r>
        <w:rPr>
          <w:rFonts w:hint="eastAsia" w:ascii="宋体" w:hAnsi="宋体" w:eastAsia="宋体" w:cs="宋体"/>
          <w:sz w:val="21"/>
          <w:szCs w:val="21"/>
        </w:rPr>
        <w:t>20×4年的净利润中留存700万元，</w:t>
      </w:r>
      <w:r>
        <w:rPr>
          <w:rFonts w:hint="eastAsia" w:ascii="宋体" w:hAnsi="宋体" w:eastAsia="宋体" w:cs="宋体"/>
          <w:sz w:val="21"/>
          <w:szCs w:val="21"/>
        </w:rPr>
        <w:br w:type="textWrapping"/>
      </w:r>
      <w:r>
        <w:rPr>
          <w:rFonts w:hint="eastAsia" w:ascii="宋体" w:hAnsi="宋体" w:eastAsia="宋体" w:cs="宋体"/>
          <w:sz w:val="21"/>
          <w:szCs w:val="21"/>
        </w:rPr>
        <w:t>所以20×4年度应分配的现金股利＝900-700＝200（万元）。</w:t>
      </w:r>
    </w:p>
    <w:p w14:paraId="1964F47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第十章 财务分析与评价</w:t>
      </w:r>
    </w:p>
    <w:p w14:paraId="1477FF8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94D2B2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本章属于重点章节，考分</w:t>
      </w: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分左右，考点如下：</w:t>
      </w:r>
    </w:p>
    <w:p w14:paraId="13BEBC0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（一）连环替代法</w:t>
      </w:r>
    </w:p>
    <w:p w14:paraId="31AD8FB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（二）基本财务报表分析</w:t>
      </w:r>
    </w:p>
    <w:p w14:paraId="31A3D55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（三）上市公司财务分析</w:t>
      </w:r>
    </w:p>
    <w:p w14:paraId="7979A86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（四）企业综合绩效分析的方法</w:t>
      </w:r>
    </w:p>
    <w:p w14:paraId="30CAB5F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167F443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财务分析方法</w:t>
      </w:r>
    </w:p>
    <w:p w14:paraId="40E15E0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pPr>
      <w:r>
        <w:pict>
          <v:shape id="_x0000_i1044" o:spt="75" type="#_x0000_t75" style="height:238.5pt;width:283.45pt;" filled="f" o:preferrelative="t" stroked="f" coordsize="21600,21600">
            <v:path/>
            <v:fill on="f" focussize="0,0"/>
            <v:stroke on="f"/>
            <v:imagedata r:id="rId34" o:title=""/>
            <o:lock v:ext="edit" aspectratio="t"/>
            <w10:wrap type="none"/>
            <w10:anchorlock/>
          </v:shape>
        </w:pict>
      </w:r>
    </w:p>
    <w:p w14:paraId="38336E1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lang w:val="en-US" w:eastAsia="zh-CN"/>
        </w:rPr>
      </w:pPr>
    </w:p>
    <w:p w14:paraId="2CF03E7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下列财务比率中，属于效率比率指标的是（  ）。</w:t>
      </w:r>
    </w:p>
    <w:p w14:paraId="2CD673E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成本利润率        </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速动比率  　</w:t>
      </w:r>
    </w:p>
    <w:p w14:paraId="66EA7DE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资产负债率     　</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资本积累率</w:t>
      </w:r>
    </w:p>
    <w:p w14:paraId="0E1E013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7E1E53F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效率比率，是某项财务活动中所费与所得的比率，反映投入与产出的关系。利用效率比率指标，可以进行得失比较，考察经营成果，评价经济效益。比如，将利润项目与营业成本、营业收入、资本金等项目加以对比，可以计算出成本利润率、营业利润率和资本金利润率等指标，从不同角度观察比较企业盈利能力的高低及其增减变化情况。</w:t>
      </w:r>
    </w:p>
    <w:p w14:paraId="3FB26E6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93C51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下列各项中，不属于财务分析中因素分析法特征的是（  ）。</w:t>
      </w:r>
    </w:p>
    <w:p w14:paraId="7978040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因素分解的关联性   </w:t>
      </w:r>
    </w:p>
    <w:p w14:paraId="6DA52E1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顺序替代的连环性  </w:t>
      </w:r>
    </w:p>
    <w:p w14:paraId="7F914D2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分析结果的准确性  </w:t>
      </w:r>
    </w:p>
    <w:p w14:paraId="7E5E334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因素替代的顺序性</w:t>
      </w:r>
    </w:p>
    <w:p w14:paraId="6D7462B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1056EAD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采用因素分析法时，必须注意以下问题：（</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）因素分解的关联性；（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）因素替代的顺序性；（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）顺序替代的连环性；（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）计算结果的假定性。</w:t>
      </w:r>
    </w:p>
    <w:p w14:paraId="0E90400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C92AC2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基本财务报表分析</w:t>
      </w:r>
    </w:p>
    <w:p w14:paraId="523F5FA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pPr>
      <w:r>
        <w:pict>
          <v:shape id="_x0000_i1043" o:spt="75" type="#_x0000_t75" style="height:181.05pt;width:283.45pt;" filled="f" o:preferrelative="t" stroked="f" coordsize="21600,21600">
            <v:path/>
            <v:fill on="f" focussize="0,0"/>
            <v:stroke on="f"/>
            <v:imagedata r:id="rId35" o:title=""/>
            <o:lock v:ext="edit" aspectratio="t"/>
            <w10:wrap type="none"/>
            <w10:anchorlock/>
          </v:shape>
        </w:pict>
      </w:r>
    </w:p>
    <w:p w14:paraId="138D127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lang w:val="en-US" w:eastAsia="zh-CN"/>
        </w:rPr>
      </w:pPr>
    </w:p>
    <w:p w14:paraId="1418289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若流动比率大于</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，则下列结论一定成立的是（  ）。</w:t>
      </w:r>
    </w:p>
    <w:p w14:paraId="388BF54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速动比率大于</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ab/>
      </w:r>
    </w:p>
    <w:p w14:paraId="1716939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营运资金大于零</w:t>
      </w:r>
    </w:p>
    <w:p w14:paraId="76538E4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资产负债率大于</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ab/>
      </w:r>
    </w:p>
    <w:p w14:paraId="0041635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短期偿债能力绝对有保障</w:t>
      </w:r>
    </w:p>
    <w:p w14:paraId="6BF6DAD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31E0B69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流动比率是流动资产与流动负债的比率，若该比率大于</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，则说明流动资产大于流动负债，即营运资金（流动资产－流动负债）大于零。故选</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项。</w:t>
      </w:r>
    </w:p>
    <w:p w14:paraId="437E68D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618E559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下列各项指标中，短期债权人最关心的是（  ）。</w:t>
      </w:r>
    </w:p>
    <w:p w14:paraId="7B90F25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速动比率</w:t>
      </w:r>
      <w:r>
        <w:rPr>
          <w:rFonts w:hint="eastAsia" w:ascii="宋体" w:hAnsi="宋体" w:eastAsia="宋体" w:cs="宋体"/>
          <w:color w:val="auto"/>
          <w:sz w:val="21"/>
          <w:szCs w:val="21"/>
        </w:rPr>
        <w:tab/>
      </w:r>
    </w:p>
    <w:p w14:paraId="064967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净资产收益率</w:t>
      </w:r>
    </w:p>
    <w:p w14:paraId="2BB85DD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流动比率</w:t>
      </w:r>
      <w:r>
        <w:rPr>
          <w:rFonts w:hint="eastAsia" w:ascii="宋体" w:hAnsi="宋体" w:eastAsia="宋体" w:cs="宋体"/>
          <w:color w:val="auto"/>
          <w:sz w:val="21"/>
          <w:szCs w:val="21"/>
        </w:rPr>
        <w:tab/>
      </w:r>
    </w:p>
    <w:p w14:paraId="0F67251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已获利息倍数</w:t>
      </w:r>
    </w:p>
    <w:p w14:paraId="764C134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1C0FBCE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速动比率是指速动资产与流动负债的比值，表明每</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元流动负债有多少速动资产作为偿债保障。其中，速动资产是指可以在较短时间内变现包括货币资金、交易性金融资产和各种应收款项等。它能反映企业立即偿还短期债务的能力，是短期债权人最关心的指标。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012CCE8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74A9834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如果流动负债小于流动资产，则期末以现金偿付一笔短期借款所导致的结果是（  ）。</w:t>
      </w:r>
    </w:p>
    <w:p w14:paraId="370764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营运资金减少</w:t>
      </w:r>
      <w:r>
        <w:rPr>
          <w:rFonts w:hint="eastAsia" w:ascii="宋体" w:hAnsi="宋体" w:eastAsia="宋体" w:cs="宋体"/>
          <w:color w:val="auto"/>
          <w:sz w:val="21"/>
          <w:szCs w:val="21"/>
        </w:rPr>
        <w:tab/>
      </w:r>
    </w:p>
    <w:p w14:paraId="5171EDC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营运资金增加</w:t>
      </w:r>
    </w:p>
    <w:p w14:paraId="2D2DF0B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流动比率降低</w:t>
      </w:r>
      <w:r>
        <w:rPr>
          <w:rFonts w:hint="eastAsia" w:ascii="宋体" w:hAnsi="宋体" w:eastAsia="宋体" w:cs="宋体"/>
          <w:color w:val="auto"/>
          <w:sz w:val="21"/>
          <w:szCs w:val="21"/>
        </w:rPr>
        <w:tab/>
      </w:r>
    </w:p>
    <w:p w14:paraId="1325811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流动比率提高</w:t>
      </w:r>
    </w:p>
    <w:p w14:paraId="664D047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D</w:t>
      </w:r>
    </w:p>
    <w:p w14:paraId="07A863C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流动负债小于流动资产，假设流动资产是</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万元，流动负债是</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万元，即流动比率是</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，期末以现金</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万元偿付一笔短期借款，则流动资产变为</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万元，流动负债变为</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万元，所以流动比率变为</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（增大）。原营运资金＝</w:t>
      </w:r>
      <w:r>
        <w:rPr>
          <w:rFonts w:hint="eastAsia" w:ascii="宋体" w:hAnsi="宋体" w:eastAsia="宋体" w:cs="宋体"/>
          <w:color w:val="auto"/>
          <w:sz w:val="21"/>
          <w:szCs w:val="21"/>
          <w:lang w:val="en-US" w:eastAsia="zh-CN"/>
        </w:rPr>
        <w:t>300-200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万元，变化后的营运资金＝</w:t>
      </w:r>
      <w:r>
        <w:rPr>
          <w:rFonts w:hint="eastAsia" w:ascii="宋体" w:hAnsi="宋体" w:eastAsia="宋体" w:cs="宋体"/>
          <w:color w:val="auto"/>
          <w:sz w:val="21"/>
          <w:szCs w:val="21"/>
          <w:lang w:val="en-US" w:eastAsia="zh-CN"/>
        </w:rPr>
        <w:t>200-100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万元（不变）。故选</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项。</w:t>
      </w:r>
    </w:p>
    <w:p w14:paraId="0AB0BF3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550E9B0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下列财务指标中，最能反映企业直接偿付短期债务能力的是（  ）。</w:t>
      </w:r>
    </w:p>
    <w:p w14:paraId="2443C53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资产负债率      </w:t>
      </w:r>
    </w:p>
    <w:p w14:paraId="5BAD9EB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权益乘数        </w:t>
      </w:r>
    </w:p>
    <w:p w14:paraId="287106A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现金比率       </w:t>
      </w:r>
    </w:p>
    <w:p w14:paraId="099BA66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流动比率</w:t>
      </w:r>
    </w:p>
    <w:p w14:paraId="184956E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4D2DAE2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现金比率剔除了应收账款对偿债能力的影响，最能反映企业直接偿付流动负债的能力。</w:t>
      </w:r>
    </w:p>
    <w:p w14:paraId="1312E33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3F2BFC6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lang w:val="en-US" w:eastAsia="zh-CN"/>
        </w:rPr>
        <w:t>2019</w:t>
      </w:r>
      <w:r>
        <w:rPr>
          <w:rFonts w:hint="eastAsia" w:ascii="宋体" w:hAnsi="宋体" w:eastAsia="宋体" w:cs="宋体"/>
          <w:color w:val="auto"/>
          <w:sz w:val="21"/>
          <w:szCs w:val="21"/>
        </w:rPr>
        <w:t>年年末，甲公司每股账面价值为</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元，负债总额</w:t>
      </w:r>
      <w:r>
        <w:rPr>
          <w:rFonts w:hint="eastAsia" w:ascii="宋体" w:hAnsi="宋体" w:eastAsia="宋体" w:cs="宋体"/>
          <w:color w:val="auto"/>
          <w:sz w:val="21"/>
          <w:szCs w:val="21"/>
          <w:lang w:val="en-US" w:eastAsia="zh-CN"/>
        </w:rPr>
        <w:t>6 000</w:t>
      </w:r>
      <w:r>
        <w:rPr>
          <w:rFonts w:hint="eastAsia" w:ascii="宋体" w:hAnsi="宋体" w:eastAsia="宋体" w:cs="宋体"/>
          <w:color w:val="auto"/>
          <w:sz w:val="21"/>
          <w:szCs w:val="21"/>
        </w:rPr>
        <w:t>万元，每股收益为</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元，每股发放现金股利</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元，留存收益增加</w:t>
      </w:r>
      <w:r>
        <w:rPr>
          <w:rFonts w:hint="eastAsia" w:ascii="宋体" w:hAnsi="宋体" w:eastAsia="宋体" w:cs="宋体"/>
          <w:color w:val="auto"/>
          <w:sz w:val="21"/>
          <w:szCs w:val="21"/>
          <w:lang w:val="en-US" w:eastAsia="zh-CN"/>
        </w:rPr>
        <w:t>1 200</w:t>
      </w:r>
      <w:r>
        <w:rPr>
          <w:rFonts w:hint="eastAsia" w:ascii="宋体" w:hAnsi="宋体" w:eastAsia="宋体" w:cs="宋体"/>
          <w:color w:val="auto"/>
          <w:sz w:val="21"/>
          <w:szCs w:val="21"/>
        </w:rPr>
        <w:t>万元，假设甲公司一直无对外发行的优先股，则甲公司</w:t>
      </w:r>
      <w:r>
        <w:rPr>
          <w:rFonts w:hint="eastAsia" w:ascii="宋体" w:hAnsi="宋体" w:eastAsia="宋体" w:cs="宋体"/>
          <w:color w:val="auto"/>
          <w:sz w:val="21"/>
          <w:szCs w:val="21"/>
          <w:lang w:val="en-US" w:eastAsia="zh-CN"/>
        </w:rPr>
        <w:t>2019</w:t>
      </w:r>
      <w:r>
        <w:rPr>
          <w:rFonts w:hint="eastAsia" w:ascii="宋体" w:hAnsi="宋体" w:eastAsia="宋体" w:cs="宋体"/>
          <w:color w:val="auto"/>
          <w:sz w:val="21"/>
          <w:szCs w:val="21"/>
        </w:rPr>
        <w:t>年年末的权益乘数是（  ）。</w:t>
      </w:r>
    </w:p>
    <w:p w14:paraId="212B8CC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A.1.15</w:t>
      </w:r>
      <w:r>
        <w:rPr>
          <w:rFonts w:hint="eastAsia" w:ascii="宋体" w:hAnsi="宋体" w:eastAsia="宋体" w:cs="宋体"/>
          <w:color w:val="auto"/>
          <w:sz w:val="21"/>
          <w:szCs w:val="21"/>
          <w:lang w:val="en-US" w:eastAsia="zh-CN"/>
        </w:rPr>
        <w:tab/>
      </w:r>
    </w:p>
    <w:p w14:paraId="799184B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B.1.50</w:t>
      </w:r>
    </w:p>
    <w:p w14:paraId="65E6DD4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C.1</w:t>
      </w:r>
      <w:r>
        <w:rPr>
          <w:rFonts w:hint="eastAsia" w:ascii="宋体" w:hAnsi="宋体" w:eastAsia="宋体" w:cs="宋体"/>
          <w:color w:val="auto"/>
          <w:sz w:val="21"/>
          <w:szCs w:val="21"/>
          <w:lang w:val="en-US" w:eastAsia="zh-CN"/>
        </w:rPr>
        <w:tab/>
      </w:r>
    </w:p>
    <w:p w14:paraId="174E257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D.0.67</w:t>
      </w:r>
    </w:p>
    <w:p w14:paraId="0894B58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44FA977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每股留存收益增加＝每股收益－每股现金股利＝</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（元），股数＝留存收益增加／每股留存收益增加＝</w:t>
      </w:r>
      <w:r>
        <w:rPr>
          <w:rFonts w:hint="eastAsia" w:ascii="宋体" w:hAnsi="宋体" w:eastAsia="宋体" w:cs="宋体"/>
          <w:color w:val="auto"/>
          <w:sz w:val="21"/>
          <w:szCs w:val="21"/>
          <w:lang w:val="en-US" w:eastAsia="zh-CN"/>
        </w:rPr>
        <w:t>1 200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400</w:t>
      </w:r>
      <w:r>
        <w:rPr>
          <w:rFonts w:hint="eastAsia" w:ascii="宋体" w:hAnsi="宋体" w:eastAsia="宋体" w:cs="宋体"/>
          <w:color w:val="auto"/>
          <w:sz w:val="21"/>
          <w:szCs w:val="21"/>
        </w:rPr>
        <w:t>（万股），所有者权益＝</w:t>
      </w:r>
      <w:r>
        <w:rPr>
          <w:rFonts w:hint="eastAsia" w:ascii="宋体" w:hAnsi="宋体" w:eastAsia="宋体" w:cs="宋体"/>
          <w:color w:val="auto"/>
          <w:sz w:val="21"/>
          <w:szCs w:val="21"/>
          <w:lang w:val="en-US" w:eastAsia="zh-CN"/>
        </w:rPr>
        <w:t>400×30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12 000</w:t>
      </w:r>
      <w:r>
        <w:rPr>
          <w:rFonts w:hint="eastAsia" w:ascii="宋体" w:hAnsi="宋体" w:eastAsia="宋体" w:cs="宋体"/>
          <w:color w:val="auto"/>
          <w:sz w:val="21"/>
          <w:szCs w:val="21"/>
        </w:rPr>
        <w:t>（万元），权益乘数＝资产总额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所有者权益＝（</w:t>
      </w:r>
      <w:r>
        <w:rPr>
          <w:rFonts w:hint="eastAsia" w:ascii="宋体" w:hAnsi="宋体" w:eastAsia="宋体" w:cs="宋体"/>
          <w:color w:val="auto"/>
          <w:sz w:val="21"/>
          <w:szCs w:val="21"/>
          <w:lang w:val="en-US" w:eastAsia="zh-CN"/>
        </w:rPr>
        <w:t>12 000+6 000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12 000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。故选</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项。</w:t>
      </w:r>
    </w:p>
    <w:p w14:paraId="14D6B0E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0905076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乙公司</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年的营业收入为</w:t>
      </w:r>
      <w:r>
        <w:rPr>
          <w:rFonts w:hint="eastAsia" w:ascii="宋体" w:hAnsi="宋体" w:eastAsia="宋体" w:cs="宋体"/>
          <w:color w:val="auto"/>
          <w:sz w:val="21"/>
          <w:szCs w:val="21"/>
          <w:lang w:val="en-US" w:eastAsia="zh-CN"/>
        </w:rPr>
        <w:t>14 500</w:t>
      </w:r>
      <w:r>
        <w:rPr>
          <w:rFonts w:hint="eastAsia" w:ascii="宋体" w:hAnsi="宋体" w:eastAsia="宋体" w:cs="宋体"/>
          <w:color w:val="auto"/>
          <w:sz w:val="21"/>
          <w:szCs w:val="21"/>
        </w:rPr>
        <w:t>万元，财务费用为</w:t>
      </w:r>
      <w:r>
        <w:rPr>
          <w:rFonts w:hint="eastAsia" w:ascii="宋体" w:hAnsi="宋体" w:eastAsia="宋体" w:cs="宋体"/>
          <w:color w:val="auto"/>
          <w:sz w:val="21"/>
          <w:szCs w:val="21"/>
          <w:lang w:val="en-US" w:eastAsia="zh-CN"/>
        </w:rPr>
        <w:t>500</w:t>
      </w:r>
      <w:r>
        <w:rPr>
          <w:rFonts w:hint="eastAsia" w:ascii="宋体" w:hAnsi="宋体" w:eastAsia="宋体" w:cs="宋体"/>
          <w:color w:val="auto"/>
          <w:sz w:val="21"/>
          <w:szCs w:val="21"/>
        </w:rPr>
        <w:t>万元，资产减值损失为</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万元，所得税费用为</w:t>
      </w:r>
      <w:r>
        <w:rPr>
          <w:rFonts w:hint="eastAsia" w:ascii="宋体" w:hAnsi="宋体" w:eastAsia="宋体" w:cs="宋体"/>
          <w:color w:val="auto"/>
          <w:sz w:val="21"/>
          <w:szCs w:val="21"/>
          <w:lang w:val="en-US" w:eastAsia="zh-CN"/>
        </w:rPr>
        <w:t>32.50</w:t>
      </w:r>
      <w:r>
        <w:rPr>
          <w:rFonts w:hint="eastAsia" w:ascii="宋体" w:hAnsi="宋体" w:eastAsia="宋体" w:cs="宋体"/>
          <w:color w:val="auto"/>
          <w:sz w:val="21"/>
          <w:szCs w:val="21"/>
        </w:rPr>
        <w:t>万元，净利润为</w:t>
      </w:r>
      <w:r>
        <w:rPr>
          <w:rFonts w:hint="eastAsia" w:ascii="宋体" w:hAnsi="宋体" w:eastAsia="宋体" w:cs="宋体"/>
          <w:color w:val="auto"/>
          <w:sz w:val="21"/>
          <w:szCs w:val="21"/>
          <w:lang w:val="en-US" w:eastAsia="zh-CN"/>
        </w:rPr>
        <w:t>97.50</w:t>
      </w:r>
      <w:r>
        <w:rPr>
          <w:rFonts w:hint="eastAsia" w:ascii="宋体" w:hAnsi="宋体" w:eastAsia="宋体" w:cs="宋体"/>
          <w:color w:val="auto"/>
          <w:sz w:val="21"/>
          <w:szCs w:val="21"/>
        </w:rPr>
        <w:t>万元，乙公司</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年资本化利息支出</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万元，已经计入在建工程，则</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年的利息保障倍数为（  ）。</w:t>
      </w:r>
    </w:p>
    <w:p w14:paraId="53C586A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A.1.26</w:t>
      </w:r>
      <w:r>
        <w:rPr>
          <w:rFonts w:hint="eastAsia" w:ascii="宋体" w:hAnsi="宋体" w:eastAsia="宋体" w:cs="宋体"/>
          <w:color w:val="auto"/>
          <w:sz w:val="21"/>
          <w:szCs w:val="21"/>
          <w:lang w:val="en-US" w:eastAsia="zh-CN"/>
        </w:rPr>
        <w:tab/>
      </w:r>
    </w:p>
    <w:p w14:paraId="5EAAAE6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B.1.17</w:t>
      </w:r>
    </w:p>
    <w:p w14:paraId="4A4EAD5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C.1.05</w:t>
      </w:r>
      <w:r>
        <w:rPr>
          <w:rFonts w:hint="eastAsia" w:ascii="宋体" w:hAnsi="宋体" w:eastAsia="宋体" w:cs="宋体"/>
          <w:color w:val="auto"/>
          <w:sz w:val="21"/>
          <w:szCs w:val="21"/>
          <w:lang w:val="en-US" w:eastAsia="zh-CN"/>
        </w:rPr>
        <w:tab/>
      </w:r>
    </w:p>
    <w:p w14:paraId="48DD0A7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D.0.93</w:t>
      </w:r>
    </w:p>
    <w:p w14:paraId="0C16D04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6992999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利息保障倍数＝息税前利润</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应付利息＝（</w:t>
      </w:r>
      <w:r>
        <w:rPr>
          <w:rFonts w:hint="eastAsia" w:ascii="宋体" w:hAnsi="宋体" w:eastAsia="宋体" w:cs="宋体"/>
          <w:color w:val="auto"/>
          <w:sz w:val="21"/>
          <w:szCs w:val="21"/>
          <w:lang w:val="en-US" w:eastAsia="zh-CN"/>
        </w:rPr>
        <w:t>97.5+32.5+500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24673E7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77C9A89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在下列关于资产负债率、权益乘数和产权比率之间关系的表达式中，正确的是（  ）。</w:t>
      </w:r>
    </w:p>
    <w:p w14:paraId="7C02F4B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资产负债率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权益乘数＝产权比率</w:t>
      </w:r>
      <w:r>
        <w:rPr>
          <w:rFonts w:hint="eastAsia" w:ascii="宋体" w:hAnsi="宋体" w:eastAsia="宋体" w:cs="宋体"/>
          <w:color w:val="auto"/>
          <w:sz w:val="21"/>
          <w:szCs w:val="21"/>
        </w:rPr>
        <w:tab/>
      </w:r>
    </w:p>
    <w:p w14:paraId="505D5C6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资产负债率－权益乘数＝产权比率</w:t>
      </w:r>
    </w:p>
    <w:p w14:paraId="12B724E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资产负债率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权益乘数＝产权比率</w:t>
      </w:r>
      <w:r>
        <w:rPr>
          <w:rFonts w:hint="eastAsia" w:ascii="宋体" w:hAnsi="宋体" w:eastAsia="宋体" w:cs="宋体"/>
          <w:color w:val="auto"/>
          <w:sz w:val="21"/>
          <w:szCs w:val="21"/>
        </w:rPr>
        <w:tab/>
      </w:r>
    </w:p>
    <w:p w14:paraId="1487E51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资产负债率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权益乘数＝产权比率</w:t>
      </w:r>
    </w:p>
    <w:p w14:paraId="3E4AABF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C</w:t>
      </w:r>
    </w:p>
    <w:p w14:paraId="6389FD1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资产负债率＝负债总额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资产总额，权益乘数＝资产总额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股东权益，产权比率＝负债总额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股东权益。所以，资产负债率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权益乘数＝（负债总额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资产总额）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（资产总额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股东权益）＝负债总额</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股东权益＝产权比率。故选</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项。</w:t>
      </w:r>
    </w:p>
    <w:p w14:paraId="41417A4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51CC051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第十章  财务分析与评价</w:t>
      </w:r>
    </w:p>
    <w:p w14:paraId="0D1F6D5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0CB1FE1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【例·单选题】下列各项中，能提高企业利息保障倍数的因素是（  ）。</w:t>
      </w:r>
      <w:r>
        <w:rPr>
          <w:rFonts w:hint="eastAsia" w:ascii="宋体" w:hAnsi="宋体" w:eastAsia="宋体" w:cs="宋体"/>
          <w:sz w:val="21"/>
          <w:szCs w:val="21"/>
        </w:rPr>
        <w:br w:type="textWrapping"/>
      </w:r>
      <w:r>
        <w:rPr>
          <w:rFonts w:hint="eastAsia" w:ascii="宋体" w:hAnsi="宋体" w:eastAsia="宋体" w:cs="宋体"/>
          <w:sz w:val="21"/>
          <w:szCs w:val="21"/>
        </w:rPr>
        <w:t>A.成本下降导致利润增加</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B.所得税税率下降</w:t>
      </w:r>
      <w:r>
        <w:rPr>
          <w:rFonts w:hint="eastAsia" w:ascii="宋体" w:hAnsi="宋体" w:eastAsia="宋体" w:cs="宋体"/>
          <w:sz w:val="21"/>
          <w:szCs w:val="21"/>
        </w:rPr>
        <w:br w:type="textWrapping"/>
      </w:r>
      <w:r>
        <w:rPr>
          <w:rFonts w:hint="eastAsia" w:ascii="宋体" w:hAnsi="宋体" w:eastAsia="宋体" w:cs="宋体"/>
          <w:sz w:val="21"/>
          <w:szCs w:val="21"/>
        </w:rPr>
        <w:t>C.用抵押借款购房</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D.宣布并支付股利</w:t>
      </w:r>
    </w:p>
    <w:p w14:paraId="67457E8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答案：A</w:t>
      </w:r>
      <w:r>
        <w:rPr>
          <w:rFonts w:hint="eastAsia" w:ascii="宋体" w:hAnsi="宋体" w:eastAsia="宋体" w:cs="宋体"/>
          <w:sz w:val="21"/>
          <w:szCs w:val="21"/>
        </w:rPr>
        <w:br w:type="textWrapping"/>
      </w:r>
      <w:r>
        <w:rPr>
          <w:rFonts w:hint="eastAsia" w:ascii="宋体" w:hAnsi="宋体" w:eastAsia="宋体" w:cs="宋体"/>
          <w:sz w:val="21"/>
          <w:szCs w:val="21"/>
        </w:rPr>
        <w:t>解析：利息保障倍数＝息税前利润/利息，选项A使息税前利润增加，所以能提高企业利息保障倍数；选项B、D对息税前利润和利息没有影响，而C选项会增加借款利息，从而会使利息保障倍数下降。故选A项。</w:t>
      </w:r>
    </w:p>
    <w:p w14:paraId="24E52C8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500D71C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【例·单选题】下列事项中，有助于提高企业短期偿债能力的是（  ）。</w:t>
      </w:r>
      <w:r>
        <w:rPr>
          <w:rFonts w:hint="eastAsia" w:ascii="宋体" w:hAnsi="宋体" w:eastAsia="宋体" w:cs="宋体"/>
          <w:sz w:val="21"/>
          <w:szCs w:val="21"/>
        </w:rPr>
        <w:br w:type="textWrapping"/>
      </w:r>
      <w:r>
        <w:rPr>
          <w:rFonts w:hint="eastAsia" w:ascii="宋体" w:hAnsi="宋体" w:eastAsia="宋体" w:cs="宋体"/>
          <w:sz w:val="21"/>
          <w:szCs w:val="21"/>
        </w:rPr>
        <w:t>A.利用短期借款增加对流动资产的投资</w:t>
      </w:r>
      <w:r>
        <w:rPr>
          <w:rFonts w:hint="eastAsia" w:ascii="宋体" w:hAnsi="宋体" w:eastAsia="宋体" w:cs="宋体"/>
          <w:sz w:val="21"/>
          <w:szCs w:val="21"/>
        </w:rPr>
        <w:br w:type="textWrapping"/>
      </w:r>
      <w:r>
        <w:rPr>
          <w:rFonts w:hint="eastAsia" w:ascii="宋体" w:hAnsi="宋体" w:eastAsia="宋体" w:cs="宋体"/>
          <w:sz w:val="21"/>
          <w:szCs w:val="21"/>
        </w:rPr>
        <w:t>B.所有的业务都采用赊销</w:t>
      </w:r>
      <w:r>
        <w:rPr>
          <w:rFonts w:hint="eastAsia" w:ascii="宋体" w:hAnsi="宋体" w:eastAsia="宋体" w:cs="宋体"/>
          <w:sz w:val="21"/>
          <w:szCs w:val="21"/>
        </w:rPr>
        <w:br w:type="textWrapping"/>
      </w:r>
      <w:r>
        <w:rPr>
          <w:rFonts w:hint="eastAsia" w:ascii="宋体" w:hAnsi="宋体" w:eastAsia="宋体" w:cs="宋体"/>
          <w:sz w:val="21"/>
          <w:szCs w:val="21"/>
        </w:rPr>
        <w:t>C.提高公司的营运资本</w:t>
      </w:r>
      <w:r>
        <w:rPr>
          <w:rFonts w:hint="eastAsia" w:ascii="宋体" w:hAnsi="宋体" w:eastAsia="宋体" w:cs="宋体"/>
          <w:sz w:val="21"/>
          <w:szCs w:val="21"/>
        </w:rPr>
        <w:br w:type="textWrapping"/>
      </w:r>
      <w:r>
        <w:rPr>
          <w:rFonts w:hint="eastAsia" w:ascii="宋体" w:hAnsi="宋体" w:eastAsia="宋体" w:cs="宋体"/>
          <w:sz w:val="21"/>
          <w:szCs w:val="21"/>
        </w:rPr>
        <w:t>D.提高流动负债中的无息负债比率</w:t>
      </w:r>
      <w:r>
        <w:rPr>
          <w:rFonts w:hint="eastAsia" w:ascii="宋体" w:hAnsi="宋体" w:eastAsia="宋体" w:cs="宋体"/>
          <w:sz w:val="21"/>
          <w:szCs w:val="21"/>
        </w:rPr>
        <w:br w:type="textWrapping"/>
      </w: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解析：选项ABC均增加了企业短期负债的总金额，不利于提高短期偿债能力；选项C，增加营运资本（流动资产-流动负债），有利于提高企业的短期偿债能力。故选C项。</w:t>
      </w:r>
    </w:p>
    <w:p w14:paraId="05D8D99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3E9821F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【例·单选题】在其他条件不变的情况下，会引起总资产周转次数指标上升的经济业务是（  ）。</w:t>
      </w:r>
      <w:r>
        <w:rPr>
          <w:rFonts w:hint="eastAsia" w:ascii="宋体" w:hAnsi="宋体" w:eastAsia="宋体" w:cs="宋体"/>
          <w:sz w:val="21"/>
          <w:szCs w:val="21"/>
        </w:rPr>
        <w:br w:type="textWrapping"/>
      </w:r>
      <w:r>
        <w:rPr>
          <w:rFonts w:hint="eastAsia" w:ascii="宋体" w:hAnsi="宋体" w:eastAsia="宋体" w:cs="宋体"/>
          <w:sz w:val="21"/>
          <w:szCs w:val="21"/>
        </w:rPr>
        <w:t>A.用银行存款购入一台设备</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B.借入一笔短期借款</w:t>
      </w:r>
      <w:r>
        <w:rPr>
          <w:rFonts w:hint="eastAsia" w:ascii="宋体" w:hAnsi="宋体" w:eastAsia="宋体" w:cs="宋体"/>
          <w:sz w:val="21"/>
          <w:szCs w:val="21"/>
        </w:rPr>
        <w:br w:type="textWrapping"/>
      </w:r>
      <w:r>
        <w:rPr>
          <w:rFonts w:hint="eastAsia" w:ascii="宋体" w:hAnsi="宋体" w:eastAsia="宋体" w:cs="宋体"/>
          <w:sz w:val="21"/>
          <w:szCs w:val="21"/>
        </w:rPr>
        <w:t>C.用现金偿还负债</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D.收回一笔应收账款存入银行</w:t>
      </w:r>
    </w:p>
    <w:p w14:paraId="590FFCD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总资产周转率＝营业收入/总资产平均余额，A项和D项是资产内部的一增一减，不会引起总资产周转率的变化；B项资产总额增加，总资产周转次数下降；C项，用现金偿还负债总资产减少，导致总资产周转次数上升。故选C项。</w:t>
      </w:r>
    </w:p>
    <w:p w14:paraId="7D15AC3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2AE25CD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【例·多选题】在其他条件不变的情况下，会引起总资产周转率变化的经济业务有（  ）</w:t>
      </w:r>
      <w:r>
        <w:rPr>
          <w:rFonts w:hint="eastAsia" w:ascii="宋体" w:hAnsi="宋体" w:eastAsia="宋体" w:cs="宋体"/>
          <w:sz w:val="21"/>
          <w:szCs w:val="21"/>
        </w:rPr>
        <w:br w:type="textWrapping"/>
      </w:r>
      <w:r>
        <w:rPr>
          <w:rFonts w:hint="eastAsia" w:ascii="宋体" w:hAnsi="宋体" w:eastAsia="宋体" w:cs="宋体"/>
          <w:sz w:val="21"/>
          <w:szCs w:val="21"/>
        </w:rPr>
        <w:t>A.用银行存款偿还银行贷款</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B.发行债券</w:t>
      </w:r>
      <w:r>
        <w:rPr>
          <w:rFonts w:hint="eastAsia" w:ascii="宋体" w:hAnsi="宋体" w:eastAsia="宋体" w:cs="宋体"/>
          <w:sz w:val="21"/>
          <w:szCs w:val="21"/>
        </w:rPr>
        <w:br w:type="textWrapping"/>
      </w:r>
      <w:r>
        <w:rPr>
          <w:rFonts w:hint="eastAsia" w:ascii="宋体" w:hAnsi="宋体" w:eastAsia="宋体" w:cs="宋体"/>
          <w:sz w:val="21"/>
          <w:szCs w:val="21"/>
        </w:rPr>
        <w:t>C.用银行存款购置固定资产</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D.用银行存款支付广告费</w:t>
      </w:r>
    </w:p>
    <w:p w14:paraId="38BCED8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答案：ABD</w:t>
      </w:r>
      <w:r>
        <w:rPr>
          <w:rFonts w:hint="eastAsia" w:ascii="宋体" w:hAnsi="宋体" w:eastAsia="宋体" w:cs="宋体"/>
          <w:sz w:val="21"/>
          <w:szCs w:val="21"/>
        </w:rPr>
        <w:br w:type="textWrapping"/>
      </w:r>
      <w:r>
        <w:rPr>
          <w:rFonts w:hint="eastAsia" w:ascii="宋体" w:hAnsi="宋体" w:eastAsia="宋体" w:cs="宋体"/>
          <w:sz w:val="21"/>
          <w:szCs w:val="21"/>
        </w:rPr>
        <w:t>解析：总资产周转率是企业一定时期的销售收入净额与平均资产总额之比，它是衡量资产投资规模与销售水平之间配比情况的指标。总资产周转率越高，说明企业销售能力越强，资产投资的效益越好。根据分式分析如下：</w:t>
      </w:r>
      <w:r>
        <w:rPr>
          <w:rFonts w:hint="eastAsia" w:ascii="宋体" w:hAnsi="宋体" w:eastAsia="宋体" w:cs="宋体"/>
          <w:sz w:val="21"/>
          <w:szCs w:val="21"/>
        </w:rPr>
        <w:br w:type="textWrapping"/>
      </w:r>
      <w:r>
        <w:rPr>
          <w:rFonts w:hint="eastAsia" w:ascii="宋体" w:hAnsi="宋体" w:eastAsia="宋体" w:cs="宋体"/>
          <w:sz w:val="21"/>
          <w:szCs w:val="21"/>
        </w:rPr>
        <w:t>A项，银行存款归还贷款，使总资产减少，引起总资产周转率上升；</w:t>
      </w:r>
      <w:r>
        <w:rPr>
          <w:rFonts w:hint="eastAsia" w:ascii="宋体" w:hAnsi="宋体" w:eastAsia="宋体" w:cs="宋体"/>
          <w:sz w:val="21"/>
          <w:szCs w:val="21"/>
        </w:rPr>
        <w:br w:type="textWrapping"/>
      </w:r>
      <w:r>
        <w:rPr>
          <w:rFonts w:hint="eastAsia" w:ascii="宋体" w:hAnsi="宋体" w:eastAsia="宋体" w:cs="宋体"/>
          <w:sz w:val="21"/>
          <w:szCs w:val="21"/>
        </w:rPr>
        <w:t>B项，发行债券会使资产增加，引起总资产周转率下降；</w:t>
      </w:r>
    </w:p>
    <w:p w14:paraId="35FF572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C项，属于资产内部此增彼减，不影响资产总额；</w:t>
      </w:r>
      <w:r>
        <w:rPr>
          <w:rFonts w:hint="eastAsia" w:ascii="宋体" w:hAnsi="宋体" w:eastAsia="宋体" w:cs="宋体"/>
          <w:sz w:val="21"/>
          <w:szCs w:val="21"/>
        </w:rPr>
        <w:br w:type="textWrapping"/>
      </w:r>
      <w:r>
        <w:rPr>
          <w:rFonts w:hint="eastAsia" w:ascii="宋体" w:hAnsi="宋体" w:eastAsia="宋体" w:cs="宋体"/>
          <w:sz w:val="21"/>
          <w:szCs w:val="21"/>
        </w:rPr>
        <w:t>D项，用银行存款支付广告费使企业资产减少，引起总资产周转率上升。</w:t>
      </w:r>
      <w:r>
        <w:rPr>
          <w:rFonts w:hint="eastAsia" w:ascii="宋体" w:hAnsi="宋体" w:eastAsia="宋体" w:cs="宋体"/>
          <w:sz w:val="21"/>
          <w:szCs w:val="21"/>
        </w:rPr>
        <w:br w:type="textWrapping"/>
      </w:r>
      <w:r>
        <w:rPr>
          <w:rFonts w:hint="eastAsia" w:ascii="宋体" w:hAnsi="宋体" w:eastAsia="宋体" w:cs="宋体"/>
          <w:sz w:val="21"/>
          <w:szCs w:val="21"/>
        </w:rPr>
        <w:t>故选ABD项。</w:t>
      </w:r>
    </w:p>
    <w:p w14:paraId="1A1E044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6E454C3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【例·单选题】假定其他条件不变，下列各项经济业务中，会导致公司总资产净利率上升的是（  ）。</w:t>
      </w:r>
      <w:r>
        <w:rPr>
          <w:rFonts w:hint="eastAsia" w:ascii="宋体" w:hAnsi="宋体" w:eastAsia="宋体" w:cs="宋体"/>
          <w:sz w:val="21"/>
          <w:szCs w:val="21"/>
        </w:rPr>
        <w:br w:type="textWrapping"/>
      </w:r>
      <w:r>
        <w:rPr>
          <w:rFonts w:hint="eastAsia" w:ascii="宋体" w:hAnsi="宋体" w:eastAsia="宋体" w:cs="宋体"/>
          <w:sz w:val="21"/>
          <w:szCs w:val="21"/>
        </w:rPr>
        <w:t>A.销售存货收到现金</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B.用资本公积转增股本</w:t>
      </w:r>
      <w:r>
        <w:rPr>
          <w:rFonts w:hint="eastAsia" w:ascii="宋体" w:hAnsi="宋体" w:eastAsia="宋体" w:cs="宋体"/>
          <w:sz w:val="21"/>
          <w:szCs w:val="21"/>
        </w:rPr>
        <w:br w:type="textWrapping"/>
      </w:r>
      <w:r>
        <w:rPr>
          <w:rFonts w:hint="eastAsia" w:ascii="宋体" w:hAnsi="宋体" w:eastAsia="宋体" w:cs="宋体"/>
          <w:sz w:val="21"/>
          <w:szCs w:val="21"/>
        </w:rPr>
        <w:t>C.用现金购买原材料</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D.用银行存款归还银行借款</w:t>
      </w:r>
    </w:p>
    <w:p w14:paraId="18C39F1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答案：D</w:t>
      </w:r>
      <w:r>
        <w:rPr>
          <w:rFonts w:hint="eastAsia" w:ascii="宋体" w:hAnsi="宋体" w:eastAsia="宋体" w:cs="宋体"/>
          <w:sz w:val="21"/>
          <w:szCs w:val="21"/>
        </w:rPr>
        <w:br w:type="textWrapping"/>
      </w:r>
      <w:r>
        <w:rPr>
          <w:rFonts w:hint="eastAsia" w:ascii="宋体" w:hAnsi="宋体" w:eastAsia="宋体" w:cs="宋体"/>
          <w:sz w:val="21"/>
          <w:szCs w:val="21"/>
        </w:rPr>
        <w:t>解析：总资产净利率＝净利润/总资产平均余额，各项业务对总资产净利率的影响如下：</w:t>
      </w:r>
      <w:r>
        <w:rPr>
          <w:rFonts w:hint="eastAsia" w:ascii="宋体" w:hAnsi="宋体" w:eastAsia="宋体" w:cs="宋体"/>
          <w:sz w:val="21"/>
          <w:szCs w:val="21"/>
        </w:rPr>
        <w:br w:type="textWrapping"/>
      </w:r>
      <w:r>
        <w:rPr>
          <w:rFonts w:hint="eastAsia" w:ascii="宋体" w:hAnsi="宋体" w:eastAsia="宋体" w:cs="宋体"/>
          <w:sz w:val="21"/>
          <w:szCs w:val="21"/>
        </w:rPr>
        <w:t>A项，销售存货收到现金是资产内部的一增一减，不影响总资产净利率；</w:t>
      </w:r>
      <w:r>
        <w:rPr>
          <w:rFonts w:hint="eastAsia" w:ascii="宋体" w:hAnsi="宋体" w:eastAsia="宋体" w:cs="宋体"/>
          <w:sz w:val="21"/>
          <w:szCs w:val="21"/>
        </w:rPr>
        <w:br w:type="textWrapping"/>
      </w:r>
      <w:r>
        <w:rPr>
          <w:rFonts w:hint="eastAsia" w:ascii="宋体" w:hAnsi="宋体" w:eastAsia="宋体" w:cs="宋体"/>
          <w:sz w:val="21"/>
          <w:szCs w:val="21"/>
        </w:rPr>
        <w:t>B项，用资本公积转增股本是所有者权益内部一增一减，不影响总资产净利率；</w:t>
      </w:r>
    </w:p>
    <w:p w14:paraId="1396125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C项，用现金购买原材料是资产内部的一增一减，不影响总资产净利率；</w:t>
      </w:r>
      <w:r>
        <w:rPr>
          <w:rFonts w:hint="eastAsia" w:ascii="宋体" w:hAnsi="宋体" w:eastAsia="宋体" w:cs="宋体"/>
          <w:sz w:val="21"/>
          <w:szCs w:val="21"/>
        </w:rPr>
        <w:br w:type="textWrapping"/>
      </w:r>
      <w:r>
        <w:rPr>
          <w:rFonts w:hint="eastAsia" w:ascii="宋体" w:hAnsi="宋体" w:eastAsia="宋体" w:cs="宋体"/>
          <w:sz w:val="21"/>
          <w:szCs w:val="21"/>
        </w:rPr>
        <w:t>D项，会使得银行存款下降，总资产和负债同时减少，总资产净利率会升高。</w:t>
      </w:r>
      <w:r>
        <w:rPr>
          <w:rFonts w:hint="eastAsia" w:ascii="宋体" w:hAnsi="宋体" w:eastAsia="宋体" w:cs="宋体"/>
          <w:sz w:val="21"/>
          <w:szCs w:val="21"/>
        </w:rPr>
        <w:br w:type="textWrapping"/>
      </w:r>
      <w:r>
        <w:rPr>
          <w:rFonts w:hint="eastAsia" w:ascii="宋体" w:hAnsi="宋体" w:eastAsia="宋体" w:cs="宋体"/>
          <w:sz w:val="21"/>
          <w:szCs w:val="21"/>
        </w:rPr>
        <w:t>故选D项。</w:t>
      </w:r>
    </w:p>
    <w:p w14:paraId="0C0B901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84690E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【例·单选题】甲公司2×23年总资产净利率为27%，营业净利率为9%，一年按照360天计算，则甲公司2×23年总资产周转天数为（  ）。</w:t>
      </w:r>
      <w:r>
        <w:rPr>
          <w:rFonts w:hint="eastAsia" w:ascii="宋体" w:hAnsi="宋体" w:eastAsia="宋体" w:cs="宋体"/>
          <w:sz w:val="21"/>
          <w:szCs w:val="21"/>
        </w:rPr>
        <w:br w:type="textWrapping"/>
      </w:r>
      <w:r>
        <w:rPr>
          <w:rFonts w:hint="eastAsia" w:ascii="宋体" w:hAnsi="宋体" w:eastAsia="宋体" w:cs="宋体"/>
          <w:sz w:val="21"/>
          <w:szCs w:val="21"/>
        </w:rPr>
        <w:t>A.120天</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B.180天</w:t>
      </w:r>
      <w:r>
        <w:rPr>
          <w:rFonts w:hint="eastAsia" w:ascii="宋体" w:hAnsi="宋体" w:eastAsia="宋体" w:cs="宋体"/>
          <w:sz w:val="21"/>
          <w:szCs w:val="21"/>
        </w:rPr>
        <w:br w:type="textWrapping"/>
      </w:r>
      <w:r>
        <w:rPr>
          <w:rFonts w:hint="eastAsia" w:ascii="宋体" w:hAnsi="宋体" w:eastAsia="宋体" w:cs="宋体"/>
          <w:sz w:val="21"/>
          <w:szCs w:val="21"/>
        </w:rPr>
        <w:t>C.200天</w:t>
      </w:r>
      <w:r>
        <w:rPr>
          <w:rFonts w:hint="eastAsia" w:ascii="宋体" w:hAnsi="宋体" w:eastAsia="宋体" w:cs="宋体"/>
          <w:sz w:val="21"/>
          <w:szCs w:val="21"/>
        </w:rPr>
        <w:br w:type="textWrapping"/>
      </w:r>
      <w:r>
        <w:rPr>
          <w:rFonts w:hint="eastAsia" w:ascii="宋体" w:hAnsi="宋体" w:eastAsia="宋体" w:cs="宋体"/>
          <w:sz w:val="21"/>
          <w:szCs w:val="21"/>
        </w:rPr>
        <w:t>D.240天</w:t>
      </w:r>
    </w:p>
    <w:p w14:paraId="319260A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答案：A</w:t>
      </w:r>
      <w:r>
        <w:rPr>
          <w:rFonts w:hint="eastAsia" w:ascii="宋体" w:hAnsi="宋体" w:eastAsia="宋体" w:cs="宋体"/>
          <w:sz w:val="21"/>
          <w:szCs w:val="21"/>
        </w:rPr>
        <w:br w:type="textWrapping"/>
      </w:r>
      <w:r>
        <w:rPr>
          <w:rFonts w:hint="eastAsia" w:ascii="宋体" w:hAnsi="宋体" w:eastAsia="宋体" w:cs="宋体"/>
          <w:sz w:val="21"/>
          <w:szCs w:val="21"/>
        </w:rPr>
        <w:t>解析：总资产净利率＝营业净利率×总资产周转率，总资产周转率＝总资产净利率÷营业净利率＝27%÷9%＝3（次），总资产周转天数＝360÷3＝120（天）。故选A项。</w:t>
      </w:r>
    </w:p>
    <w:p w14:paraId="67D63DB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7A95FE5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【例·单选题】某公司2018年初所有者权益为1.25亿元，2018年末所有者权益为1.50亿元。该公司2018年的资本积累率是（  ）。</w:t>
      </w:r>
      <w:r>
        <w:rPr>
          <w:rFonts w:hint="eastAsia" w:ascii="宋体" w:hAnsi="宋体" w:eastAsia="宋体" w:cs="宋体"/>
          <w:sz w:val="21"/>
          <w:szCs w:val="21"/>
        </w:rPr>
        <w:br w:type="textWrapping"/>
      </w:r>
      <w:r>
        <w:rPr>
          <w:rFonts w:hint="eastAsia" w:ascii="宋体" w:hAnsi="宋体" w:eastAsia="宋体" w:cs="宋体"/>
          <w:sz w:val="21"/>
          <w:szCs w:val="21"/>
        </w:rPr>
        <w:t>A.16.67%</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B.20.00%</w:t>
      </w:r>
      <w:r>
        <w:rPr>
          <w:rFonts w:hint="eastAsia" w:ascii="宋体" w:hAnsi="宋体" w:eastAsia="宋体" w:cs="宋体"/>
          <w:sz w:val="21"/>
          <w:szCs w:val="21"/>
        </w:rPr>
        <w:br w:type="textWrapping"/>
      </w:r>
      <w:r>
        <w:rPr>
          <w:rFonts w:hint="eastAsia" w:ascii="宋体" w:hAnsi="宋体" w:eastAsia="宋体" w:cs="宋体"/>
          <w:sz w:val="21"/>
          <w:szCs w:val="21"/>
        </w:rPr>
        <w:t>C.25.00%</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D.120.00%</w:t>
      </w:r>
      <w:r>
        <w:rPr>
          <w:rFonts w:hint="eastAsia" w:ascii="宋体" w:hAnsi="宋体" w:eastAsia="宋体" w:cs="宋体"/>
          <w:sz w:val="21"/>
          <w:szCs w:val="21"/>
        </w:rPr>
        <w:br w:type="textWrapping"/>
      </w:r>
      <w:r>
        <w:rPr>
          <w:rFonts w:hint="eastAsia" w:ascii="宋体" w:hAnsi="宋体" w:eastAsia="宋体" w:cs="宋体"/>
          <w:sz w:val="21"/>
          <w:szCs w:val="21"/>
        </w:rPr>
        <w:t>答案：B</w:t>
      </w:r>
      <w:r>
        <w:rPr>
          <w:rFonts w:hint="eastAsia" w:ascii="宋体" w:hAnsi="宋体" w:eastAsia="宋体" w:cs="宋体"/>
          <w:sz w:val="21"/>
          <w:szCs w:val="21"/>
        </w:rPr>
        <w:br w:type="textWrapping"/>
      </w:r>
      <w:r>
        <w:rPr>
          <w:rFonts w:hint="eastAsia" w:ascii="宋体" w:hAnsi="宋体" w:eastAsia="宋体" w:cs="宋体"/>
          <w:sz w:val="21"/>
          <w:szCs w:val="21"/>
        </w:rPr>
        <w:t>解析：资本积累率＝本年所有者权益增长额/年初所有者权益×100%＝（1.5－1.25）/1.25×100%＝20%。故选B项。</w:t>
      </w:r>
    </w:p>
    <w:p w14:paraId="142A831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66C7723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【例·单选题】某企业2018年年初所有者权益总额为3 500万元，年末所有者权益总额为7 500万元，本年没有影响所有者权益的客观因素，则该企业的资本保值增值率为（  ）。</w:t>
      </w:r>
      <w:r>
        <w:rPr>
          <w:rFonts w:hint="eastAsia" w:ascii="宋体" w:hAnsi="宋体" w:eastAsia="宋体" w:cs="宋体"/>
          <w:sz w:val="21"/>
          <w:szCs w:val="21"/>
        </w:rPr>
        <w:br w:type="textWrapping"/>
      </w:r>
      <w:r>
        <w:rPr>
          <w:rFonts w:hint="eastAsia" w:ascii="宋体" w:hAnsi="宋体" w:eastAsia="宋体" w:cs="宋体"/>
          <w:sz w:val="21"/>
          <w:szCs w:val="21"/>
        </w:rPr>
        <w:t>A.137.5%</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B.135.2%</w:t>
      </w:r>
      <w:r>
        <w:rPr>
          <w:rFonts w:hint="eastAsia" w:ascii="宋体" w:hAnsi="宋体" w:eastAsia="宋体" w:cs="宋体"/>
          <w:sz w:val="21"/>
          <w:szCs w:val="21"/>
        </w:rPr>
        <w:br w:type="textWrapping"/>
      </w:r>
      <w:r>
        <w:rPr>
          <w:rFonts w:hint="eastAsia" w:ascii="宋体" w:hAnsi="宋体" w:eastAsia="宋体" w:cs="宋体"/>
          <w:sz w:val="21"/>
          <w:szCs w:val="21"/>
        </w:rPr>
        <w:t>C.214.29%</w:t>
      </w:r>
      <w:r>
        <w:rPr>
          <w:rFonts w:hint="eastAsia" w:ascii="宋体" w:hAnsi="宋体" w:eastAsia="宋体" w:cs="宋体"/>
          <w:sz w:val="21"/>
          <w:szCs w:val="21"/>
        </w:rPr>
        <w:tab/>
      </w:r>
      <w:r>
        <w:rPr>
          <w:rFonts w:hint="eastAsia" w:ascii="宋体" w:hAnsi="宋体" w:eastAsia="宋体" w:cs="宋体"/>
          <w:sz w:val="21"/>
          <w:szCs w:val="21"/>
        </w:rPr>
        <w:br w:type="textWrapping"/>
      </w:r>
      <w:r>
        <w:rPr>
          <w:rFonts w:hint="eastAsia" w:ascii="宋体" w:hAnsi="宋体" w:eastAsia="宋体" w:cs="宋体"/>
          <w:sz w:val="21"/>
          <w:szCs w:val="21"/>
        </w:rPr>
        <w:t>D.125.2%</w:t>
      </w:r>
    </w:p>
    <w:p w14:paraId="13ACE74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答案：C</w:t>
      </w:r>
      <w:r>
        <w:rPr>
          <w:rFonts w:hint="eastAsia" w:ascii="宋体" w:hAnsi="宋体" w:eastAsia="宋体" w:cs="宋体"/>
          <w:sz w:val="21"/>
          <w:szCs w:val="21"/>
        </w:rPr>
        <w:br w:type="textWrapping"/>
      </w:r>
      <w:r>
        <w:rPr>
          <w:rFonts w:hint="eastAsia" w:ascii="宋体" w:hAnsi="宋体" w:eastAsia="宋体" w:cs="宋体"/>
          <w:sz w:val="21"/>
          <w:szCs w:val="21"/>
        </w:rPr>
        <w:t>解析：资本保值增值率＝扣除客观因素后的本年末所有者权益总额/年初所有者权益总额×l00%＝7 500/3 500×100%＝214.29%。故选C项。</w:t>
      </w:r>
    </w:p>
    <w:p w14:paraId="6BD9266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14:paraId="4DCC85E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【例·计算分析题】丁公司2017年末的资产负债表（简表）如下。</w:t>
      </w:r>
      <w:r>
        <w:rPr>
          <w:rFonts w:hint="eastAsia" w:ascii="宋体" w:hAnsi="宋体" w:eastAsia="宋体" w:cs="宋体"/>
          <w:sz w:val="21"/>
          <w:szCs w:val="21"/>
        </w:rPr>
        <w:br w:type="textWrapping"/>
      </w:r>
      <w:r>
        <w:rPr>
          <w:rFonts w:hint="eastAsia" w:ascii="宋体" w:hAnsi="宋体" w:eastAsia="宋体" w:cs="宋体"/>
          <w:sz w:val="21"/>
          <w:szCs w:val="21"/>
        </w:rPr>
        <w:t>资产负债表（简表）               单位：万元</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1678"/>
        <w:gridCol w:w="4599"/>
        <w:gridCol w:w="1678"/>
      </w:tblGrid>
      <w:tr w14:paraId="7341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tcPr>
          <w:p w14:paraId="4DF31DF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资产</w:t>
            </w:r>
          </w:p>
        </w:tc>
        <w:tc>
          <w:tcPr>
            <w:tcW w:w="801" w:type="pct"/>
          </w:tcPr>
          <w:p w14:paraId="27FC11D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年末数</w:t>
            </w:r>
          </w:p>
        </w:tc>
        <w:tc>
          <w:tcPr>
            <w:tcW w:w="2196" w:type="pct"/>
          </w:tcPr>
          <w:p w14:paraId="17A6DF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负债和所有者权益</w:t>
            </w:r>
          </w:p>
        </w:tc>
        <w:tc>
          <w:tcPr>
            <w:tcW w:w="801" w:type="pct"/>
          </w:tcPr>
          <w:p w14:paraId="1B42B03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年末数</w:t>
            </w:r>
          </w:p>
        </w:tc>
      </w:tr>
      <w:tr w14:paraId="1E3C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tcPr>
          <w:p w14:paraId="5535DD0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货币资金</w:t>
            </w:r>
          </w:p>
        </w:tc>
        <w:tc>
          <w:tcPr>
            <w:tcW w:w="801" w:type="pct"/>
          </w:tcPr>
          <w:p w14:paraId="433817F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450</w:t>
            </w:r>
          </w:p>
        </w:tc>
        <w:tc>
          <w:tcPr>
            <w:tcW w:w="2196" w:type="pct"/>
          </w:tcPr>
          <w:p w14:paraId="64ACB43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短期借款</w:t>
            </w:r>
          </w:p>
        </w:tc>
        <w:tc>
          <w:tcPr>
            <w:tcW w:w="801" w:type="pct"/>
          </w:tcPr>
          <w:p w14:paraId="6353939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A</w:t>
            </w:r>
          </w:p>
        </w:tc>
      </w:tr>
      <w:tr w14:paraId="0DA0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tcPr>
          <w:p w14:paraId="0EE6476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应收账款</w:t>
            </w:r>
          </w:p>
        </w:tc>
        <w:tc>
          <w:tcPr>
            <w:tcW w:w="801" w:type="pct"/>
          </w:tcPr>
          <w:p w14:paraId="7B7A6AD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250</w:t>
            </w:r>
          </w:p>
        </w:tc>
        <w:tc>
          <w:tcPr>
            <w:tcW w:w="2196" w:type="pct"/>
          </w:tcPr>
          <w:p w14:paraId="50A27BC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应付账款</w:t>
            </w:r>
          </w:p>
        </w:tc>
        <w:tc>
          <w:tcPr>
            <w:tcW w:w="801" w:type="pct"/>
          </w:tcPr>
          <w:p w14:paraId="104F21F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280</w:t>
            </w:r>
          </w:p>
        </w:tc>
      </w:tr>
      <w:tr w14:paraId="5754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tcPr>
          <w:p w14:paraId="20C8776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存货</w:t>
            </w:r>
          </w:p>
        </w:tc>
        <w:tc>
          <w:tcPr>
            <w:tcW w:w="801" w:type="pct"/>
          </w:tcPr>
          <w:p w14:paraId="4890CE4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400</w:t>
            </w:r>
          </w:p>
        </w:tc>
        <w:tc>
          <w:tcPr>
            <w:tcW w:w="2196" w:type="pct"/>
          </w:tcPr>
          <w:p w14:paraId="1E58ED7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长期借款</w:t>
            </w:r>
          </w:p>
        </w:tc>
        <w:tc>
          <w:tcPr>
            <w:tcW w:w="801" w:type="pct"/>
          </w:tcPr>
          <w:p w14:paraId="5D2E48E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700</w:t>
            </w:r>
          </w:p>
        </w:tc>
      </w:tr>
      <w:tr w14:paraId="5DD3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tcPr>
          <w:p w14:paraId="40B2D31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非流动资产</w:t>
            </w:r>
          </w:p>
        </w:tc>
        <w:tc>
          <w:tcPr>
            <w:tcW w:w="801" w:type="pct"/>
          </w:tcPr>
          <w:p w14:paraId="728EA24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1300</w:t>
            </w:r>
          </w:p>
        </w:tc>
        <w:tc>
          <w:tcPr>
            <w:tcW w:w="2196" w:type="pct"/>
          </w:tcPr>
          <w:p w14:paraId="2155F6B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所有者权益</w:t>
            </w:r>
          </w:p>
        </w:tc>
        <w:tc>
          <w:tcPr>
            <w:tcW w:w="801" w:type="pct"/>
          </w:tcPr>
          <w:p w14:paraId="416470F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B</w:t>
            </w:r>
          </w:p>
        </w:tc>
      </w:tr>
      <w:tr w14:paraId="0080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tcPr>
          <w:p w14:paraId="5A0FA50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资产总计</w:t>
            </w:r>
          </w:p>
        </w:tc>
        <w:tc>
          <w:tcPr>
            <w:tcW w:w="801" w:type="pct"/>
          </w:tcPr>
          <w:p w14:paraId="7D98E65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2400</w:t>
            </w:r>
          </w:p>
        </w:tc>
        <w:tc>
          <w:tcPr>
            <w:tcW w:w="2196" w:type="pct"/>
          </w:tcPr>
          <w:p w14:paraId="287E4C6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负债与所有者权益总计</w:t>
            </w:r>
          </w:p>
        </w:tc>
        <w:tc>
          <w:tcPr>
            <w:tcW w:w="801" w:type="pct"/>
          </w:tcPr>
          <w:p w14:paraId="7FFE760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2400</w:t>
            </w:r>
          </w:p>
        </w:tc>
      </w:tr>
    </w:tbl>
    <w:p w14:paraId="75F0915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2017年营业收入为1650万元，营业成本为990万元，净利润为220万元，非经营净收益为－55万元，应收账款年初余额为150万元，存货年初余额为260万元，所有者权益年初余额为1000万元。该公司年末流动比率为2.2。</w:t>
      </w:r>
      <w:r>
        <w:rPr>
          <w:rFonts w:hint="eastAsia" w:ascii="宋体" w:hAnsi="宋体" w:eastAsia="宋体" w:cs="宋体"/>
          <w:sz w:val="21"/>
          <w:szCs w:val="21"/>
        </w:rPr>
        <w:br w:type="textWrapping"/>
      </w:r>
      <w:r>
        <w:rPr>
          <w:rFonts w:hint="eastAsia" w:ascii="宋体" w:hAnsi="宋体" w:eastAsia="宋体" w:cs="宋体"/>
          <w:sz w:val="21"/>
          <w:szCs w:val="21"/>
        </w:rPr>
        <w:t>要求：</w:t>
      </w:r>
      <w:r>
        <w:rPr>
          <w:rFonts w:hint="eastAsia" w:ascii="宋体" w:hAnsi="宋体" w:eastAsia="宋体" w:cs="宋体"/>
          <w:sz w:val="21"/>
          <w:szCs w:val="21"/>
        </w:rPr>
        <w:br w:type="textWrapping"/>
      </w:r>
      <w:r>
        <w:rPr>
          <w:rFonts w:hint="eastAsia" w:ascii="宋体" w:hAnsi="宋体" w:eastAsia="宋体" w:cs="宋体"/>
          <w:sz w:val="21"/>
          <w:szCs w:val="21"/>
        </w:rPr>
        <w:t>（1）计算上表中字母A和B所代表的项目金额。</w:t>
      </w:r>
      <w:r>
        <w:rPr>
          <w:rFonts w:hint="eastAsia" w:ascii="宋体" w:hAnsi="宋体" w:eastAsia="宋体" w:cs="宋体"/>
          <w:sz w:val="21"/>
          <w:szCs w:val="21"/>
        </w:rPr>
        <w:br w:type="textWrapping"/>
      </w:r>
      <w:r>
        <w:rPr>
          <w:rFonts w:hint="eastAsia" w:ascii="宋体" w:hAnsi="宋体" w:eastAsia="宋体" w:cs="宋体"/>
          <w:sz w:val="21"/>
          <w:szCs w:val="21"/>
        </w:rPr>
        <w:t>（2）每年按360天计算，计算应收账款周转次数，存货周转天数。</w:t>
      </w:r>
      <w:r>
        <w:rPr>
          <w:rFonts w:hint="eastAsia" w:ascii="宋体" w:hAnsi="宋体" w:eastAsia="宋体" w:cs="宋体"/>
          <w:sz w:val="21"/>
          <w:szCs w:val="21"/>
        </w:rPr>
        <w:br w:type="textWrapping"/>
      </w:r>
      <w:r>
        <w:rPr>
          <w:rFonts w:hint="eastAsia" w:ascii="宋体" w:hAnsi="宋体" w:eastAsia="宋体" w:cs="宋体"/>
          <w:sz w:val="21"/>
          <w:szCs w:val="21"/>
        </w:rPr>
        <w:t>（3）计算净收益营运指数。</w:t>
      </w:r>
    </w:p>
    <w:p w14:paraId="49BEC66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答案：（450＋250＋400）/（280＋A）＝2.2，</w:t>
      </w:r>
      <w:r>
        <w:rPr>
          <w:rFonts w:hint="eastAsia" w:ascii="宋体" w:hAnsi="宋体" w:eastAsia="宋体" w:cs="宋体"/>
          <w:sz w:val="21"/>
          <w:szCs w:val="21"/>
        </w:rPr>
        <w:br w:type="textWrapping"/>
      </w:r>
      <w:r>
        <w:rPr>
          <w:rFonts w:hint="eastAsia" w:ascii="宋体" w:hAnsi="宋体" w:eastAsia="宋体" w:cs="宋体"/>
          <w:sz w:val="21"/>
          <w:szCs w:val="21"/>
        </w:rPr>
        <w:t>A＝220（万元）；B＝2400－220－280－700＝1200（万元）</w:t>
      </w:r>
      <w:r>
        <w:rPr>
          <w:rFonts w:hint="eastAsia" w:ascii="宋体" w:hAnsi="宋体" w:eastAsia="宋体" w:cs="宋体"/>
          <w:sz w:val="21"/>
          <w:szCs w:val="21"/>
        </w:rPr>
        <w:br w:type="textWrapping"/>
      </w:r>
      <w:r>
        <w:rPr>
          <w:rFonts w:hint="eastAsia" w:ascii="宋体" w:hAnsi="宋体" w:eastAsia="宋体" w:cs="宋体"/>
          <w:sz w:val="21"/>
          <w:szCs w:val="21"/>
        </w:rPr>
        <w:t>（2）应收账款周转次数＝1650/[（150＋250）/2]＝8.25（次）</w:t>
      </w:r>
      <w:r>
        <w:rPr>
          <w:rFonts w:hint="eastAsia" w:ascii="宋体" w:hAnsi="宋体" w:eastAsia="宋体" w:cs="宋体"/>
          <w:sz w:val="21"/>
          <w:szCs w:val="21"/>
        </w:rPr>
        <w:br w:type="textWrapping"/>
      </w:r>
      <w:r>
        <w:rPr>
          <w:rFonts w:hint="eastAsia" w:ascii="宋体" w:hAnsi="宋体" w:eastAsia="宋体" w:cs="宋体"/>
          <w:sz w:val="21"/>
          <w:szCs w:val="21"/>
        </w:rPr>
        <w:t>存货周转次数＝990/[（260＋400）/2]＝3（次）</w:t>
      </w:r>
      <w:r>
        <w:rPr>
          <w:rFonts w:hint="eastAsia" w:ascii="宋体" w:hAnsi="宋体" w:eastAsia="宋体" w:cs="宋体"/>
          <w:sz w:val="21"/>
          <w:szCs w:val="21"/>
        </w:rPr>
        <w:br w:type="textWrapping"/>
      </w:r>
      <w:r>
        <w:rPr>
          <w:rFonts w:hint="eastAsia" w:ascii="宋体" w:hAnsi="宋体" w:eastAsia="宋体" w:cs="宋体"/>
          <w:sz w:val="21"/>
          <w:szCs w:val="21"/>
        </w:rPr>
        <w:t>存货周转天数＝360/3＝120（天）</w:t>
      </w:r>
      <w:r>
        <w:rPr>
          <w:rFonts w:hint="eastAsia" w:ascii="宋体" w:hAnsi="宋体" w:eastAsia="宋体" w:cs="宋体"/>
          <w:sz w:val="21"/>
          <w:szCs w:val="21"/>
        </w:rPr>
        <w:br w:type="textWrapping"/>
      </w:r>
      <w:r>
        <w:rPr>
          <w:rFonts w:hint="eastAsia" w:ascii="宋体" w:hAnsi="宋体" w:eastAsia="宋体" w:cs="宋体"/>
          <w:sz w:val="21"/>
          <w:szCs w:val="21"/>
        </w:rPr>
        <w:t>（3）经营净收益＝220－（－55）＝275（万元）</w:t>
      </w:r>
      <w:r>
        <w:rPr>
          <w:rFonts w:hint="eastAsia" w:ascii="宋体" w:hAnsi="宋体" w:eastAsia="宋体" w:cs="宋体"/>
          <w:sz w:val="21"/>
          <w:szCs w:val="21"/>
        </w:rPr>
        <w:br w:type="textWrapping"/>
      </w:r>
      <w:r>
        <w:rPr>
          <w:rFonts w:hint="eastAsia" w:ascii="宋体" w:hAnsi="宋体" w:eastAsia="宋体" w:cs="宋体"/>
          <w:sz w:val="21"/>
          <w:szCs w:val="21"/>
        </w:rPr>
        <w:t>净收益营运指数＝275/220＝1.25</w:t>
      </w:r>
    </w:p>
    <w:p w14:paraId="4D74351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第十章  财务分析与评价</w:t>
      </w:r>
    </w:p>
    <w:p w14:paraId="51635BA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p>
    <w:p w14:paraId="7CD0EF6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上市公司财务分析</w:t>
      </w:r>
    </w:p>
    <w:p w14:paraId="43842B0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每股收益（基本每股收益、稀释每股收益）、每股股利、市盈率、每股净资产、市净率</w:t>
      </w:r>
    </w:p>
    <w:p w14:paraId="0E05BAF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5B1C9CB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某公司</w:t>
      </w:r>
      <w:r>
        <w:rPr>
          <w:rFonts w:hint="eastAsia" w:ascii="宋体" w:hAnsi="宋体" w:eastAsia="宋体" w:cs="宋体"/>
          <w:color w:val="auto"/>
          <w:sz w:val="21"/>
          <w:szCs w:val="21"/>
          <w:lang w:val="en-US" w:eastAsia="zh-CN"/>
        </w:rPr>
        <w:t>2022</w:t>
      </w:r>
      <w:r>
        <w:rPr>
          <w:rFonts w:hint="eastAsia" w:ascii="宋体" w:hAnsi="宋体" w:eastAsia="宋体" w:cs="宋体"/>
          <w:color w:val="auto"/>
          <w:sz w:val="21"/>
          <w:szCs w:val="21"/>
        </w:rPr>
        <w:t>年期初发行在外的普通股为</w:t>
      </w:r>
      <w:r>
        <w:rPr>
          <w:rFonts w:hint="eastAsia" w:ascii="宋体" w:hAnsi="宋体" w:eastAsia="宋体" w:cs="宋体"/>
          <w:color w:val="auto"/>
          <w:sz w:val="21"/>
          <w:szCs w:val="21"/>
          <w:lang w:val="en-US" w:eastAsia="zh-CN"/>
        </w:rPr>
        <w:t>3000</w:t>
      </w:r>
      <w:r>
        <w:rPr>
          <w:rFonts w:hint="eastAsia" w:ascii="宋体" w:hAnsi="宋体" w:eastAsia="宋体" w:cs="宋体"/>
          <w:color w:val="auto"/>
          <w:sz w:val="21"/>
          <w:szCs w:val="21"/>
        </w:rPr>
        <w:t>万股；</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日新发行普通股</w:t>
      </w:r>
      <w:r>
        <w:rPr>
          <w:rFonts w:hint="eastAsia" w:ascii="宋体" w:hAnsi="宋体" w:eastAsia="宋体" w:cs="宋体"/>
          <w:color w:val="auto"/>
          <w:sz w:val="21"/>
          <w:szCs w:val="21"/>
          <w:lang w:val="en-US" w:eastAsia="zh-CN"/>
        </w:rPr>
        <w:t>1620</w:t>
      </w:r>
      <w:r>
        <w:rPr>
          <w:rFonts w:hint="eastAsia" w:ascii="宋体" w:hAnsi="宋体" w:eastAsia="宋体" w:cs="宋体"/>
          <w:color w:val="auto"/>
          <w:sz w:val="21"/>
          <w:szCs w:val="21"/>
        </w:rPr>
        <w:t>万股；</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日回购普通股</w:t>
      </w:r>
      <w:r>
        <w:rPr>
          <w:rFonts w:hint="eastAsia" w:ascii="宋体" w:hAnsi="宋体" w:eastAsia="宋体" w:cs="宋体"/>
          <w:color w:val="auto"/>
          <w:sz w:val="21"/>
          <w:szCs w:val="21"/>
          <w:lang w:val="en-US" w:eastAsia="zh-CN"/>
        </w:rPr>
        <w:t>720</w:t>
      </w:r>
      <w:r>
        <w:rPr>
          <w:rFonts w:hint="eastAsia" w:ascii="宋体" w:hAnsi="宋体" w:eastAsia="宋体" w:cs="宋体"/>
          <w:color w:val="auto"/>
          <w:sz w:val="21"/>
          <w:szCs w:val="21"/>
        </w:rPr>
        <w:t>万股，以备将来奖励职工之用。该公司当年度实现净利润为</w:t>
      </w:r>
      <w:r>
        <w:rPr>
          <w:rFonts w:hint="eastAsia" w:ascii="宋体" w:hAnsi="宋体" w:eastAsia="宋体" w:cs="宋体"/>
          <w:color w:val="auto"/>
          <w:sz w:val="21"/>
          <w:szCs w:val="21"/>
          <w:lang w:val="en-US" w:eastAsia="zh-CN"/>
        </w:rPr>
        <w:t>2010</w:t>
      </w:r>
      <w:r>
        <w:rPr>
          <w:rFonts w:hint="eastAsia" w:ascii="宋体" w:hAnsi="宋体" w:eastAsia="宋体" w:cs="宋体"/>
          <w:color w:val="auto"/>
          <w:sz w:val="21"/>
          <w:szCs w:val="21"/>
        </w:rPr>
        <w:t>万元。假定该公司按月计算每股收益的时间权重。</w:t>
      </w:r>
      <w:r>
        <w:rPr>
          <w:rFonts w:hint="eastAsia" w:ascii="宋体" w:hAnsi="宋体" w:eastAsia="宋体" w:cs="宋体"/>
          <w:color w:val="auto"/>
          <w:sz w:val="21"/>
          <w:szCs w:val="21"/>
          <w:lang w:val="en-US" w:eastAsia="zh-CN"/>
        </w:rPr>
        <w:t>2022</w:t>
      </w:r>
      <w:r>
        <w:rPr>
          <w:rFonts w:hint="eastAsia" w:ascii="宋体" w:hAnsi="宋体" w:eastAsia="宋体" w:cs="宋体"/>
          <w:color w:val="auto"/>
          <w:sz w:val="21"/>
          <w:szCs w:val="21"/>
        </w:rPr>
        <w:t>年度基本每股收益为（  ）。</w:t>
      </w:r>
    </w:p>
    <w:p w14:paraId="00F0800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A.0.4</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B.0.5</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w:t>
      </w:r>
    </w:p>
    <w:p w14:paraId="7099CB0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C.0.52</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D.0.6</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w:t>
      </w:r>
    </w:p>
    <w:p w14:paraId="314D82E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B</w:t>
      </w:r>
    </w:p>
    <w:p w14:paraId="2F59DDF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lang w:val="en-US" w:eastAsia="zh-CN"/>
        </w:rPr>
        <w:t>2022</w:t>
      </w:r>
      <w:r>
        <w:rPr>
          <w:rFonts w:hint="eastAsia" w:ascii="宋体" w:hAnsi="宋体" w:eastAsia="宋体" w:cs="宋体"/>
          <w:color w:val="auto"/>
          <w:sz w:val="21"/>
          <w:szCs w:val="21"/>
        </w:rPr>
        <w:t xml:space="preserve">年度基本每股收益＝ </w:t>
      </w:r>
      <w:r>
        <w:pict>
          <v:shape id="_x0000_i1045" o:spt="75" type="#_x0000_t75" style="height:28.05pt;width:113.4pt;" filled="f" o:preferrelative="t" stroked="f" coordsize="21600,21600">
            <v:path/>
            <v:fill on="f" focussize="0,0"/>
            <v:stroke on="f"/>
            <v:imagedata r:id="rId36" gain="0f" blacklevel="1966f" o:title=""/>
            <o:lock v:ext="edit" aspectratio="t"/>
            <w10:wrap type="none"/>
            <w10:anchorlock/>
          </v:shape>
        </w:pict>
      </w:r>
      <w:r>
        <w:rPr>
          <w:rFonts w:hint="eastAsia" w:ascii="宋体" w:hAnsi="宋体" w:eastAsia="宋体" w:cs="宋体"/>
          <w:color w:val="auto"/>
          <w:sz w:val="21"/>
          <w:szCs w:val="21"/>
        </w:rPr>
        <w:t xml:space="preserve"> ＝      </w:t>
      </w:r>
      <w:r>
        <w:pict>
          <v:shape id="_x0000_i1046" o:spt="75" type="#_x0000_t75" style="height:35.6pt;width:113.4pt;" filled="f" o:preferrelative="t" stroked="f" coordsize="21600,21600">
            <v:path/>
            <v:fill on="f" focussize="0,0"/>
            <v:stroke on="f"/>
            <v:imagedata r:id="rId37" gain="0f" blacklevel="3932f" o:title=""/>
            <o:lock v:ext="edit" aspectratio="t"/>
            <w10:wrap type="none"/>
            <w10:anchorlock/>
          </v:shape>
        </w:pic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元</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w:t>
      </w:r>
    </w:p>
    <w:p w14:paraId="24133CA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4051C7F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下列各项财务指标中，能够综合反映企业成长性和投资风险的是（  ）。</w:t>
      </w:r>
    </w:p>
    <w:p w14:paraId="04E8418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市盈率</w:t>
      </w:r>
      <w:r>
        <w:rPr>
          <w:rFonts w:hint="eastAsia" w:ascii="宋体" w:hAnsi="宋体" w:eastAsia="宋体" w:cs="宋体"/>
          <w:color w:val="auto"/>
          <w:sz w:val="21"/>
          <w:szCs w:val="21"/>
        </w:rPr>
        <w:tab/>
      </w:r>
    </w:p>
    <w:p w14:paraId="319F15A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每股收益</w:t>
      </w:r>
    </w:p>
    <w:p w14:paraId="115562F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营业净利率</w:t>
      </w:r>
      <w:r>
        <w:rPr>
          <w:rFonts w:hint="eastAsia" w:ascii="宋体" w:hAnsi="宋体" w:eastAsia="宋体" w:cs="宋体"/>
          <w:color w:val="auto"/>
          <w:sz w:val="21"/>
          <w:szCs w:val="21"/>
        </w:rPr>
        <w:tab/>
      </w:r>
    </w:p>
    <w:p w14:paraId="4315432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每股净资产</w:t>
      </w:r>
    </w:p>
    <w:p w14:paraId="0B5FCA1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14450F7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一方面，市盈率越高，意味着企业未来成长的潜力越大，也即投资者对该股票的评价越高，反之，投资者对该股票评价越低。另一方面，市盈率越高，说明投资于该股票的风险越大，市盈率越低，说明投资于该股票的风险越小。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76E2AD0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D37529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某上市公司股票市价为</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元，普通股数量</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万股，净利润</w:t>
      </w:r>
      <w:r>
        <w:rPr>
          <w:rFonts w:hint="eastAsia" w:ascii="宋体" w:hAnsi="宋体" w:eastAsia="宋体" w:cs="宋体"/>
          <w:color w:val="auto"/>
          <w:sz w:val="21"/>
          <w:szCs w:val="21"/>
          <w:lang w:val="en-US" w:eastAsia="zh-CN"/>
        </w:rPr>
        <w:t>400</w:t>
      </w:r>
      <w:r>
        <w:rPr>
          <w:rFonts w:hint="eastAsia" w:ascii="宋体" w:hAnsi="宋体" w:eastAsia="宋体" w:cs="宋体"/>
          <w:color w:val="auto"/>
          <w:sz w:val="21"/>
          <w:szCs w:val="21"/>
        </w:rPr>
        <w:t>万元，净资产</w:t>
      </w:r>
      <w:r>
        <w:rPr>
          <w:rFonts w:hint="eastAsia" w:ascii="宋体" w:hAnsi="宋体" w:eastAsia="宋体" w:cs="宋体"/>
          <w:color w:val="auto"/>
          <w:sz w:val="21"/>
          <w:szCs w:val="21"/>
          <w:lang w:val="en-US" w:eastAsia="zh-CN"/>
        </w:rPr>
        <w:t>500</w:t>
      </w:r>
      <w:r>
        <w:rPr>
          <w:rFonts w:hint="eastAsia" w:ascii="宋体" w:hAnsi="宋体" w:eastAsia="宋体" w:cs="宋体"/>
          <w:color w:val="auto"/>
          <w:sz w:val="21"/>
          <w:szCs w:val="21"/>
        </w:rPr>
        <w:t>万元，则市净率为（  ）。</w:t>
      </w:r>
    </w:p>
    <w:p w14:paraId="3F4F030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A.4</w:t>
      </w:r>
      <w:r>
        <w:rPr>
          <w:rFonts w:hint="eastAsia" w:ascii="宋体" w:hAnsi="宋体" w:eastAsia="宋体" w:cs="宋体"/>
          <w:color w:val="auto"/>
          <w:sz w:val="21"/>
          <w:szCs w:val="21"/>
          <w:lang w:val="en-US" w:eastAsia="zh-CN"/>
        </w:rPr>
        <w:tab/>
      </w:r>
    </w:p>
    <w:p w14:paraId="4C77775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B.5</w:t>
      </w:r>
    </w:p>
    <w:p w14:paraId="10B2E57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C.10</w:t>
      </w:r>
      <w:r>
        <w:rPr>
          <w:rFonts w:hint="eastAsia" w:ascii="宋体" w:hAnsi="宋体" w:eastAsia="宋体" w:cs="宋体"/>
          <w:color w:val="auto"/>
          <w:sz w:val="21"/>
          <w:szCs w:val="21"/>
          <w:lang w:val="en-US" w:eastAsia="zh-CN"/>
        </w:rPr>
        <w:tab/>
      </w:r>
    </w:p>
    <w:p w14:paraId="2EAE04F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D.20</w:t>
      </w:r>
    </w:p>
    <w:p w14:paraId="533629D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2A96DD0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市净率＝每股市价</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每股净资产＝</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。故选</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项。</w:t>
      </w:r>
    </w:p>
    <w:p w14:paraId="5C903A8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74C722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单选题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计算稀释每股收益时，需考虑潜在普通股影响，下列不属于潜在普通股的是（  ）。</w:t>
      </w:r>
    </w:p>
    <w:p w14:paraId="07A5198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库存股               </w:t>
      </w:r>
    </w:p>
    <w:p w14:paraId="205F7D0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股份期权            </w:t>
      </w:r>
    </w:p>
    <w:p w14:paraId="296DC13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可转债             </w:t>
      </w:r>
    </w:p>
    <w:p w14:paraId="268470C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认股权证</w:t>
      </w:r>
    </w:p>
    <w:p w14:paraId="7AB30C52">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w:t>
      </w:r>
    </w:p>
    <w:p w14:paraId="52E93F2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稀释性潜在普通股指的是如果其转换为普通股会减少每股收益，其主要包括：可转换公司债券、认股权证和股份期权等。</w:t>
      </w:r>
    </w:p>
    <w:p w14:paraId="713750E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p>
    <w:p w14:paraId="44DB6C5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多选题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根据有关要求，企业存在稀释性潜在普通股的，应计算稀释每股收益，下列属于潜在普通股的有（  ）。</w:t>
      </w:r>
    </w:p>
    <w:p w14:paraId="16A20F2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 xml:space="preserve">认股权证   </w:t>
      </w:r>
    </w:p>
    <w:p w14:paraId="621BAFD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 xml:space="preserve">可转换公司债券   </w:t>
      </w:r>
    </w:p>
    <w:p w14:paraId="46CF90C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 xml:space="preserve">不可转换优先股    </w:t>
      </w:r>
    </w:p>
    <w:p w14:paraId="430CAB8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股份期权</w:t>
      </w:r>
    </w:p>
    <w:p w14:paraId="6F90DA38">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r>
        <w:rPr>
          <w:rFonts w:hint="eastAsia" w:ascii="宋体" w:hAnsi="宋体" w:eastAsia="宋体" w:cs="宋体"/>
          <w:color w:val="FF0000"/>
          <w:sz w:val="21"/>
          <w:szCs w:val="21"/>
          <w:lang w:val="en-US" w:eastAsia="zh-CN"/>
        </w:rPr>
        <w:t>ABD</w:t>
      </w:r>
    </w:p>
    <w:p w14:paraId="491B0849">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rPr>
        <w:t>解析：</w:t>
      </w:r>
      <w:r>
        <w:rPr>
          <w:rFonts w:hint="eastAsia" w:ascii="宋体" w:hAnsi="宋体" w:eastAsia="宋体" w:cs="宋体"/>
          <w:color w:val="auto"/>
          <w:sz w:val="21"/>
          <w:szCs w:val="21"/>
        </w:rPr>
        <w:t>潜在普通股主要包括：可转换公司债券、认股权证和股份期权等。不可转换优先股不能转换为普通股，不会增加企业的普通股股数。</w:t>
      </w:r>
    </w:p>
    <w:p w14:paraId="1310849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37DF7D0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企业综合绩效分析的方法</w:t>
      </w:r>
    </w:p>
    <w:p w14:paraId="0B1FC73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净资产收益率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营业净利率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总资产周转率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权益乘数</w:t>
      </w:r>
    </w:p>
    <w:p w14:paraId="76E423F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经济增加值＝税后净营业利润</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平均资本占用</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加权平均资本成本</w:t>
      </w:r>
    </w:p>
    <w:p w14:paraId="7877712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p>
    <w:p w14:paraId="2F33A40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例</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综合题</w:t>
      </w:r>
      <w:r>
        <w:rPr>
          <w:rFonts w:hint="eastAsia" w:ascii="宋体" w:hAnsi="宋体" w:eastAsia="宋体" w:cs="宋体"/>
          <w:color w:val="FF0000"/>
          <w:sz w:val="21"/>
          <w:szCs w:val="21"/>
          <w:lang w:val="en-US" w:eastAsia="zh-CN"/>
        </w:rPr>
        <w:t>】</w:t>
      </w:r>
      <w:r>
        <w:rPr>
          <w:rFonts w:hint="eastAsia" w:ascii="宋体" w:hAnsi="宋体" w:eastAsia="宋体" w:cs="宋体"/>
          <w:color w:val="auto"/>
          <w:sz w:val="21"/>
          <w:szCs w:val="21"/>
        </w:rPr>
        <w:t>甲公司是一家制造企业，有关资料如下：</w:t>
      </w:r>
    </w:p>
    <w:p w14:paraId="2F298B3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资料一：公司财务报表如下：        （单位：万元）</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03"/>
        <w:gridCol w:w="1265"/>
        <w:gridCol w:w="1269"/>
        <w:gridCol w:w="3600"/>
        <w:gridCol w:w="1265"/>
        <w:gridCol w:w="1268"/>
      </w:tblGrid>
      <w:tr w14:paraId="0442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 w:hRule="atLeast"/>
        </w:trPr>
        <w:tc>
          <w:tcPr>
            <w:tcW w:w="2071" w:type="pct"/>
            <w:gridSpan w:val="3"/>
            <w:shd w:val="clear" w:color="auto" w:fill="auto"/>
            <w:tcMar>
              <w:top w:w="72" w:type="dxa"/>
              <w:left w:w="108" w:type="dxa"/>
              <w:bottom w:w="72" w:type="dxa"/>
              <w:right w:w="108" w:type="dxa"/>
            </w:tcMar>
            <w:vAlign w:val="top"/>
          </w:tcPr>
          <w:p w14:paraId="4B115637">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资产</w:t>
            </w:r>
          </w:p>
        </w:tc>
        <w:tc>
          <w:tcPr>
            <w:tcW w:w="2928" w:type="pct"/>
            <w:gridSpan w:val="3"/>
            <w:shd w:val="clear" w:color="auto" w:fill="auto"/>
            <w:tcMar>
              <w:top w:w="72" w:type="dxa"/>
              <w:left w:w="108" w:type="dxa"/>
              <w:bottom w:w="72" w:type="dxa"/>
              <w:right w:w="108" w:type="dxa"/>
            </w:tcMar>
            <w:vAlign w:val="top"/>
          </w:tcPr>
          <w:p w14:paraId="5070F3DD">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负债与股东权益</w:t>
            </w:r>
          </w:p>
        </w:tc>
      </w:tr>
      <w:tr w14:paraId="7363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861" w:type="pct"/>
            <w:shd w:val="clear" w:color="auto" w:fill="auto"/>
            <w:tcMar>
              <w:top w:w="72" w:type="dxa"/>
              <w:left w:w="108" w:type="dxa"/>
              <w:bottom w:w="72" w:type="dxa"/>
              <w:right w:w="108" w:type="dxa"/>
            </w:tcMar>
            <w:vAlign w:val="top"/>
          </w:tcPr>
          <w:p w14:paraId="45AA9898">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 </w:t>
            </w:r>
          </w:p>
        </w:tc>
        <w:tc>
          <w:tcPr>
            <w:tcW w:w="604" w:type="pct"/>
            <w:shd w:val="clear" w:color="auto" w:fill="auto"/>
            <w:tcMar>
              <w:top w:w="72" w:type="dxa"/>
              <w:left w:w="108" w:type="dxa"/>
              <w:bottom w:w="72" w:type="dxa"/>
              <w:right w:w="108" w:type="dxa"/>
            </w:tcMar>
            <w:vAlign w:val="top"/>
          </w:tcPr>
          <w:p w14:paraId="06A1F861">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年初</w:t>
            </w:r>
          </w:p>
        </w:tc>
        <w:tc>
          <w:tcPr>
            <w:tcW w:w="605" w:type="pct"/>
            <w:shd w:val="clear" w:color="auto" w:fill="auto"/>
            <w:tcMar>
              <w:top w:w="72" w:type="dxa"/>
              <w:left w:w="108" w:type="dxa"/>
              <w:bottom w:w="72" w:type="dxa"/>
              <w:right w:w="108" w:type="dxa"/>
            </w:tcMar>
            <w:vAlign w:val="top"/>
          </w:tcPr>
          <w:p w14:paraId="408F2CB0">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年末</w:t>
            </w:r>
          </w:p>
        </w:tc>
        <w:tc>
          <w:tcPr>
            <w:tcW w:w="1719" w:type="pct"/>
            <w:shd w:val="clear" w:color="auto" w:fill="auto"/>
            <w:tcMar>
              <w:top w:w="72" w:type="dxa"/>
              <w:left w:w="108" w:type="dxa"/>
              <w:bottom w:w="72" w:type="dxa"/>
              <w:right w:w="108" w:type="dxa"/>
            </w:tcMar>
            <w:vAlign w:val="top"/>
          </w:tcPr>
          <w:p w14:paraId="2AA294EA">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 </w:t>
            </w:r>
          </w:p>
        </w:tc>
        <w:tc>
          <w:tcPr>
            <w:tcW w:w="604" w:type="pct"/>
            <w:shd w:val="clear" w:color="auto" w:fill="auto"/>
            <w:tcMar>
              <w:top w:w="72" w:type="dxa"/>
              <w:left w:w="108" w:type="dxa"/>
              <w:bottom w:w="72" w:type="dxa"/>
              <w:right w:w="108" w:type="dxa"/>
            </w:tcMar>
            <w:vAlign w:val="top"/>
          </w:tcPr>
          <w:p w14:paraId="4257148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年初</w:t>
            </w:r>
          </w:p>
        </w:tc>
        <w:tc>
          <w:tcPr>
            <w:tcW w:w="605" w:type="pct"/>
            <w:shd w:val="clear" w:color="auto" w:fill="auto"/>
            <w:tcMar>
              <w:top w:w="72" w:type="dxa"/>
              <w:left w:w="108" w:type="dxa"/>
              <w:bottom w:w="72" w:type="dxa"/>
              <w:right w:w="108" w:type="dxa"/>
            </w:tcMar>
            <w:vAlign w:val="top"/>
          </w:tcPr>
          <w:p w14:paraId="6B7B286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年末</w:t>
            </w:r>
          </w:p>
        </w:tc>
      </w:tr>
      <w:tr w14:paraId="5C18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 w:hRule="atLeast"/>
        </w:trPr>
        <w:tc>
          <w:tcPr>
            <w:tcW w:w="861" w:type="pct"/>
            <w:shd w:val="clear" w:color="auto" w:fill="auto"/>
            <w:tcMar>
              <w:top w:w="72" w:type="dxa"/>
              <w:left w:w="108" w:type="dxa"/>
              <w:bottom w:w="72" w:type="dxa"/>
              <w:right w:w="108" w:type="dxa"/>
            </w:tcMar>
            <w:vAlign w:val="top"/>
          </w:tcPr>
          <w:p w14:paraId="0A8F063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货币资金</w:t>
            </w:r>
          </w:p>
        </w:tc>
        <w:tc>
          <w:tcPr>
            <w:tcW w:w="604" w:type="pct"/>
            <w:shd w:val="clear" w:color="auto" w:fill="auto"/>
            <w:tcMar>
              <w:top w:w="72" w:type="dxa"/>
              <w:left w:w="108" w:type="dxa"/>
              <w:bottom w:w="72" w:type="dxa"/>
              <w:right w:w="108" w:type="dxa"/>
            </w:tcMar>
            <w:vAlign w:val="top"/>
          </w:tcPr>
          <w:p w14:paraId="4F332EC2">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4400</w:t>
            </w:r>
          </w:p>
        </w:tc>
        <w:tc>
          <w:tcPr>
            <w:tcW w:w="605" w:type="pct"/>
            <w:shd w:val="clear" w:color="auto" w:fill="auto"/>
            <w:tcMar>
              <w:top w:w="72" w:type="dxa"/>
              <w:left w:w="108" w:type="dxa"/>
              <w:bottom w:w="72" w:type="dxa"/>
              <w:right w:w="108" w:type="dxa"/>
            </w:tcMar>
            <w:vAlign w:val="top"/>
          </w:tcPr>
          <w:p w14:paraId="6CA215B9">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4000</w:t>
            </w:r>
          </w:p>
        </w:tc>
        <w:tc>
          <w:tcPr>
            <w:tcW w:w="1719" w:type="pct"/>
            <w:shd w:val="clear" w:color="auto" w:fill="auto"/>
            <w:tcMar>
              <w:top w:w="72" w:type="dxa"/>
              <w:left w:w="108" w:type="dxa"/>
              <w:bottom w:w="72" w:type="dxa"/>
              <w:right w:w="108" w:type="dxa"/>
            </w:tcMar>
            <w:vAlign w:val="top"/>
          </w:tcPr>
          <w:p w14:paraId="734FDA9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短期借款</w:t>
            </w:r>
          </w:p>
        </w:tc>
        <w:tc>
          <w:tcPr>
            <w:tcW w:w="604" w:type="pct"/>
            <w:shd w:val="clear" w:color="auto" w:fill="auto"/>
            <w:tcMar>
              <w:top w:w="72" w:type="dxa"/>
              <w:left w:w="108" w:type="dxa"/>
              <w:bottom w:w="72" w:type="dxa"/>
              <w:right w:w="108" w:type="dxa"/>
            </w:tcMar>
            <w:vAlign w:val="top"/>
          </w:tcPr>
          <w:p w14:paraId="2FA9D07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5700</w:t>
            </w:r>
          </w:p>
        </w:tc>
        <w:tc>
          <w:tcPr>
            <w:tcW w:w="605" w:type="pct"/>
            <w:shd w:val="clear" w:color="auto" w:fill="auto"/>
            <w:tcMar>
              <w:top w:w="72" w:type="dxa"/>
              <w:left w:w="108" w:type="dxa"/>
              <w:bottom w:w="72" w:type="dxa"/>
              <w:right w:w="108" w:type="dxa"/>
            </w:tcMar>
            <w:vAlign w:val="top"/>
          </w:tcPr>
          <w:p w14:paraId="21E43596">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5500</w:t>
            </w:r>
          </w:p>
        </w:tc>
      </w:tr>
      <w:tr w14:paraId="7894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 w:hRule="atLeast"/>
        </w:trPr>
        <w:tc>
          <w:tcPr>
            <w:tcW w:w="861" w:type="pct"/>
            <w:shd w:val="clear" w:color="auto" w:fill="auto"/>
            <w:tcMar>
              <w:top w:w="72" w:type="dxa"/>
              <w:left w:w="108" w:type="dxa"/>
              <w:bottom w:w="72" w:type="dxa"/>
              <w:right w:w="108" w:type="dxa"/>
            </w:tcMar>
            <w:vAlign w:val="top"/>
          </w:tcPr>
          <w:p w14:paraId="4959722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应收账款</w:t>
            </w:r>
          </w:p>
        </w:tc>
        <w:tc>
          <w:tcPr>
            <w:tcW w:w="604" w:type="pct"/>
            <w:shd w:val="clear" w:color="auto" w:fill="auto"/>
            <w:tcMar>
              <w:top w:w="72" w:type="dxa"/>
              <w:left w:w="108" w:type="dxa"/>
              <w:bottom w:w="72" w:type="dxa"/>
              <w:right w:w="108" w:type="dxa"/>
            </w:tcMar>
            <w:vAlign w:val="top"/>
          </w:tcPr>
          <w:p w14:paraId="72A0258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4000</w:t>
            </w:r>
          </w:p>
        </w:tc>
        <w:tc>
          <w:tcPr>
            <w:tcW w:w="605" w:type="pct"/>
            <w:shd w:val="clear" w:color="auto" w:fill="auto"/>
            <w:tcMar>
              <w:top w:w="72" w:type="dxa"/>
              <w:left w:w="108" w:type="dxa"/>
              <w:bottom w:w="72" w:type="dxa"/>
              <w:right w:w="108" w:type="dxa"/>
            </w:tcMar>
            <w:vAlign w:val="top"/>
          </w:tcPr>
          <w:p w14:paraId="3BA21666">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6000</w:t>
            </w:r>
          </w:p>
        </w:tc>
        <w:tc>
          <w:tcPr>
            <w:tcW w:w="1719" w:type="pct"/>
            <w:shd w:val="clear" w:color="auto" w:fill="auto"/>
            <w:tcMar>
              <w:top w:w="72" w:type="dxa"/>
              <w:left w:w="108" w:type="dxa"/>
              <w:bottom w:w="72" w:type="dxa"/>
              <w:right w:w="108" w:type="dxa"/>
            </w:tcMar>
            <w:vAlign w:val="top"/>
          </w:tcPr>
          <w:p w14:paraId="241AC712">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应付账款</w:t>
            </w:r>
          </w:p>
        </w:tc>
        <w:tc>
          <w:tcPr>
            <w:tcW w:w="604" w:type="pct"/>
            <w:shd w:val="clear" w:color="auto" w:fill="auto"/>
            <w:tcMar>
              <w:top w:w="72" w:type="dxa"/>
              <w:left w:w="108" w:type="dxa"/>
              <w:bottom w:w="72" w:type="dxa"/>
              <w:right w:w="108" w:type="dxa"/>
            </w:tcMar>
            <w:vAlign w:val="top"/>
          </w:tcPr>
          <w:p w14:paraId="6080DCC5">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3500</w:t>
            </w:r>
          </w:p>
        </w:tc>
        <w:tc>
          <w:tcPr>
            <w:tcW w:w="605" w:type="pct"/>
            <w:shd w:val="clear" w:color="auto" w:fill="auto"/>
            <w:tcMar>
              <w:top w:w="72" w:type="dxa"/>
              <w:left w:w="108" w:type="dxa"/>
              <w:bottom w:w="72" w:type="dxa"/>
              <w:right w:w="108" w:type="dxa"/>
            </w:tcMar>
            <w:vAlign w:val="top"/>
          </w:tcPr>
          <w:p w14:paraId="6240C93B">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4500</w:t>
            </w:r>
          </w:p>
        </w:tc>
      </w:tr>
      <w:tr w14:paraId="76B1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 w:hRule="atLeast"/>
        </w:trPr>
        <w:tc>
          <w:tcPr>
            <w:tcW w:w="861" w:type="pct"/>
            <w:shd w:val="clear" w:color="auto" w:fill="auto"/>
            <w:tcMar>
              <w:top w:w="72" w:type="dxa"/>
              <w:left w:w="108" w:type="dxa"/>
              <w:bottom w:w="72" w:type="dxa"/>
              <w:right w:w="108" w:type="dxa"/>
            </w:tcMar>
            <w:vAlign w:val="top"/>
          </w:tcPr>
          <w:p w14:paraId="295A526B">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存货</w:t>
            </w:r>
          </w:p>
        </w:tc>
        <w:tc>
          <w:tcPr>
            <w:tcW w:w="604" w:type="pct"/>
            <w:shd w:val="clear" w:color="auto" w:fill="auto"/>
            <w:tcMar>
              <w:top w:w="72" w:type="dxa"/>
              <w:left w:w="108" w:type="dxa"/>
              <w:bottom w:w="72" w:type="dxa"/>
              <w:right w:w="108" w:type="dxa"/>
            </w:tcMar>
            <w:vAlign w:val="top"/>
          </w:tcPr>
          <w:p w14:paraId="7CB75D00">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4500</w:t>
            </w:r>
          </w:p>
        </w:tc>
        <w:tc>
          <w:tcPr>
            <w:tcW w:w="605" w:type="pct"/>
            <w:shd w:val="clear" w:color="auto" w:fill="auto"/>
            <w:tcMar>
              <w:top w:w="72" w:type="dxa"/>
              <w:left w:w="108" w:type="dxa"/>
              <w:bottom w:w="72" w:type="dxa"/>
              <w:right w:w="108" w:type="dxa"/>
            </w:tcMar>
            <w:vAlign w:val="top"/>
          </w:tcPr>
          <w:p w14:paraId="09A4CAB4">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5500</w:t>
            </w:r>
          </w:p>
        </w:tc>
        <w:tc>
          <w:tcPr>
            <w:tcW w:w="1719" w:type="pct"/>
            <w:shd w:val="clear" w:color="auto" w:fill="auto"/>
            <w:tcMar>
              <w:top w:w="72" w:type="dxa"/>
              <w:left w:w="108" w:type="dxa"/>
              <w:bottom w:w="72" w:type="dxa"/>
              <w:right w:w="108" w:type="dxa"/>
            </w:tcMar>
            <w:vAlign w:val="top"/>
          </w:tcPr>
          <w:p w14:paraId="367BD681">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长期借款</w:t>
            </w:r>
          </w:p>
        </w:tc>
        <w:tc>
          <w:tcPr>
            <w:tcW w:w="604" w:type="pct"/>
            <w:shd w:val="clear" w:color="auto" w:fill="auto"/>
            <w:tcMar>
              <w:top w:w="72" w:type="dxa"/>
              <w:left w:w="108" w:type="dxa"/>
              <w:bottom w:w="72" w:type="dxa"/>
              <w:right w:w="108" w:type="dxa"/>
            </w:tcMar>
            <w:vAlign w:val="top"/>
          </w:tcPr>
          <w:p w14:paraId="2819B89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8300</w:t>
            </w:r>
          </w:p>
        </w:tc>
        <w:tc>
          <w:tcPr>
            <w:tcW w:w="605" w:type="pct"/>
            <w:shd w:val="clear" w:color="auto" w:fill="auto"/>
            <w:tcMar>
              <w:top w:w="72" w:type="dxa"/>
              <w:left w:w="108" w:type="dxa"/>
              <w:bottom w:w="72" w:type="dxa"/>
              <w:right w:w="108" w:type="dxa"/>
            </w:tcMar>
            <w:vAlign w:val="top"/>
          </w:tcPr>
          <w:p w14:paraId="5653D2E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7400</w:t>
            </w:r>
          </w:p>
        </w:tc>
      </w:tr>
      <w:tr w14:paraId="181B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8" w:hRule="atLeast"/>
        </w:trPr>
        <w:tc>
          <w:tcPr>
            <w:tcW w:w="861" w:type="pct"/>
            <w:shd w:val="clear" w:color="auto" w:fill="auto"/>
            <w:tcMar>
              <w:top w:w="72" w:type="dxa"/>
              <w:left w:w="108" w:type="dxa"/>
              <w:bottom w:w="72" w:type="dxa"/>
              <w:right w:w="108" w:type="dxa"/>
            </w:tcMar>
            <w:vAlign w:val="top"/>
          </w:tcPr>
          <w:p w14:paraId="53B98046">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固定资产</w:t>
            </w:r>
          </w:p>
        </w:tc>
        <w:tc>
          <w:tcPr>
            <w:tcW w:w="604" w:type="pct"/>
            <w:shd w:val="clear" w:color="auto" w:fill="auto"/>
            <w:tcMar>
              <w:top w:w="72" w:type="dxa"/>
              <w:left w:w="108" w:type="dxa"/>
              <w:bottom w:w="72" w:type="dxa"/>
              <w:right w:w="108" w:type="dxa"/>
            </w:tcMar>
            <w:vAlign w:val="top"/>
          </w:tcPr>
          <w:p w14:paraId="597FF95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17900</w:t>
            </w:r>
          </w:p>
        </w:tc>
        <w:tc>
          <w:tcPr>
            <w:tcW w:w="605" w:type="pct"/>
            <w:shd w:val="clear" w:color="auto" w:fill="auto"/>
            <w:tcMar>
              <w:top w:w="72" w:type="dxa"/>
              <w:left w:w="108" w:type="dxa"/>
              <w:bottom w:w="72" w:type="dxa"/>
              <w:right w:w="108" w:type="dxa"/>
            </w:tcMar>
            <w:vAlign w:val="top"/>
          </w:tcPr>
          <w:p w14:paraId="33392647">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17400</w:t>
            </w:r>
          </w:p>
        </w:tc>
        <w:tc>
          <w:tcPr>
            <w:tcW w:w="1719" w:type="pct"/>
            <w:shd w:val="clear" w:color="auto" w:fill="auto"/>
            <w:tcMar>
              <w:top w:w="72" w:type="dxa"/>
              <w:left w:w="108" w:type="dxa"/>
              <w:bottom w:w="72" w:type="dxa"/>
              <w:right w:w="108" w:type="dxa"/>
            </w:tcMar>
            <w:vAlign w:val="top"/>
          </w:tcPr>
          <w:p w14:paraId="797EF6B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股本</w:t>
            </w:r>
          </w:p>
        </w:tc>
        <w:tc>
          <w:tcPr>
            <w:tcW w:w="604" w:type="pct"/>
            <w:shd w:val="clear" w:color="auto" w:fill="auto"/>
            <w:tcMar>
              <w:top w:w="72" w:type="dxa"/>
              <w:left w:w="108" w:type="dxa"/>
              <w:bottom w:w="72" w:type="dxa"/>
              <w:right w:w="108" w:type="dxa"/>
            </w:tcMar>
            <w:vAlign w:val="top"/>
          </w:tcPr>
          <w:p w14:paraId="61F9C37E">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20000</w:t>
            </w:r>
          </w:p>
        </w:tc>
        <w:tc>
          <w:tcPr>
            <w:tcW w:w="605" w:type="pct"/>
            <w:shd w:val="clear" w:color="auto" w:fill="auto"/>
            <w:tcMar>
              <w:top w:w="72" w:type="dxa"/>
              <w:left w:w="108" w:type="dxa"/>
              <w:bottom w:w="72" w:type="dxa"/>
              <w:right w:w="108" w:type="dxa"/>
            </w:tcMar>
            <w:vAlign w:val="top"/>
          </w:tcPr>
          <w:p w14:paraId="36D0CFE1">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20000</w:t>
            </w:r>
          </w:p>
        </w:tc>
      </w:tr>
      <w:tr w14:paraId="62AC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 w:hRule="atLeast"/>
        </w:trPr>
        <w:tc>
          <w:tcPr>
            <w:tcW w:w="861" w:type="pct"/>
            <w:shd w:val="clear" w:color="auto" w:fill="auto"/>
            <w:tcMar>
              <w:top w:w="72" w:type="dxa"/>
              <w:left w:w="108" w:type="dxa"/>
              <w:bottom w:w="72" w:type="dxa"/>
              <w:right w:w="108" w:type="dxa"/>
            </w:tcMar>
            <w:vAlign w:val="top"/>
          </w:tcPr>
          <w:p w14:paraId="1CCA2D2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无形资产</w:t>
            </w:r>
          </w:p>
        </w:tc>
        <w:tc>
          <w:tcPr>
            <w:tcW w:w="604" w:type="pct"/>
            <w:shd w:val="clear" w:color="auto" w:fill="auto"/>
            <w:tcMar>
              <w:top w:w="72" w:type="dxa"/>
              <w:left w:w="108" w:type="dxa"/>
              <w:bottom w:w="72" w:type="dxa"/>
              <w:right w:w="108" w:type="dxa"/>
            </w:tcMar>
            <w:vAlign w:val="top"/>
          </w:tcPr>
          <w:p w14:paraId="771AA7B3">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8000</w:t>
            </w:r>
          </w:p>
        </w:tc>
        <w:tc>
          <w:tcPr>
            <w:tcW w:w="605" w:type="pct"/>
            <w:shd w:val="clear" w:color="auto" w:fill="auto"/>
            <w:tcMar>
              <w:top w:w="72" w:type="dxa"/>
              <w:left w:w="108" w:type="dxa"/>
              <w:bottom w:w="72" w:type="dxa"/>
              <w:right w:w="108" w:type="dxa"/>
            </w:tcMar>
            <w:vAlign w:val="top"/>
          </w:tcPr>
          <w:p w14:paraId="34952C81">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8000</w:t>
            </w:r>
          </w:p>
        </w:tc>
        <w:tc>
          <w:tcPr>
            <w:tcW w:w="1719" w:type="pct"/>
            <w:shd w:val="clear" w:color="auto" w:fill="auto"/>
            <w:tcMar>
              <w:top w:w="72" w:type="dxa"/>
              <w:left w:w="108" w:type="dxa"/>
              <w:bottom w:w="72" w:type="dxa"/>
              <w:right w:w="108" w:type="dxa"/>
            </w:tcMar>
            <w:vAlign w:val="top"/>
          </w:tcPr>
          <w:p w14:paraId="50EDAE66">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留存收益</w:t>
            </w:r>
          </w:p>
        </w:tc>
        <w:tc>
          <w:tcPr>
            <w:tcW w:w="604" w:type="pct"/>
            <w:shd w:val="clear" w:color="auto" w:fill="auto"/>
            <w:tcMar>
              <w:top w:w="72" w:type="dxa"/>
              <w:left w:w="108" w:type="dxa"/>
              <w:bottom w:w="72" w:type="dxa"/>
              <w:right w:w="108" w:type="dxa"/>
            </w:tcMar>
            <w:vAlign w:val="top"/>
          </w:tcPr>
          <w:p w14:paraId="20B2C912">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1300</w:t>
            </w:r>
          </w:p>
        </w:tc>
        <w:tc>
          <w:tcPr>
            <w:tcW w:w="605" w:type="pct"/>
            <w:shd w:val="clear" w:color="auto" w:fill="auto"/>
            <w:tcMar>
              <w:top w:w="72" w:type="dxa"/>
              <w:left w:w="108" w:type="dxa"/>
              <w:bottom w:w="72" w:type="dxa"/>
              <w:right w:w="108" w:type="dxa"/>
            </w:tcMar>
            <w:vAlign w:val="top"/>
          </w:tcPr>
          <w:p w14:paraId="61F34DAB">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3500</w:t>
            </w:r>
          </w:p>
        </w:tc>
      </w:tr>
      <w:tr w14:paraId="6974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8" w:hRule="atLeast"/>
        </w:trPr>
        <w:tc>
          <w:tcPr>
            <w:tcW w:w="861" w:type="pct"/>
            <w:shd w:val="clear" w:color="auto" w:fill="auto"/>
            <w:tcMar>
              <w:top w:w="72" w:type="dxa"/>
              <w:left w:w="108" w:type="dxa"/>
              <w:bottom w:w="72" w:type="dxa"/>
              <w:right w:w="108" w:type="dxa"/>
            </w:tcMar>
            <w:vAlign w:val="top"/>
          </w:tcPr>
          <w:p w14:paraId="6AAF3021">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资产合计</w:t>
            </w:r>
          </w:p>
        </w:tc>
        <w:tc>
          <w:tcPr>
            <w:tcW w:w="604" w:type="pct"/>
            <w:shd w:val="clear" w:color="auto" w:fill="auto"/>
            <w:tcMar>
              <w:top w:w="72" w:type="dxa"/>
              <w:left w:w="108" w:type="dxa"/>
              <w:bottom w:w="72" w:type="dxa"/>
              <w:right w:w="108" w:type="dxa"/>
            </w:tcMar>
            <w:vAlign w:val="top"/>
          </w:tcPr>
          <w:p w14:paraId="3322D7EB">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38800</w:t>
            </w:r>
          </w:p>
        </w:tc>
        <w:tc>
          <w:tcPr>
            <w:tcW w:w="605" w:type="pct"/>
            <w:shd w:val="clear" w:color="auto" w:fill="auto"/>
            <w:tcMar>
              <w:top w:w="72" w:type="dxa"/>
              <w:left w:w="108" w:type="dxa"/>
              <w:bottom w:w="72" w:type="dxa"/>
              <w:right w:w="108" w:type="dxa"/>
            </w:tcMar>
            <w:vAlign w:val="top"/>
          </w:tcPr>
          <w:p w14:paraId="19FFB5BC">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40900</w:t>
            </w:r>
          </w:p>
        </w:tc>
        <w:tc>
          <w:tcPr>
            <w:tcW w:w="1719" w:type="pct"/>
            <w:shd w:val="clear" w:color="auto" w:fill="auto"/>
            <w:tcMar>
              <w:top w:w="72" w:type="dxa"/>
              <w:left w:w="108" w:type="dxa"/>
              <w:bottom w:w="72" w:type="dxa"/>
              <w:right w:w="108" w:type="dxa"/>
            </w:tcMar>
            <w:vAlign w:val="top"/>
          </w:tcPr>
          <w:p w14:paraId="366BE319">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负债与股东权益合计</w:t>
            </w:r>
          </w:p>
        </w:tc>
        <w:tc>
          <w:tcPr>
            <w:tcW w:w="604" w:type="pct"/>
            <w:shd w:val="clear" w:color="auto" w:fill="auto"/>
            <w:tcMar>
              <w:top w:w="72" w:type="dxa"/>
              <w:left w:w="108" w:type="dxa"/>
              <w:bottom w:w="72" w:type="dxa"/>
              <w:right w:w="108" w:type="dxa"/>
            </w:tcMar>
            <w:vAlign w:val="top"/>
          </w:tcPr>
          <w:p w14:paraId="701EA4AA">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38800</w:t>
            </w:r>
          </w:p>
        </w:tc>
        <w:tc>
          <w:tcPr>
            <w:tcW w:w="605" w:type="pct"/>
            <w:shd w:val="clear" w:color="auto" w:fill="auto"/>
            <w:tcMar>
              <w:top w:w="72" w:type="dxa"/>
              <w:left w:w="108" w:type="dxa"/>
              <w:bottom w:w="72" w:type="dxa"/>
              <w:right w:w="108" w:type="dxa"/>
            </w:tcMar>
            <w:vAlign w:val="top"/>
          </w:tcPr>
          <w:p w14:paraId="2537A1F6">
            <w:pPr>
              <w:pStyle w:val="11"/>
              <w:keepNext w:val="0"/>
              <w:keepLines w:val="0"/>
              <w:widowControl/>
              <w:suppressLineNumbers w:val="0"/>
              <w:kinsoku/>
              <w:wordWrap/>
              <w:overflowPunct/>
              <w:bidi w:val="0"/>
              <w:spacing w:before="0" w:beforeAutospacing="0" w:after="0" w:afterAutospacing="0" w:line="273" w:lineRule="auto"/>
              <w:ind w:left="0" w:right="0"/>
              <w:jc w:val="left"/>
              <w:rPr>
                <w:rFonts w:hint="eastAsia" w:ascii="宋体" w:hAnsi="宋体" w:eastAsia="宋体" w:cs="宋体"/>
                <w:sz w:val="21"/>
                <w:szCs w:val="21"/>
              </w:rPr>
            </w:pPr>
            <w:r>
              <w:rPr>
                <w:rFonts w:hint="eastAsia" w:ascii="宋体" w:hAnsi="宋体" w:eastAsia="宋体" w:cs="宋体"/>
                <w:i w:val="0"/>
                <w:iCs w:val="0"/>
                <w:color w:val="auto"/>
                <w:kern w:val="24"/>
                <w:sz w:val="21"/>
                <w:szCs w:val="21"/>
                <w:u w:val="none"/>
              </w:rPr>
              <w:t>40900</w:t>
            </w:r>
          </w:p>
        </w:tc>
      </w:tr>
    </w:tbl>
    <w:p w14:paraId="6421A43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资料二：</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年营业收入为</w:t>
      </w:r>
      <w:r>
        <w:rPr>
          <w:rFonts w:hint="eastAsia" w:ascii="宋体" w:hAnsi="宋体" w:eastAsia="宋体" w:cs="宋体"/>
          <w:color w:val="auto"/>
          <w:sz w:val="21"/>
          <w:szCs w:val="21"/>
          <w:lang w:val="en-US" w:eastAsia="zh-CN"/>
        </w:rPr>
        <w:t>50000</w:t>
      </w:r>
      <w:r>
        <w:rPr>
          <w:rFonts w:hint="eastAsia" w:ascii="宋体" w:hAnsi="宋体" w:eastAsia="宋体" w:cs="宋体"/>
          <w:color w:val="auto"/>
          <w:sz w:val="21"/>
          <w:szCs w:val="21"/>
        </w:rPr>
        <w:t>万元，营业成本为</w:t>
      </w:r>
      <w:r>
        <w:rPr>
          <w:rFonts w:hint="eastAsia" w:ascii="宋体" w:hAnsi="宋体" w:eastAsia="宋体" w:cs="宋体"/>
          <w:color w:val="auto"/>
          <w:sz w:val="21"/>
          <w:szCs w:val="21"/>
          <w:lang w:val="en-US" w:eastAsia="zh-CN"/>
        </w:rPr>
        <w:t>40000</w:t>
      </w:r>
      <w:r>
        <w:rPr>
          <w:rFonts w:hint="eastAsia" w:ascii="宋体" w:hAnsi="宋体" w:eastAsia="宋体" w:cs="宋体"/>
          <w:color w:val="auto"/>
          <w:sz w:val="21"/>
          <w:szCs w:val="21"/>
        </w:rPr>
        <w:t>万元。</w:t>
      </w:r>
    </w:p>
    <w:p w14:paraId="1B3B947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资料三：</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年应付账款周转期为</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天，一年按照</w:t>
      </w:r>
      <w:r>
        <w:rPr>
          <w:rFonts w:hint="eastAsia" w:ascii="宋体" w:hAnsi="宋体" w:eastAsia="宋体" w:cs="宋体"/>
          <w:color w:val="auto"/>
          <w:sz w:val="21"/>
          <w:szCs w:val="21"/>
          <w:lang w:val="en-US" w:eastAsia="zh-CN"/>
        </w:rPr>
        <w:t>360</w:t>
      </w:r>
      <w:r>
        <w:rPr>
          <w:rFonts w:hint="eastAsia" w:ascii="宋体" w:hAnsi="宋体" w:eastAsia="宋体" w:cs="宋体"/>
          <w:color w:val="auto"/>
          <w:sz w:val="21"/>
          <w:szCs w:val="21"/>
        </w:rPr>
        <w:t>天计算。</w:t>
      </w:r>
    </w:p>
    <w:p w14:paraId="6ECDF58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资料四：预计</w:t>
      </w:r>
      <w:r>
        <w:rPr>
          <w:rFonts w:hint="eastAsia" w:ascii="宋体" w:hAnsi="宋体" w:eastAsia="宋体" w:cs="宋体"/>
          <w:color w:val="auto"/>
          <w:sz w:val="21"/>
          <w:szCs w:val="21"/>
          <w:lang w:val="en-US" w:eastAsia="zh-CN"/>
        </w:rPr>
        <w:t>2021</w:t>
      </w:r>
      <w:r>
        <w:rPr>
          <w:rFonts w:hint="eastAsia" w:ascii="宋体" w:hAnsi="宋体" w:eastAsia="宋体" w:cs="宋体"/>
          <w:color w:val="auto"/>
          <w:sz w:val="21"/>
          <w:szCs w:val="21"/>
        </w:rPr>
        <w:t>年营业收入将达到</w:t>
      </w:r>
      <w:r>
        <w:rPr>
          <w:rFonts w:hint="eastAsia" w:ascii="宋体" w:hAnsi="宋体" w:eastAsia="宋体" w:cs="宋体"/>
          <w:color w:val="auto"/>
          <w:sz w:val="21"/>
          <w:szCs w:val="21"/>
          <w:lang w:val="en-US" w:eastAsia="zh-CN"/>
        </w:rPr>
        <w:t>70000</w:t>
      </w:r>
      <w:r>
        <w:rPr>
          <w:rFonts w:hint="eastAsia" w:ascii="宋体" w:hAnsi="宋体" w:eastAsia="宋体" w:cs="宋体"/>
          <w:color w:val="auto"/>
          <w:sz w:val="21"/>
          <w:szCs w:val="21"/>
        </w:rPr>
        <w:t>万元，净利润为</w:t>
      </w:r>
      <w:r>
        <w:rPr>
          <w:rFonts w:hint="eastAsia" w:ascii="宋体" w:hAnsi="宋体" w:eastAsia="宋体" w:cs="宋体"/>
          <w:color w:val="auto"/>
          <w:sz w:val="21"/>
          <w:szCs w:val="21"/>
          <w:lang w:val="en-US" w:eastAsia="zh-CN"/>
        </w:rPr>
        <w:t>7000</w:t>
      </w:r>
      <w:r>
        <w:rPr>
          <w:rFonts w:hint="eastAsia" w:ascii="宋体" w:hAnsi="宋体" w:eastAsia="宋体" w:cs="宋体"/>
          <w:color w:val="auto"/>
          <w:sz w:val="21"/>
          <w:szCs w:val="21"/>
        </w:rPr>
        <w:t>万元，利润留存率为</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。假设</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年末的货币资金、应收账款、存货、应付账款与营业收入的比例关系不变。此外，因销售量增长，生产能力不足，公司需要在</w:t>
      </w:r>
      <w:r>
        <w:rPr>
          <w:rFonts w:hint="eastAsia" w:ascii="宋体" w:hAnsi="宋体" w:eastAsia="宋体" w:cs="宋体"/>
          <w:color w:val="auto"/>
          <w:sz w:val="21"/>
          <w:szCs w:val="21"/>
          <w:lang w:val="en-US" w:eastAsia="zh-CN"/>
        </w:rPr>
        <w:t>2021</w:t>
      </w:r>
      <w:r>
        <w:rPr>
          <w:rFonts w:hint="eastAsia" w:ascii="宋体" w:hAnsi="宋体" w:eastAsia="宋体" w:cs="宋体"/>
          <w:color w:val="auto"/>
          <w:sz w:val="21"/>
          <w:szCs w:val="21"/>
        </w:rPr>
        <w:t>年追加固定资产投资</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万元。</w:t>
      </w:r>
    </w:p>
    <w:p w14:paraId="4A9CF6D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资料五：对于外部资金需求，公司选择按面值发行债券，期限</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年，票面利率</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，每年付息一次，到期一次性还本，发行费率</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，企业所得税率</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w:t>
      </w:r>
    </w:p>
    <w:p w14:paraId="7AF99B5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要求：</w:t>
      </w:r>
    </w:p>
    <w:p w14:paraId="3F3BEFC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）根据资料一，计算</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年年末的流动比率、速动比率、现金比率。</w:t>
      </w:r>
    </w:p>
    <w:p w14:paraId="69EA9CD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根据资料一和资料二，计算</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年总资产周转率及年末权益乘数。</w:t>
      </w:r>
    </w:p>
    <w:p w14:paraId="61DA256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）根据资料一、资料二和资料三，计算</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rPr>
        <w:t>年的应收账款周转期、存货周转期、经营周期、现金周转期。</w:t>
      </w:r>
    </w:p>
    <w:p w14:paraId="1319ED43">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）计算</w:t>
      </w:r>
      <w:r>
        <w:rPr>
          <w:rFonts w:hint="eastAsia" w:ascii="宋体" w:hAnsi="宋体" w:eastAsia="宋体" w:cs="宋体"/>
          <w:color w:val="auto"/>
          <w:sz w:val="21"/>
          <w:szCs w:val="21"/>
          <w:lang w:val="en-US" w:eastAsia="zh-CN"/>
        </w:rPr>
        <w:t>2021</w:t>
      </w:r>
      <w:r>
        <w:rPr>
          <w:rFonts w:hint="eastAsia" w:ascii="宋体" w:hAnsi="宋体" w:eastAsia="宋体" w:cs="宋体"/>
          <w:color w:val="auto"/>
          <w:sz w:val="21"/>
          <w:szCs w:val="21"/>
        </w:rPr>
        <w:t>年外部融资需求量。</w:t>
      </w:r>
    </w:p>
    <w:p w14:paraId="3668AFB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）计算债券的资本成本率。</w:t>
      </w:r>
    </w:p>
    <w:p w14:paraId="4BC03791">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答案：</w:t>
      </w:r>
    </w:p>
    <w:p w14:paraId="5C63C06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流动比率＝（</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1.55</w:t>
      </w:r>
    </w:p>
    <w:p w14:paraId="30DD99A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速动比率＝（</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p>
    <w:p w14:paraId="41C8179A">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现金比率＝</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0.4</w:t>
      </w:r>
    </w:p>
    <w:p w14:paraId="64D0E92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总资产周转率＝</w:t>
      </w:r>
      <w:r>
        <w:rPr>
          <w:rFonts w:hint="eastAsia" w:ascii="宋体" w:hAnsi="宋体" w:eastAsia="宋体" w:cs="宋体"/>
          <w:color w:val="auto"/>
          <w:sz w:val="21"/>
          <w:szCs w:val="21"/>
          <w:lang w:val="en-US" w:eastAsia="zh-CN"/>
        </w:rPr>
        <w:t>50000/[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38800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40900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1.25</w:t>
      </w:r>
    </w:p>
    <w:p w14:paraId="471BB53F">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年末权益乘数＝</w:t>
      </w:r>
      <w:r>
        <w:rPr>
          <w:rFonts w:hint="eastAsia" w:ascii="宋体" w:hAnsi="宋体" w:eastAsia="宋体" w:cs="宋体"/>
          <w:color w:val="auto"/>
          <w:sz w:val="21"/>
          <w:szCs w:val="21"/>
          <w:lang w:val="en-US" w:eastAsia="zh-CN"/>
        </w:rPr>
        <w:t>40900/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1.74</w:t>
      </w:r>
    </w:p>
    <w:p w14:paraId="30BE64D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应收账款周转期＝</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50000/360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（天）</w:t>
      </w:r>
    </w:p>
    <w:p w14:paraId="06E42E6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或者：应收账款周转率＝</w:t>
      </w:r>
      <w:r>
        <w:rPr>
          <w:rFonts w:hint="eastAsia" w:ascii="宋体" w:hAnsi="宋体" w:eastAsia="宋体" w:cs="宋体"/>
          <w:color w:val="auto"/>
          <w:sz w:val="21"/>
          <w:szCs w:val="21"/>
          <w:lang w:val="en-US" w:eastAsia="zh-CN"/>
        </w:rPr>
        <w:t>50000/[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（次）</w:t>
      </w:r>
    </w:p>
    <w:p w14:paraId="1F438C3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应收账款周转期＝</w:t>
      </w:r>
      <w:r>
        <w:rPr>
          <w:rFonts w:hint="eastAsia" w:ascii="宋体" w:hAnsi="宋体" w:eastAsia="宋体" w:cs="宋体"/>
          <w:color w:val="auto"/>
          <w:sz w:val="21"/>
          <w:szCs w:val="21"/>
          <w:lang w:val="en-US" w:eastAsia="zh-CN"/>
        </w:rPr>
        <w:t xml:space="preserve">360/10 </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（天）</w:t>
      </w:r>
    </w:p>
    <w:p w14:paraId="5D8ECF4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存货周转期＝</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40000/360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（天）</w:t>
      </w:r>
    </w:p>
    <w:p w14:paraId="623CFB8D">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或者：存货周转率＝</w:t>
      </w:r>
      <w:r>
        <w:rPr>
          <w:rFonts w:hint="eastAsia" w:ascii="宋体" w:hAnsi="宋体" w:eastAsia="宋体" w:cs="宋体"/>
          <w:color w:val="auto"/>
          <w:sz w:val="21"/>
          <w:szCs w:val="21"/>
          <w:lang w:val="en-US" w:eastAsia="zh-CN"/>
        </w:rPr>
        <w:t>40000/[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（次）</w:t>
      </w:r>
    </w:p>
    <w:p w14:paraId="78788C35">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存货周转期＝</w:t>
      </w:r>
      <w:r>
        <w:rPr>
          <w:rFonts w:hint="eastAsia" w:ascii="宋体" w:hAnsi="宋体" w:eastAsia="宋体" w:cs="宋体"/>
          <w:color w:val="auto"/>
          <w:sz w:val="21"/>
          <w:szCs w:val="21"/>
          <w:lang w:val="en-US" w:eastAsia="zh-CN"/>
        </w:rPr>
        <w:t>360/8</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（天）</w:t>
      </w:r>
    </w:p>
    <w:p w14:paraId="2FA9105C">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经营周期＝</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81</w:t>
      </w:r>
      <w:r>
        <w:rPr>
          <w:rFonts w:hint="eastAsia" w:ascii="宋体" w:hAnsi="宋体" w:eastAsia="宋体" w:cs="宋体"/>
          <w:color w:val="auto"/>
          <w:sz w:val="21"/>
          <w:szCs w:val="21"/>
        </w:rPr>
        <w:t>（天）</w:t>
      </w:r>
    </w:p>
    <w:p w14:paraId="13B94234">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现金周转期＝</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（天）</w:t>
      </w:r>
    </w:p>
    <w:p w14:paraId="61838A56">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）营业收入增长率＝（</w:t>
      </w:r>
      <w:r>
        <w:rPr>
          <w:rFonts w:hint="eastAsia" w:ascii="宋体" w:hAnsi="宋体" w:eastAsia="宋体" w:cs="宋体"/>
          <w:color w:val="auto"/>
          <w:sz w:val="21"/>
          <w:szCs w:val="21"/>
          <w:lang w:val="en-US" w:eastAsia="zh-CN"/>
        </w:rPr>
        <w:t>70000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w:t>
      </w:r>
    </w:p>
    <w:p w14:paraId="3E810DEE">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需要增加的资金量＝（</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10400</w:t>
      </w:r>
      <w:r>
        <w:rPr>
          <w:rFonts w:hint="eastAsia" w:ascii="宋体" w:hAnsi="宋体" w:eastAsia="宋体" w:cs="宋体"/>
          <w:color w:val="auto"/>
          <w:sz w:val="21"/>
          <w:szCs w:val="21"/>
        </w:rPr>
        <w:t>（万元）留存收益增加额＝</w:t>
      </w:r>
      <w:r>
        <w:rPr>
          <w:rFonts w:hint="eastAsia" w:ascii="宋体" w:hAnsi="宋体" w:eastAsia="宋体" w:cs="宋体"/>
          <w:color w:val="auto"/>
          <w:sz w:val="21"/>
          <w:szCs w:val="21"/>
          <w:lang w:val="en-US" w:eastAsia="zh-CN"/>
        </w:rPr>
        <w:t>7000×40%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2800</w:t>
      </w:r>
      <w:r>
        <w:rPr>
          <w:rFonts w:hint="eastAsia" w:ascii="宋体" w:hAnsi="宋体" w:eastAsia="宋体" w:cs="宋体"/>
          <w:color w:val="auto"/>
          <w:sz w:val="21"/>
          <w:szCs w:val="21"/>
        </w:rPr>
        <w:t>（万元）</w:t>
      </w:r>
    </w:p>
    <w:p w14:paraId="5C347217">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外部融资需求量＝</w:t>
      </w:r>
      <w:r>
        <w:rPr>
          <w:rFonts w:hint="eastAsia" w:ascii="宋体" w:hAnsi="宋体" w:eastAsia="宋体" w:cs="宋体"/>
          <w:color w:val="auto"/>
          <w:sz w:val="21"/>
          <w:szCs w:val="21"/>
          <w:lang w:val="en-US" w:eastAsia="zh-CN"/>
        </w:rPr>
        <w:t>10400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2800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7600</w:t>
      </w:r>
      <w:r>
        <w:rPr>
          <w:rFonts w:hint="eastAsia" w:ascii="宋体" w:hAnsi="宋体" w:eastAsia="宋体" w:cs="宋体"/>
          <w:color w:val="auto"/>
          <w:sz w:val="21"/>
          <w:szCs w:val="21"/>
        </w:rPr>
        <w:t>（万元）</w:t>
      </w:r>
    </w:p>
    <w:p w14:paraId="76E99530">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）债券的资本成本率＝</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6.89%</w:t>
      </w:r>
    </w:p>
    <w:p w14:paraId="379D174B">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firstLine="0"/>
        <w:textAlignment w:val="auto"/>
        <w:outlineLvl w:val="9"/>
        <w:rPr>
          <w:rFonts w:hint="eastAsia" w:ascii="宋体" w:hAnsi="宋体" w:eastAsia="宋体" w:cs="宋体"/>
          <w:sz w:val="21"/>
          <w:szCs w:val="21"/>
        </w:rPr>
      </w:pPr>
    </w:p>
    <w:p w14:paraId="0972F17C">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sz w:val="21"/>
          <w:szCs w:val="21"/>
        </w:rPr>
      </w:pPr>
      <w:bookmarkStart w:id="0" w:name="_GoBack"/>
      <w:bookmarkEnd w:id="0"/>
    </w:p>
    <w:p w14:paraId="62993EE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p w14:paraId="399036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rPr>
          <w:rFonts w:hint="eastAsia" w:ascii="宋体" w:hAnsi="宋体" w:eastAsia="宋体" w:cs="宋体"/>
          <w:b w:val="0"/>
          <w:bCs w:val="0"/>
          <w:color w:val="000000" w:themeColor="text1"/>
          <w:sz w:val="21"/>
          <w:szCs w:val="21"/>
        </w:rPr>
      </w:pPr>
    </w:p>
    <w:sectPr>
      <w:pgSz w:w="12240" w:h="15840"/>
      <w:pgMar w:top="850" w:right="850" w:bottom="850" w:left="1134"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compressPunctuation"/>
  <w:doNotValidateAgainstSchema/>
  <w:doNotDemarcateInvalidXml/>
  <w:compat>
    <w:spaceForUL/>
    <w:balanceSingleByteDoubleByteWidth/>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growAutofit/>
    <w:useFELayout/>
    <w:doNotUseIndentAsNumberingTabStop/>
    <w:useAltKinsokuLineBreakRules/>
    <w:splitPgBreakAndParaMark/>
    <w:doNotVertAlignInTxbx/>
    <w:compatSetting w:name="compatibilityMode" w:uri="http://schemas.microsoft.com/office/word" w:val="11"/>
  </w:compat>
  <w:rsids>
    <w:rsidRoot w:val="00172A27"/>
    <w:rsid w:val="01967DCC"/>
    <w:rsid w:val="03E272F9"/>
    <w:rsid w:val="0BAA1044"/>
    <w:rsid w:val="0C811679"/>
    <w:rsid w:val="1EE14499"/>
    <w:rsid w:val="336631F3"/>
    <w:rsid w:val="39A9208B"/>
    <w:rsid w:val="3B547DD5"/>
    <w:rsid w:val="3C326368"/>
    <w:rsid w:val="41AF2209"/>
    <w:rsid w:val="476870E2"/>
    <w:rsid w:val="4AB97C54"/>
    <w:rsid w:val="4FAE1D52"/>
    <w:rsid w:val="513D15DF"/>
    <w:rsid w:val="56334D5F"/>
    <w:rsid w:val="5BEC1C38"/>
    <w:rsid w:val="64177A6E"/>
    <w:rsid w:val="642D54E3"/>
    <w:rsid w:val="673070E8"/>
    <w:rsid w:val="6AF93987"/>
    <w:rsid w:val="780B1240"/>
    <w:rsid w:val="7CCA06A0"/>
    <w:rsid w:val="7DC97B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iPriority="99" w:semiHidden="0" w:name="heading 1"/>
    <w:lsdException w:uiPriority="99" w:semiHidden="0" w:name="heading 2"/>
    <w:lsdException w:qFormat="1" w:uiPriority="99" w:semiHidden="0" w:name="heading 3"/>
    <w:lsdException w:uiPriority="99" w:semiHidden="0" w:name="heading 4"/>
    <w:lsdException w:uiPriority="99" w:semiHidden="0" w:name="heading 5"/>
    <w:lsdException w:uiPriority="99" w:semiHidden="0" w:name="heading 6"/>
    <w:lsdException w:uiPriority="99" w:semiHidden="0" w:name="heading 7"/>
    <w:lsdException w:uiPriority="99" w:semiHidden="0" w:name="heading 8"/>
    <w:lsdException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imes New Roman"/>
      <w:kern w:val="2"/>
      <w:sz w:val="21"/>
    </w:rPr>
  </w:style>
  <w:style w:type="paragraph" w:styleId="2">
    <w:name w:val="heading 1"/>
    <w:unhideWhenUsed/>
    <w:uiPriority w:val="99"/>
    <w:pPr>
      <w:widowControl w:val="0"/>
      <w:autoSpaceDE w:val="0"/>
      <w:autoSpaceDN w:val="0"/>
      <w:adjustRightInd w:val="0"/>
      <w:spacing w:beforeLines="0" w:afterLines="0"/>
      <w:ind w:left="663" w:hanging="663"/>
    </w:pPr>
    <w:rPr>
      <w:rFonts w:hint="default" w:ascii="Times New Roman" w:hAnsi="Times New Roman" w:eastAsia="宋体" w:cs="Times New Roman"/>
      <w:color w:val="000000"/>
      <w:sz w:val="78"/>
      <w:szCs w:val="24"/>
      <w:lang w:val="zh-CN"/>
    </w:rPr>
  </w:style>
  <w:style w:type="paragraph" w:styleId="3">
    <w:name w:val="heading 2"/>
    <w:unhideWhenUsed/>
    <w:uiPriority w:val="99"/>
    <w:pPr>
      <w:widowControl w:val="0"/>
      <w:autoSpaceDE w:val="0"/>
      <w:autoSpaceDN w:val="0"/>
      <w:adjustRightInd w:val="0"/>
      <w:spacing w:beforeLines="0" w:afterLines="0"/>
      <w:ind w:left="1430" w:hanging="548"/>
    </w:pPr>
    <w:rPr>
      <w:rFonts w:hint="default" w:ascii="Times New Roman" w:hAnsi="Times New Roman" w:eastAsia="宋体" w:cs="Times New Roman"/>
      <w:color w:val="000000"/>
      <w:sz w:val="70"/>
      <w:szCs w:val="24"/>
      <w:lang w:val="zh-CN"/>
    </w:rPr>
  </w:style>
  <w:style w:type="paragraph" w:styleId="4">
    <w:name w:val="heading 3"/>
    <w:unhideWhenUsed/>
    <w:qFormat/>
    <w:uiPriority w:val="99"/>
    <w:pPr>
      <w:widowControl w:val="0"/>
      <w:autoSpaceDE w:val="0"/>
      <w:autoSpaceDN w:val="0"/>
      <w:adjustRightInd w:val="0"/>
      <w:spacing w:beforeLines="0" w:afterLines="0"/>
      <w:ind w:left="2203" w:hanging="438"/>
    </w:pPr>
    <w:rPr>
      <w:rFonts w:hint="default" w:ascii="Times New Roman" w:hAnsi="Times New Roman" w:eastAsia="宋体" w:cs="Times New Roman"/>
      <w:color w:val="000000"/>
      <w:sz w:val="56"/>
      <w:szCs w:val="24"/>
      <w:lang w:val="zh-CN"/>
    </w:rPr>
  </w:style>
  <w:style w:type="paragraph" w:styleId="5">
    <w:name w:val="heading 4"/>
    <w:unhideWhenUsed/>
    <w:uiPriority w:val="99"/>
    <w:pPr>
      <w:widowControl w:val="0"/>
      <w:autoSpaceDE w:val="0"/>
      <w:autoSpaceDN w:val="0"/>
      <w:adjustRightInd w:val="0"/>
      <w:spacing w:beforeLines="0" w:afterLines="0"/>
      <w:ind w:left="3080" w:hanging="440"/>
    </w:pPr>
    <w:rPr>
      <w:rFonts w:hint="default" w:ascii="Times New Roman" w:hAnsi="Times New Roman" w:eastAsia="宋体" w:cs="Times New Roman"/>
      <w:color w:val="000000"/>
      <w:sz w:val="48"/>
      <w:szCs w:val="24"/>
      <w:lang w:val="zh-CN"/>
    </w:rPr>
  </w:style>
  <w:style w:type="paragraph" w:styleId="6">
    <w:name w:val="heading 5"/>
    <w:unhideWhenUsed/>
    <w:uiPriority w:val="99"/>
    <w:pPr>
      <w:widowControl w:val="0"/>
      <w:autoSpaceDE w:val="0"/>
      <w:autoSpaceDN w:val="0"/>
      <w:adjustRightInd w:val="0"/>
      <w:spacing w:beforeLines="0" w:afterLines="0"/>
      <w:ind w:left="3965" w:hanging="440"/>
    </w:pPr>
    <w:rPr>
      <w:rFonts w:hint="default" w:ascii="Times New Roman" w:hAnsi="Times New Roman" w:eastAsia="宋体" w:cs="Times New Roman"/>
      <w:color w:val="000000"/>
      <w:sz w:val="48"/>
      <w:szCs w:val="24"/>
      <w:lang w:val="zh-CN"/>
    </w:rPr>
  </w:style>
  <w:style w:type="paragraph" w:styleId="7">
    <w:name w:val="heading 6"/>
    <w:unhideWhenUsed/>
    <w:uiPriority w:val="99"/>
    <w:pPr>
      <w:widowControl w:val="0"/>
      <w:autoSpaceDE w:val="0"/>
      <w:autoSpaceDN w:val="0"/>
      <w:adjustRightInd w:val="0"/>
      <w:spacing w:beforeLines="0" w:afterLines="0"/>
      <w:ind w:left="4675" w:hanging="443"/>
    </w:pPr>
    <w:rPr>
      <w:rFonts w:hint="default" w:ascii="Times New Roman" w:hAnsi="Times New Roman" w:eastAsia="宋体" w:cs="Times New Roman"/>
      <w:color w:val="000000"/>
      <w:sz w:val="48"/>
      <w:szCs w:val="24"/>
      <w:lang w:val="zh-CN"/>
    </w:rPr>
  </w:style>
  <w:style w:type="paragraph" w:styleId="8">
    <w:name w:val="heading 7"/>
    <w:unhideWhenUsed/>
    <w:uiPriority w:val="99"/>
    <w:pPr>
      <w:widowControl w:val="0"/>
      <w:autoSpaceDE w:val="0"/>
      <w:autoSpaceDN w:val="0"/>
      <w:adjustRightInd w:val="0"/>
      <w:spacing w:beforeLines="0" w:afterLines="0"/>
      <w:ind w:left="5383" w:hanging="443"/>
    </w:pPr>
    <w:rPr>
      <w:rFonts w:hint="default" w:ascii="Times New Roman" w:hAnsi="Times New Roman" w:eastAsia="宋体" w:cs="Times New Roman"/>
      <w:color w:val="000000"/>
      <w:sz w:val="48"/>
      <w:szCs w:val="24"/>
      <w:lang w:val="zh-CN"/>
    </w:rPr>
  </w:style>
  <w:style w:type="paragraph" w:styleId="9">
    <w:name w:val="heading 8"/>
    <w:unhideWhenUsed/>
    <w:uiPriority w:val="99"/>
    <w:pPr>
      <w:widowControl w:val="0"/>
      <w:autoSpaceDE w:val="0"/>
      <w:autoSpaceDN w:val="0"/>
      <w:adjustRightInd w:val="0"/>
      <w:spacing w:beforeLines="0" w:afterLines="0"/>
      <w:ind w:left="6092" w:hanging="443"/>
    </w:pPr>
    <w:rPr>
      <w:rFonts w:hint="default" w:ascii="Times New Roman" w:hAnsi="Times New Roman" w:eastAsia="宋体" w:cs="Times New Roman"/>
      <w:color w:val="000000"/>
      <w:sz w:val="48"/>
      <w:szCs w:val="24"/>
      <w:lang w:val="zh-CN"/>
    </w:rPr>
  </w:style>
  <w:style w:type="paragraph" w:styleId="10">
    <w:name w:val="heading 9"/>
    <w:unhideWhenUsed/>
    <w:uiPriority w:val="99"/>
    <w:pPr>
      <w:widowControl w:val="0"/>
      <w:autoSpaceDE w:val="0"/>
      <w:autoSpaceDN w:val="0"/>
      <w:adjustRightInd w:val="0"/>
      <w:spacing w:beforeLines="0" w:afterLines="0"/>
      <w:ind w:left="6801" w:hanging="443"/>
    </w:pPr>
    <w:rPr>
      <w:rFonts w:hint="default" w:ascii="Times New Roman" w:hAnsi="Times New Roman" w:eastAsia="宋体" w:cs="Times New Roman"/>
      <w:color w:val="000000"/>
      <w:sz w:val="48"/>
      <w:szCs w:val="24"/>
      <w:lang w:val="zh-CN"/>
    </w:rPr>
  </w:style>
  <w:style w:type="character" w:default="1" w:styleId="13">
    <w:name w:val="Default Paragraph Font"/>
    <w:semiHidden/>
    <w:unhideWhenUsed/>
    <w:uiPriority w:val="99"/>
  </w:style>
  <w:style w:type="table" w:default="1" w:styleId="12">
    <w:name w:val="Normal Table"/>
    <w:semiHidden/>
    <w:unhideWhenUsed/>
    <w:uiPriority w:val="99"/>
    <w:tblPr>
      <w:tblCellMar>
        <w:top w:w="0" w:type="dxa"/>
        <w:left w:w="108" w:type="dxa"/>
        <w:bottom w:w="0" w:type="dxa"/>
        <w:right w:w="108" w:type="dxa"/>
      </w:tblCellMar>
    </w:tblPr>
  </w:style>
  <w:style w:type="paragraph" w:styleId="11">
    <w:name w:val="Normal (Web)"/>
    <w:basedOn w:val="1"/>
    <w:semiHidden/>
    <w:unhideWhenUsed/>
    <w:uiPriority w:val="99"/>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30"/>
    <customShpInfo spid="_x0000_s1028"/>
    <customShpInfo spid="_x0000_s1029"/>
    <customShpInfo spid="_x0000_s1031"/>
    <customShpInfo spid="_x0000_s1032"/>
    <customShpInfo spid="_x0000_s1033"/>
    <customShpInfo spid="_x0000_s1034"/>
    <customShpInfo spid="_x0000_s1035"/>
    <customShpInfo spid="_x0000_s1037"/>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86</Pages>
  <Words>3611</Words>
  <Characters>3686</Characters>
  <TotalTime>0</TotalTime>
  <ScaleCrop>false</ScaleCrop>
  <LinksUpToDate>false</LinksUpToDate>
  <CharactersWithSpaces>3946</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2025-06-17T01:19:00Z</dcterms:created>
  <dc:creator>asus</dc:creator>
  <cp:lastModifiedBy>万rui</cp:lastModifiedBy>
  <dcterms:modified xsi:type="dcterms:W3CDTF">2025-07-07T13:39:54Z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B3C5B2495800446AB6C7769B65B4C08D_13</vt:lpwstr>
  </property>
  <property fmtid="{D5CDD505-2E9C-101B-9397-08002B2CF9AE}" pid="4" name="KSOTemplateDocerSaveRecord">
    <vt:lpwstr>eyJoZGlkIjoiMDdmZTA1YTA4OTI5NmFhMzZlMzcxNDMxODgzNWVlNzAiLCJ1c2VySWQiOiIyMzc3NTM5ODgifQ==</vt:lpwstr>
  </property>
</Properties>
</file>