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EB8A8">
      <w:pPr>
        <w:overflowPunct w:val="0"/>
        <w:jc w:val="center"/>
        <w:rPr>
          <w:rFonts w:ascii="宋体" w:hAnsi="宋体" w:cs="宋体"/>
          <w:b/>
          <w:bCs/>
        </w:rPr>
      </w:pPr>
      <w:r>
        <w:rPr>
          <w:rFonts w:hint="eastAsia" w:ascii="宋体" w:hAnsi="宋体" w:cs="宋体"/>
          <w:b/>
          <w:bCs/>
        </w:rPr>
        <w:t>第六章  投资管理</w:t>
      </w:r>
    </w:p>
    <w:p w14:paraId="08827857">
      <w:pPr>
        <w:jc w:val="left"/>
        <w:rPr>
          <w:rFonts w:ascii="宋体" w:hAnsi="宋体" w:cs="宋体"/>
          <w:color w:val="FF0000"/>
        </w:rPr>
      </w:pPr>
      <w:r>
        <w:rPr>
          <w:rFonts w:hint="eastAsia" w:ascii="宋体" w:hAnsi="宋体" w:cs="宋体"/>
          <w:color w:val="FF0000"/>
        </w:rPr>
        <w:t>考情分析</w:t>
      </w:r>
    </w:p>
    <w:p w14:paraId="179F258B">
      <w:pPr>
        <w:jc w:val="left"/>
        <w:rPr>
          <w:rFonts w:ascii="宋体" w:hAnsi="宋体" w:cs="宋体"/>
        </w:rPr>
      </w:pPr>
      <w:r>
        <w:rPr>
          <w:rFonts w:hint="eastAsia" w:ascii="宋体" w:hAnsi="宋体" w:cs="宋体"/>
        </w:rPr>
        <w:t>本章属于非常重点章节，需掌握投资项目现金流量的测算，投资项目财务评价指标的计算，投资项目财务决策方法，债券与股票的估值方法；从历年考试情况来看，本章以客观题和主观题的形式体现，最近三年考分15分左右，预测2025年分值15分左右。</w:t>
      </w:r>
    </w:p>
    <w:p w14:paraId="00EF470E">
      <w:pPr>
        <w:jc w:val="left"/>
        <w:rPr>
          <w:rFonts w:ascii="宋体" w:hAnsi="宋体" w:cs="宋体"/>
          <w:color w:val="FF0000"/>
        </w:rPr>
      </w:pPr>
      <w:r>
        <w:rPr>
          <w:rFonts w:hint="eastAsia" w:ascii="宋体" w:hAnsi="宋体" w:cs="宋体"/>
          <w:color w:val="FF0000"/>
        </w:rPr>
        <w:t>2025教材变动讲解</w:t>
      </w:r>
    </w:p>
    <w:p w14:paraId="36B44632">
      <w:pPr>
        <w:jc w:val="left"/>
        <w:rPr>
          <w:rFonts w:ascii="宋体" w:hAnsi="宋体" w:cs="宋体"/>
        </w:rPr>
      </w:pPr>
      <w:r>
        <w:rPr>
          <w:rFonts w:hint="eastAsia" w:ascii="宋体" w:hAnsi="宋体" w:cs="宋体"/>
        </w:rPr>
        <w:t>个别表述有调整，其他无实质性变化</w:t>
      </w:r>
    </w:p>
    <w:p w14:paraId="6E3E62E3">
      <w:pPr>
        <w:jc w:val="left"/>
        <w:rPr>
          <w:rFonts w:hint="eastAsia" w:ascii="宋体" w:hAnsi="宋体" w:cs="宋体"/>
          <w:color w:val="FF0000"/>
        </w:rPr>
      </w:pPr>
      <w:r>
        <w:rPr>
          <w:rFonts w:hint="eastAsia" w:ascii="宋体" w:hAnsi="宋体" w:cs="宋体"/>
          <w:color w:val="FF0000"/>
        </w:rPr>
        <w:t>章节框架导图</w:t>
      </w:r>
    </w:p>
    <w:p w14:paraId="58CF46F5">
      <w:pPr>
        <w:jc w:val="left"/>
        <w:rPr>
          <w:rFonts w:ascii="宋体" w:hAnsi="宋体" w:cs="宋体"/>
        </w:rPr>
      </w:pPr>
      <w:r>
        <w:rPr>
          <w:rFonts w:hint="eastAsia" w:ascii="宋体" w:hAnsi="宋体" w:cs="宋体"/>
        </w:rPr>
        <w:drawing>
          <wp:inline distT="0" distB="0" distL="114300" distR="114300">
            <wp:extent cx="3653790" cy="4888865"/>
            <wp:effectExtent l="0" t="0" r="38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653790" cy="4888865"/>
                    </a:xfrm>
                    <a:prstGeom prst="rect">
                      <a:avLst/>
                    </a:prstGeom>
                    <a:noFill/>
                    <a:ln>
                      <a:noFill/>
                    </a:ln>
                  </pic:spPr>
                </pic:pic>
              </a:graphicData>
            </a:graphic>
          </wp:inline>
        </w:drawing>
      </w:r>
    </w:p>
    <w:p w14:paraId="10DC3699">
      <w:pPr>
        <w:overflowPunct w:val="0"/>
        <w:jc w:val="center"/>
        <w:rPr>
          <w:rFonts w:ascii="宋体" w:hAnsi="宋体" w:cs="宋体"/>
          <w:b/>
          <w:bCs/>
        </w:rPr>
      </w:pPr>
      <w:r>
        <w:rPr>
          <w:rFonts w:hint="eastAsia" w:ascii="宋体" w:hAnsi="宋体" w:cs="宋体"/>
          <w:b/>
          <w:bCs/>
        </w:rPr>
        <w:t>第一节  投资管理概述</w:t>
      </w:r>
    </w:p>
    <w:p w14:paraId="7A9ECC9B">
      <w:pPr>
        <w:jc w:val="left"/>
        <w:rPr>
          <w:rFonts w:ascii="宋体" w:hAnsi="宋体" w:cs="宋体"/>
        </w:rPr>
      </w:pPr>
      <w:r>
        <w:rPr>
          <w:rFonts w:hint="eastAsia" w:ascii="宋体" w:hAnsi="宋体" w:cs="宋体"/>
        </w:rPr>
        <w:t>企业投资，是企业为获取未来</w:t>
      </w:r>
      <w:r>
        <w:rPr>
          <w:rFonts w:hint="eastAsia" w:ascii="宋体" w:hAnsi="宋体" w:cs="宋体"/>
          <w:color w:val="FF0000"/>
        </w:rPr>
        <w:t>长期收益</w:t>
      </w:r>
      <w:r>
        <w:rPr>
          <w:rFonts w:hint="eastAsia" w:ascii="宋体" w:hAnsi="宋体" w:cs="宋体"/>
        </w:rPr>
        <w:t>而向一定对象投放资金的经济行为。例如，购建厂房设备、兴建电站、购买股票债券等经济行为，均属于投资行为。</w:t>
      </w:r>
    </w:p>
    <w:p w14:paraId="3C4646E0">
      <w:pPr>
        <w:jc w:val="left"/>
        <w:rPr>
          <w:rFonts w:ascii="宋体" w:hAnsi="宋体" w:cs="宋体"/>
          <w:color w:val="FF0000"/>
        </w:rPr>
      </w:pPr>
      <w:r>
        <w:rPr>
          <w:rFonts w:hint="eastAsia" w:ascii="宋体" w:hAnsi="宋体" w:cs="宋体"/>
          <w:color w:val="FF0000"/>
        </w:rPr>
        <w:t>【知识点1】企业投资的意义、特点和原则</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9"/>
        <w:gridCol w:w="7679"/>
      </w:tblGrid>
      <w:tr w14:paraId="2AC9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tcPr>
          <w:p w14:paraId="74CC14B5">
            <w:pPr>
              <w:jc w:val="left"/>
              <w:rPr>
                <w:rFonts w:ascii="宋体" w:hAnsi="宋体" w:cs="宋体"/>
              </w:rPr>
            </w:pPr>
            <w:r>
              <w:rPr>
                <w:rFonts w:hint="eastAsia" w:ascii="宋体" w:hAnsi="宋体" w:cs="宋体"/>
              </w:rPr>
              <w:t>企业投资的意义</w:t>
            </w:r>
          </w:p>
        </w:tc>
        <w:tc>
          <w:tcPr>
            <w:tcW w:w="3787" w:type="pct"/>
          </w:tcPr>
          <w:p w14:paraId="1BC56667">
            <w:pPr>
              <w:jc w:val="left"/>
              <w:rPr>
                <w:rFonts w:ascii="宋体" w:hAnsi="宋体" w:cs="宋体"/>
              </w:rPr>
            </w:pPr>
            <w:r>
              <w:rPr>
                <w:rFonts w:hint="eastAsia" w:ascii="宋体" w:hAnsi="宋体" w:cs="宋体"/>
              </w:rPr>
              <w:t>（1）企业生存与发展的基本前提</w:t>
            </w:r>
          </w:p>
          <w:p w14:paraId="5F9A8A99">
            <w:pPr>
              <w:jc w:val="left"/>
              <w:rPr>
                <w:rFonts w:ascii="宋体" w:hAnsi="宋体" w:cs="宋体"/>
              </w:rPr>
            </w:pPr>
            <w:r>
              <w:rPr>
                <w:rFonts w:hint="eastAsia" w:ascii="宋体" w:hAnsi="宋体" w:cs="宋体"/>
              </w:rPr>
              <w:t>（2）获取利润的基本前提</w:t>
            </w:r>
          </w:p>
          <w:p w14:paraId="230BFD51">
            <w:pPr>
              <w:jc w:val="left"/>
              <w:rPr>
                <w:rFonts w:ascii="宋体" w:hAnsi="宋体" w:cs="宋体"/>
              </w:rPr>
            </w:pPr>
            <w:r>
              <w:rPr>
                <w:rFonts w:hint="eastAsia" w:ascii="宋体" w:hAnsi="宋体" w:cs="宋体"/>
              </w:rPr>
              <w:t>（3）企业风险控制的重要手段</w:t>
            </w:r>
          </w:p>
        </w:tc>
      </w:tr>
      <w:tr w14:paraId="4F50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tcPr>
          <w:p w14:paraId="754DED7B">
            <w:pPr>
              <w:jc w:val="left"/>
              <w:rPr>
                <w:rFonts w:ascii="宋体" w:hAnsi="宋体" w:cs="宋体"/>
              </w:rPr>
            </w:pPr>
            <w:r>
              <w:rPr>
                <w:rFonts w:hint="eastAsia" w:ascii="宋体" w:hAnsi="宋体" w:cs="宋体"/>
              </w:rPr>
              <w:t>企业投资管理特点</w:t>
            </w:r>
          </w:p>
        </w:tc>
        <w:tc>
          <w:tcPr>
            <w:tcW w:w="3787" w:type="pct"/>
          </w:tcPr>
          <w:p w14:paraId="2058F5E9">
            <w:pPr>
              <w:jc w:val="left"/>
              <w:rPr>
                <w:rFonts w:ascii="宋体" w:hAnsi="宋体" w:cs="宋体"/>
              </w:rPr>
            </w:pPr>
            <w:r>
              <w:rPr>
                <w:rFonts w:hint="eastAsia" w:ascii="宋体" w:hAnsi="宋体" w:cs="宋体"/>
              </w:rPr>
              <w:t>（1）属于企业的</w:t>
            </w:r>
            <w:r>
              <w:rPr>
                <w:rFonts w:hint="eastAsia" w:ascii="宋体" w:hAnsi="宋体" w:cs="宋体"/>
                <w:color w:val="FF0000"/>
              </w:rPr>
              <w:t>战略性</w:t>
            </w:r>
            <w:r>
              <w:rPr>
                <w:rFonts w:hint="eastAsia" w:ascii="宋体" w:hAnsi="宋体" w:cs="宋体"/>
              </w:rPr>
              <w:t>决策</w:t>
            </w:r>
            <w:r>
              <w:rPr>
                <w:rFonts w:hint="eastAsia" w:ascii="宋体" w:hAnsi="宋体" w:cs="宋体"/>
              </w:rPr>
              <w:br w:type="textWrapping"/>
            </w:r>
            <w:r>
              <w:rPr>
                <w:rFonts w:hint="eastAsia" w:ascii="宋体" w:hAnsi="宋体" w:cs="宋体"/>
              </w:rPr>
              <w:t>（2）属于企业的</w:t>
            </w:r>
            <w:r>
              <w:rPr>
                <w:rFonts w:hint="eastAsia" w:ascii="宋体" w:hAnsi="宋体" w:cs="宋体"/>
                <w:color w:val="FF0000"/>
              </w:rPr>
              <w:t>非程序化</w:t>
            </w:r>
            <w:r>
              <w:rPr>
                <w:rFonts w:hint="eastAsia" w:ascii="宋体" w:hAnsi="宋体" w:cs="宋体"/>
              </w:rPr>
              <w:t>管理</w:t>
            </w:r>
            <w:r>
              <w:rPr>
                <w:rFonts w:hint="eastAsia" w:ascii="宋体" w:hAnsi="宋体" w:cs="宋体"/>
              </w:rPr>
              <w:br w:type="textWrapping"/>
            </w:r>
            <w:r>
              <w:rPr>
                <w:rFonts w:hint="eastAsia" w:ascii="宋体" w:hAnsi="宋体" w:cs="宋体"/>
              </w:rPr>
              <w:t>（3）投资价值的</w:t>
            </w:r>
            <w:r>
              <w:rPr>
                <w:rFonts w:hint="eastAsia" w:ascii="宋体" w:hAnsi="宋体" w:cs="宋体"/>
                <w:color w:val="FF0000"/>
              </w:rPr>
              <w:t>波动性大</w:t>
            </w:r>
          </w:p>
        </w:tc>
      </w:tr>
      <w:tr w14:paraId="15AA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tcPr>
          <w:p w14:paraId="7B2C2E73">
            <w:pPr>
              <w:jc w:val="left"/>
              <w:rPr>
                <w:rFonts w:ascii="宋体" w:hAnsi="宋体" w:cs="宋体"/>
              </w:rPr>
            </w:pPr>
            <w:r>
              <w:rPr>
                <w:rFonts w:hint="eastAsia" w:ascii="宋体" w:hAnsi="宋体" w:cs="宋体"/>
              </w:rPr>
              <w:t>企业投资的原则</w:t>
            </w:r>
          </w:p>
        </w:tc>
        <w:tc>
          <w:tcPr>
            <w:tcW w:w="3787" w:type="pct"/>
          </w:tcPr>
          <w:p w14:paraId="195132E0">
            <w:pPr>
              <w:jc w:val="left"/>
              <w:rPr>
                <w:rFonts w:ascii="宋体" w:hAnsi="宋体" w:cs="宋体"/>
              </w:rPr>
            </w:pPr>
            <w:r>
              <w:rPr>
                <w:rFonts w:hint="eastAsia" w:ascii="宋体" w:hAnsi="宋体" w:cs="宋体"/>
              </w:rPr>
              <w:t>（1）可行性分析原则</w:t>
            </w:r>
            <w:r>
              <w:rPr>
                <w:rFonts w:hint="eastAsia" w:ascii="宋体" w:hAnsi="宋体" w:cs="宋体"/>
              </w:rPr>
              <w:br w:type="textWrapping"/>
            </w:r>
            <w:r>
              <w:rPr>
                <w:rFonts w:hint="eastAsia" w:ascii="宋体" w:hAnsi="宋体" w:cs="宋体"/>
              </w:rPr>
              <w:t>（2）结构平衡原则</w:t>
            </w:r>
            <w:r>
              <w:rPr>
                <w:rFonts w:hint="eastAsia" w:ascii="宋体" w:hAnsi="宋体" w:cs="宋体"/>
              </w:rPr>
              <w:br w:type="textWrapping"/>
            </w:r>
            <w:r>
              <w:rPr>
                <w:rFonts w:hint="eastAsia" w:ascii="宋体" w:hAnsi="宋体" w:cs="宋体"/>
              </w:rPr>
              <w:t>（3）动态监控原则</w:t>
            </w:r>
          </w:p>
        </w:tc>
      </w:tr>
    </w:tbl>
    <w:p w14:paraId="6BD8149D">
      <w:pPr>
        <w:jc w:val="left"/>
        <w:rPr>
          <w:rFonts w:ascii="宋体" w:hAnsi="宋体" w:cs="宋体"/>
          <w:color w:val="FF0000"/>
        </w:rPr>
      </w:pPr>
      <w:r>
        <w:rPr>
          <w:rFonts w:hint="eastAsia" w:ascii="宋体" w:hAnsi="宋体" w:cs="宋体"/>
          <w:color w:val="FF0000"/>
        </w:rPr>
        <w:t>【知识点2】企业投资的分类</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1449"/>
        <w:gridCol w:w="5502"/>
      </w:tblGrid>
      <w:tr w14:paraId="4E7F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restart"/>
          </w:tcPr>
          <w:p w14:paraId="52B37A42">
            <w:pPr>
              <w:jc w:val="left"/>
              <w:rPr>
                <w:rFonts w:ascii="宋体" w:hAnsi="宋体" w:cs="宋体"/>
              </w:rPr>
            </w:pPr>
            <w:r>
              <w:rPr>
                <w:rFonts w:hint="eastAsia" w:ascii="宋体" w:hAnsi="宋体" w:cs="宋体"/>
              </w:rPr>
              <w:t>按投资活动与企业本身的生产经营活动的关系（方式性）</w:t>
            </w:r>
          </w:p>
        </w:tc>
        <w:tc>
          <w:tcPr>
            <w:tcW w:w="715" w:type="pct"/>
          </w:tcPr>
          <w:p w14:paraId="1BA857FB">
            <w:pPr>
              <w:jc w:val="left"/>
              <w:rPr>
                <w:rFonts w:ascii="宋体" w:hAnsi="宋体" w:cs="宋体"/>
              </w:rPr>
            </w:pPr>
            <w:r>
              <w:rPr>
                <w:rFonts w:hint="eastAsia" w:ascii="宋体" w:hAnsi="宋体" w:cs="宋体"/>
              </w:rPr>
              <w:t>直接投资</w:t>
            </w:r>
          </w:p>
        </w:tc>
        <w:tc>
          <w:tcPr>
            <w:tcW w:w="2714" w:type="pct"/>
          </w:tcPr>
          <w:p w14:paraId="4A1C77DC">
            <w:pPr>
              <w:jc w:val="left"/>
              <w:rPr>
                <w:rFonts w:ascii="宋体" w:hAnsi="宋体" w:cs="宋体"/>
              </w:rPr>
            </w:pPr>
            <w:r>
              <w:rPr>
                <w:rFonts w:hint="eastAsia" w:ascii="宋体" w:hAnsi="宋体" w:cs="宋体"/>
              </w:rPr>
              <w:t>将资金直接投放于形成生产经营能力的实体性资产，直接谋取经营利润的企业投资</w:t>
            </w:r>
          </w:p>
        </w:tc>
      </w:tr>
      <w:tr w14:paraId="2231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continue"/>
          </w:tcPr>
          <w:p w14:paraId="1B391D13">
            <w:pPr>
              <w:jc w:val="left"/>
              <w:rPr>
                <w:rFonts w:ascii="宋体" w:hAnsi="宋体" w:cs="宋体"/>
              </w:rPr>
            </w:pPr>
          </w:p>
        </w:tc>
        <w:tc>
          <w:tcPr>
            <w:tcW w:w="715" w:type="pct"/>
          </w:tcPr>
          <w:p w14:paraId="252944CF">
            <w:pPr>
              <w:jc w:val="left"/>
              <w:rPr>
                <w:rFonts w:ascii="宋体" w:hAnsi="宋体" w:cs="宋体"/>
              </w:rPr>
            </w:pPr>
            <w:r>
              <w:rPr>
                <w:rFonts w:hint="eastAsia" w:ascii="宋体" w:hAnsi="宋体" w:cs="宋体"/>
              </w:rPr>
              <w:t>间接投资</w:t>
            </w:r>
          </w:p>
        </w:tc>
        <w:tc>
          <w:tcPr>
            <w:tcW w:w="2714" w:type="pct"/>
          </w:tcPr>
          <w:p w14:paraId="20BFC228">
            <w:pPr>
              <w:jc w:val="left"/>
              <w:rPr>
                <w:rFonts w:ascii="宋体" w:hAnsi="宋体" w:cs="宋体"/>
              </w:rPr>
            </w:pPr>
            <w:r>
              <w:rPr>
                <w:rFonts w:hint="eastAsia" w:ascii="宋体" w:hAnsi="宋体" w:cs="宋体"/>
              </w:rPr>
              <w:t>将资金投放于股票、债券、基金等权益性资产上的企业投资</w:t>
            </w:r>
          </w:p>
        </w:tc>
      </w:tr>
      <w:tr w14:paraId="2A32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restart"/>
          </w:tcPr>
          <w:p w14:paraId="6EEA6001">
            <w:pPr>
              <w:jc w:val="left"/>
              <w:rPr>
                <w:rFonts w:ascii="宋体" w:hAnsi="宋体" w:cs="宋体"/>
              </w:rPr>
            </w:pPr>
            <w:r>
              <w:rPr>
                <w:rFonts w:hint="eastAsia" w:ascii="宋体" w:hAnsi="宋体" w:cs="宋体"/>
              </w:rPr>
              <w:t>投资对象的存在形态和性质（对象性）</w:t>
            </w:r>
          </w:p>
        </w:tc>
        <w:tc>
          <w:tcPr>
            <w:tcW w:w="715" w:type="pct"/>
          </w:tcPr>
          <w:p w14:paraId="2D1EA096">
            <w:pPr>
              <w:jc w:val="left"/>
              <w:rPr>
                <w:rFonts w:ascii="宋体" w:hAnsi="宋体" w:cs="宋体"/>
              </w:rPr>
            </w:pPr>
            <w:r>
              <w:rPr>
                <w:rFonts w:hint="eastAsia" w:ascii="宋体" w:hAnsi="宋体" w:cs="宋体"/>
              </w:rPr>
              <w:t>项目投资</w:t>
            </w:r>
          </w:p>
        </w:tc>
        <w:tc>
          <w:tcPr>
            <w:tcW w:w="2714" w:type="pct"/>
          </w:tcPr>
          <w:p w14:paraId="62FCFD6D">
            <w:pPr>
              <w:jc w:val="left"/>
              <w:rPr>
                <w:rFonts w:ascii="宋体" w:hAnsi="宋体" w:cs="宋体"/>
              </w:rPr>
            </w:pPr>
            <w:r>
              <w:rPr>
                <w:rFonts w:hint="eastAsia" w:ascii="宋体" w:hAnsi="宋体" w:cs="宋体"/>
              </w:rPr>
              <w:t>购买具有实质内涵的经营资产，包括有形资产和无形资产，形成具体的生产经营能力，开展实质性的生产经营活动，谋取经营利润。</w:t>
            </w:r>
          </w:p>
          <w:p w14:paraId="3AC37D44">
            <w:pPr>
              <w:jc w:val="left"/>
              <w:rPr>
                <w:rFonts w:ascii="宋体" w:hAnsi="宋体" w:cs="宋体"/>
              </w:rPr>
            </w:pPr>
            <w:r>
              <w:rPr>
                <w:rFonts w:hint="eastAsia" w:ascii="宋体" w:hAnsi="宋体" w:cs="宋体"/>
                <w:color w:val="FF0000"/>
              </w:rPr>
              <w:t>项目投资属于直接投资</w:t>
            </w:r>
          </w:p>
        </w:tc>
      </w:tr>
      <w:tr w14:paraId="1BA3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continue"/>
          </w:tcPr>
          <w:p w14:paraId="7D37CFB6">
            <w:pPr>
              <w:jc w:val="left"/>
              <w:rPr>
                <w:rFonts w:ascii="宋体" w:hAnsi="宋体" w:cs="宋体"/>
              </w:rPr>
            </w:pPr>
          </w:p>
        </w:tc>
        <w:tc>
          <w:tcPr>
            <w:tcW w:w="715" w:type="pct"/>
          </w:tcPr>
          <w:p w14:paraId="16E36918">
            <w:pPr>
              <w:jc w:val="left"/>
              <w:rPr>
                <w:rFonts w:ascii="宋体" w:hAnsi="宋体" w:cs="宋体"/>
              </w:rPr>
            </w:pPr>
            <w:r>
              <w:rPr>
                <w:rFonts w:hint="eastAsia" w:ascii="宋体" w:hAnsi="宋体" w:cs="宋体"/>
              </w:rPr>
              <w:t>证券投资</w:t>
            </w:r>
          </w:p>
        </w:tc>
        <w:tc>
          <w:tcPr>
            <w:tcW w:w="2714" w:type="pct"/>
          </w:tcPr>
          <w:p w14:paraId="6C092503">
            <w:pPr>
              <w:jc w:val="left"/>
              <w:rPr>
                <w:rFonts w:ascii="宋体" w:hAnsi="宋体" w:cs="宋体"/>
              </w:rPr>
            </w:pPr>
            <w:r>
              <w:rPr>
                <w:rFonts w:hint="eastAsia" w:ascii="宋体" w:hAnsi="宋体" w:cs="宋体"/>
              </w:rPr>
              <w:t>通过</w:t>
            </w:r>
            <w:r>
              <w:rPr>
                <w:rFonts w:hint="eastAsia" w:ascii="宋体" w:hAnsi="宋体" w:cs="宋体"/>
                <w:color w:val="FF0000"/>
              </w:rPr>
              <w:t>证券资产</w:t>
            </w:r>
            <w:r>
              <w:rPr>
                <w:rFonts w:hint="eastAsia" w:ascii="宋体" w:hAnsi="宋体" w:cs="宋体"/>
              </w:rPr>
              <w:t>上所赋予的权利，间接控制被投资企业的生产经营活动，获取投资收益，即购买属于综合生产要素的权益性权利资产的企业投资。</w:t>
            </w:r>
          </w:p>
          <w:p w14:paraId="171B53AB">
            <w:pPr>
              <w:jc w:val="left"/>
              <w:rPr>
                <w:rFonts w:ascii="宋体" w:hAnsi="宋体" w:cs="宋体"/>
              </w:rPr>
            </w:pPr>
            <w:r>
              <w:rPr>
                <w:rFonts w:hint="eastAsia" w:ascii="宋体" w:hAnsi="宋体" w:cs="宋体"/>
                <w:color w:val="FF0000"/>
              </w:rPr>
              <w:t>证券投资属于间接投资</w:t>
            </w:r>
          </w:p>
        </w:tc>
      </w:tr>
      <w:tr w14:paraId="2552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restart"/>
          </w:tcPr>
          <w:p w14:paraId="04A63170">
            <w:pPr>
              <w:jc w:val="left"/>
              <w:rPr>
                <w:rFonts w:ascii="宋体" w:hAnsi="宋体" w:cs="宋体"/>
              </w:rPr>
            </w:pPr>
            <w:r>
              <w:rPr>
                <w:rFonts w:hint="eastAsia" w:ascii="宋体" w:hAnsi="宋体" w:cs="宋体"/>
              </w:rPr>
              <w:t>按对企业生产经营前景的影响</w:t>
            </w:r>
          </w:p>
        </w:tc>
        <w:tc>
          <w:tcPr>
            <w:tcW w:w="715" w:type="pct"/>
          </w:tcPr>
          <w:p w14:paraId="195B35D0">
            <w:pPr>
              <w:jc w:val="left"/>
              <w:rPr>
                <w:rFonts w:ascii="宋体" w:hAnsi="宋体" w:cs="宋体"/>
              </w:rPr>
            </w:pPr>
            <w:r>
              <w:rPr>
                <w:rFonts w:hint="eastAsia" w:ascii="宋体" w:hAnsi="宋体" w:cs="宋体"/>
              </w:rPr>
              <w:t>发展性投资</w:t>
            </w:r>
          </w:p>
        </w:tc>
        <w:tc>
          <w:tcPr>
            <w:tcW w:w="2714" w:type="pct"/>
          </w:tcPr>
          <w:p w14:paraId="6E2BB970">
            <w:pPr>
              <w:jc w:val="left"/>
              <w:rPr>
                <w:rFonts w:ascii="宋体" w:hAnsi="宋体" w:cs="宋体"/>
              </w:rPr>
            </w:pPr>
            <w:r>
              <w:rPr>
                <w:rFonts w:hint="eastAsia" w:ascii="宋体" w:hAnsi="宋体" w:cs="宋体"/>
              </w:rPr>
              <w:t>对企业未来的生产经营发展全局有重大影响的企业投资，也称为战略性投资</w:t>
            </w:r>
          </w:p>
        </w:tc>
      </w:tr>
      <w:tr w14:paraId="7836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continue"/>
          </w:tcPr>
          <w:p w14:paraId="3CBADD66">
            <w:pPr>
              <w:overflowPunct w:val="0"/>
              <w:jc w:val="left"/>
              <w:rPr>
                <w:rFonts w:ascii="宋体" w:hAnsi="宋体" w:cs="宋体"/>
              </w:rPr>
            </w:pPr>
          </w:p>
        </w:tc>
        <w:tc>
          <w:tcPr>
            <w:tcW w:w="715" w:type="pct"/>
          </w:tcPr>
          <w:p w14:paraId="5631235E">
            <w:pPr>
              <w:jc w:val="left"/>
              <w:rPr>
                <w:rFonts w:ascii="宋体" w:hAnsi="宋体" w:cs="宋体"/>
              </w:rPr>
            </w:pPr>
            <w:r>
              <w:rPr>
                <w:rFonts w:hint="eastAsia" w:ascii="宋体" w:hAnsi="宋体" w:cs="宋体"/>
              </w:rPr>
              <w:t>维持性投资</w:t>
            </w:r>
          </w:p>
        </w:tc>
        <w:tc>
          <w:tcPr>
            <w:tcW w:w="2714" w:type="pct"/>
          </w:tcPr>
          <w:p w14:paraId="0244BBCD">
            <w:pPr>
              <w:jc w:val="left"/>
              <w:rPr>
                <w:rFonts w:ascii="宋体" w:hAnsi="宋体" w:cs="宋体"/>
              </w:rPr>
            </w:pPr>
            <w:r>
              <w:rPr>
                <w:rFonts w:hint="eastAsia" w:ascii="宋体" w:hAnsi="宋体" w:cs="宋体"/>
              </w:rPr>
              <w:t>为了</w:t>
            </w:r>
            <w:r>
              <w:rPr>
                <w:rFonts w:hint="eastAsia" w:ascii="宋体" w:hAnsi="宋体" w:cs="宋体"/>
                <w:color w:val="FF0000"/>
              </w:rPr>
              <w:t>维持</w:t>
            </w:r>
            <w:r>
              <w:rPr>
                <w:rFonts w:hint="eastAsia" w:ascii="宋体" w:hAnsi="宋体" w:cs="宋体"/>
              </w:rPr>
              <w:t>企业现有的生产经营正常顺利进行，不会改变企业未来生产经营发展全局的企业投资，也称为战术性投资</w:t>
            </w:r>
          </w:p>
        </w:tc>
      </w:tr>
      <w:tr w14:paraId="53A1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restart"/>
          </w:tcPr>
          <w:p w14:paraId="17AD3CD4">
            <w:pPr>
              <w:jc w:val="left"/>
              <w:rPr>
                <w:rFonts w:ascii="宋体" w:hAnsi="宋体" w:cs="宋体"/>
              </w:rPr>
            </w:pPr>
            <w:r>
              <w:rPr>
                <w:rFonts w:hint="eastAsia" w:ascii="宋体" w:hAnsi="宋体" w:cs="宋体"/>
              </w:rPr>
              <w:t>按投资的方向</w:t>
            </w:r>
          </w:p>
        </w:tc>
        <w:tc>
          <w:tcPr>
            <w:tcW w:w="715" w:type="pct"/>
          </w:tcPr>
          <w:p w14:paraId="5410F0D0">
            <w:pPr>
              <w:jc w:val="left"/>
              <w:rPr>
                <w:rFonts w:ascii="宋体" w:hAnsi="宋体" w:cs="宋体"/>
              </w:rPr>
            </w:pPr>
            <w:r>
              <w:rPr>
                <w:rFonts w:hint="eastAsia" w:ascii="宋体" w:hAnsi="宋体" w:cs="宋体"/>
              </w:rPr>
              <w:t>对内投资</w:t>
            </w:r>
          </w:p>
        </w:tc>
        <w:tc>
          <w:tcPr>
            <w:tcW w:w="2714" w:type="pct"/>
          </w:tcPr>
          <w:p w14:paraId="3AB8888E">
            <w:pPr>
              <w:jc w:val="left"/>
              <w:rPr>
                <w:rFonts w:ascii="宋体" w:hAnsi="宋体" w:cs="宋体"/>
              </w:rPr>
            </w:pPr>
            <w:r>
              <w:rPr>
                <w:rFonts w:hint="eastAsia" w:ascii="宋体" w:hAnsi="宋体" w:cs="宋体"/>
              </w:rPr>
              <w:t>是在本企业范围内部的资金投放，用于购买和配置各种生产经营所需要的经营性资产。</w:t>
            </w:r>
          </w:p>
          <w:p w14:paraId="29F8F84E">
            <w:pPr>
              <w:jc w:val="left"/>
              <w:rPr>
                <w:rFonts w:ascii="宋体" w:hAnsi="宋体" w:cs="宋体"/>
              </w:rPr>
            </w:pPr>
            <w:r>
              <w:rPr>
                <w:rFonts w:hint="eastAsia" w:ascii="宋体" w:hAnsi="宋体" w:cs="宋体"/>
                <w:color w:val="FF0000"/>
              </w:rPr>
              <w:t>对内投资都是直接投资</w:t>
            </w:r>
          </w:p>
        </w:tc>
      </w:tr>
      <w:tr w14:paraId="345B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continue"/>
          </w:tcPr>
          <w:p w14:paraId="6B75ADFD">
            <w:pPr>
              <w:overflowPunct w:val="0"/>
              <w:jc w:val="left"/>
              <w:rPr>
                <w:rFonts w:ascii="宋体" w:hAnsi="宋体" w:cs="宋体"/>
              </w:rPr>
            </w:pPr>
          </w:p>
        </w:tc>
        <w:tc>
          <w:tcPr>
            <w:tcW w:w="715" w:type="pct"/>
          </w:tcPr>
          <w:p w14:paraId="2AABF410">
            <w:pPr>
              <w:jc w:val="left"/>
              <w:rPr>
                <w:rFonts w:ascii="宋体" w:hAnsi="宋体" w:cs="宋体"/>
              </w:rPr>
            </w:pPr>
            <w:r>
              <w:rPr>
                <w:rFonts w:hint="eastAsia" w:ascii="宋体" w:hAnsi="宋体" w:cs="宋体"/>
              </w:rPr>
              <w:t>对外投资</w:t>
            </w:r>
          </w:p>
        </w:tc>
        <w:tc>
          <w:tcPr>
            <w:tcW w:w="2714" w:type="pct"/>
          </w:tcPr>
          <w:p w14:paraId="063B2757">
            <w:pPr>
              <w:jc w:val="left"/>
              <w:rPr>
                <w:rFonts w:ascii="宋体" w:hAnsi="宋体" w:cs="宋体"/>
              </w:rPr>
            </w:pPr>
            <w:r>
              <w:rPr>
                <w:rFonts w:hint="eastAsia" w:ascii="宋体" w:hAnsi="宋体" w:cs="宋体"/>
              </w:rPr>
              <w:t>向本企业范围以外的其他单位的资金投放。</w:t>
            </w:r>
          </w:p>
          <w:p w14:paraId="1FB623EA">
            <w:pPr>
              <w:jc w:val="left"/>
              <w:rPr>
                <w:rFonts w:ascii="宋体" w:hAnsi="宋体" w:cs="宋体"/>
              </w:rPr>
            </w:pPr>
            <w:r>
              <w:rPr>
                <w:rFonts w:hint="eastAsia" w:ascii="宋体" w:hAnsi="宋体" w:cs="宋体"/>
                <w:color w:val="FF0000"/>
              </w:rPr>
              <w:t>主要是间接投资，也可以是直接投资</w:t>
            </w:r>
          </w:p>
        </w:tc>
      </w:tr>
      <w:tr w14:paraId="62BAA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restart"/>
          </w:tcPr>
          <w:p w14:paraId="2D5BA45B">
            <w:pPr>
              <w:jc w:val="left"/>
              <w:rPr>
                <w:rFonts w:ascii="宋体" w:hAnsi="宋体" w:cs="宋体"/>
              </w:rPr>
            </w:pPr>
            <w:r>
              <w:rPr>
                <w:rFonts w:hint="eastAsia" w:ascii="宋体" w:hAnsi="宋体" w:cs="宋体"/>
              </w:rPr>
              <w:t>按投资项目之间的相互关系</w:t>
            </w:r>
          </w:p>
        </w:tc>
        <w:tc>
          <w:tcPr>
            <w:tcW w:w="715" w:type="pct"/>
          </w:tcPr>
          <w:p w14:paraId="4DB80B34">
            <w:pPr>
              <w:jc w:val="left"/>
              <w:rPr>
                <w:rFonts w:ascii="宋体" w:hAnsi="宋体" w:cs="宋体"/>
              </w:rPr>
            </w:pPr>
            <w:r>
              <w:rPr>
                <w:rFonts w:hint="eastAsia" w:ascii="宋体" w:hAnsi="宋体" w:cs="宋体"/>
              </w:rPr>
              <w:t>独立投资</w:t>
            </w:r>
          </w:p>
        </w:tc>
        <w:tc>
          <w:tcPr>
            <w:tcW w:w="2714" w:type="pct"/>
          </w:tcPr>
          <w:p w14:paraId="07F7F192">
            <w:pPr>
              <w:jc w:val="left"/>
              <w:rPr>
                <w:rFonts w:ascii="宋体" w:hAnsi="宋体" w:cs="宋体"/>
              </w:rPr>
            </w:pPr>
            <w:r>
              <w:rPr>
                <w:rFonts w:hint="eastAsia" w:ascii="宋体" w:hAnsi="宋体" w:cs="宋体"/>
              </w:rPr>
              <w:t>各个投资项目</w:t>
            </w:r>
            <w:r>
              <w:rPr>
                <w:rFonts w:hint="eastAsia" w:ascii="宋体" w:hAnsi="宋体" w:cs="宋体"/>
                <w:color w:val="FF0000"/>
              </w:rPr>
              <w:t>互不关联、互不影响，可以同时并存</w:t>
            </w:r>
          </w:p>
        </w:tc>
      </w:tr>
      <w:tr w14:paraId="07AA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vMerge w:val="continue"/>
          </w:tcPr>
          <w:p w14:paraId="3F1B4FF5">
            <w:pPr>
              <w:overflowPunct w:val="0"/>
              <w:jc w:val="left"/>
              <w:rPr>
                <w:rFonts w:ascii="宋体" w:hAnsi="宋体" w:cs="宋体"/>
              </w:rPr>
            </w:pPr>
          </w:p>
        </w:tc>
        <w:tc>
          <w:tcPr>
            <w:tcW w:w="715" w:type="pct"/>
          </w:tcPr>
          <w:p w14:paraId="25BAC991">
            <w:pPr>
              <w:jc w:val="left"/>
              <w:rPr>
                <w:rFonts w:ascii="宋体" w:hAnsi="宋体" w:cs="宋体"/>
              </w:rPr>
            </w:pPr>
            <w:r>
              <w:rPr>
                <w:rFonts w:hint="eastAsia" w:ascii="宋体" w:hAnsi="宋体" w:cs="宋体"/>
              </w:rPr>
              <w:t>互斥投资</w:t>
            </w:r>
          </w:p>
        </w:tc>
        <w:tc>
          <w:tcPr>
            <w:tcW w:w="2714" w:type="pct"/>
          </w:tcPr>
          <w:p w14:paraId="40DF0C29">
            <w:pPr>
              <w:jc w:val="left"/>
              <w:rPr>
                <w:rFonts w:ascii="宋体" w:hAnsi="宋体" w:cs="宋体"/>
              </w:rPr>
            </w:pPr>
            <w:r>
              <w:rPr>
                <w:rFonts w:hint="eastAsia" w:ascii="宋体" w:hAnsi="宋体" w:cs="宋体"/>
              </w:rPr>
              <w:t>非相容性投资，各个投资项目之间相互关联、相互替代，不能同时并存</w:t>
            </w:r>
          </w:p>
        </w:tc>
      </w:tr>
    </w:tbl>
    <w:p w14:paraId="274137EC">
      <w:pPr>
        <w:overflowPunct w:val="0"/>
        <w:jc w:val="left"/>
        <w:rPr>
          <w:rFonts w:ascii="宋体" w:hAnsi="宋体" w:cs="宋体"/>
        </w:rPr>
      </w:pPr>
    </w:p>
    <w:p w14:paraId="32F9CD29">
      <w:pPr>
        <w:jc w:val="left"/>
        <w:rPr>
          <w:rFonts w:ascii="宋体" w:hAnsi="宋体" w:cs="宋体"/>
        </w:rPr>
      </w:pPr>
      <w:r>
        <w:rPr>
          <w:rFonts w:hint="eastAsia" w:ascii="宋体" w:hAnsi="宋体" w:cs="宋体"/>
        </w:rPr>
        <w:t>【判断题】（2024）某企业购买其他公司发行的股票以获取投资收益，该投资属于直接投资。（  ）</w:t>
      </w:r>
    </w:p>
    <w:p w14:paraId="2C7E0771">
      <w:pPr>
        <w:jc w:val="left"/>
        <w:rPr>
          <w:rFonts w:ascii="宋体" w:hAnsi="宋体" w:cs="宋体"/>
        </w:rPr>
      </w:pPr>
      <w:r>
        <w:rPr>
          <w:rFonts w:hint="eastAsia" w:ascii="宋体" w:hAnsi="宋体" w:cs="宋体"/>
        </w:rPr>
        <w:t>答案：错 </w:t>
      </w:r>
    </w:p>
    <w:p w14:paraId="1C1A8B97">
      <w:pPr>
        <w:jc w:val="left"/>
        <w:rPr>
          <w:rFonts w:ascii="宋体" w:hAnsi="宋体" w:cs="宋体"/>
        </w:rPr>
      </w:pPr>
      <w:r>
        <w:rPr>
          <w:rFonts w:hint="eastAsia" w:ascii="宋体" w:hAnsi="宋体" w:cs="宋体"/>
        </w:rPr>
        <w:t>解析：直接投资形成的是实体性资产，间接投资是指将资金投放于股票、债券等资产上的企业投资。所以本题说法错误。</w:t>
      </w:r>
    </w:p>
    <w:p w14:paraId="7F13A7F3">
      <w:pPr>
        <w:jc w:val="left"/>
        <w:rPr>
          <w:rFonts w:ascii="宋体" w:hAnsi="宋体" w:cs="宋体"/>
        </w:rPr>
      </w:pPr>
    </w:p>
    <w:p w14:paraId="45AD8ED5">
      <w:pPr>
        <w:jc w:val="left"/>
        <w:rPr>
          <w:rFonts w:ascii="宋体" w:hAnsi="宋体" w:cs="宋体"/>
        </w:rPr>
      </w:pPr>
      <w:r>
        <w:rPr>
          <w:rFonts w:hint="eastAsia" w:ascii="宋体" w:hAnsi="宋体" w:cs="宋体"/>
        </w:rPr>
        <w:t>【判断题】（2023）企业发行股票、发行债券均属于直接筹资方式（  ）。</w:t>
      </w:r>
    </w:p>
    <w:p w14:paraId="4F13EEEF">
      <w:pPr>
        <w:jc w:val="left"/>
        <w:rPr>
          <w:rFonts w:ascii="宋体" w:hAnsi="宋体" w:cs="宋体"/>
        </w:rPr>
      </w:pPr>
      <w:r>
        <w:rPr>
          <w:rFonts w:hint="eastAsia" w:ascii="宋体" w:hAnsi="宋体" w:cs="宋体"/>
        </w:rPr>
        <w:t>答案：√</w:t>
      </w:r>
    </w:p>
    <w:p w14:paraId="10ED6A44">
      <w:pPr>
        <w:jc w:val="left"/>
        <w:rPr>
          <w:rFonts w:ascii="宋体" w:hAnsi="宋体" w:cs="宋体"/>
        </w:rPr>
      </w:pPr>
      <w:r>
        <w:rPr>
          <w:rFonts w:hint="eastAsia" w:ascii="宋体" w:hAnsi="宋体" w:cs="宋体"/>
        </w:rPr>
        <w:t>解析：直接筹资是企业直接与资金供应者协商融通资金的筹资活动。直接筹资方式主要有发行股票、发行债券、吸收直接投资等</w:t>
      </w:r>
    </w:p>
    <w:p w14:paraId="29A4CC74">
      <w:pPr>
        <w:jc w:val="left"/>
        <w:rPr>
          <w:rFonts w:ascii="宋体" w:hAnsi="宋体" w:cs="宋体"/>
        </w:rPr>
      </w:pPr>
    </w:p>
    <w:p w14:paraId="2BBEEAAC">
      <w:pPr>
        <w:jc w:val="left"/>
        <w:rPr>
          <w:rFonts w:ascii="宋体" w:hAnsi="宋体" w:cs="宋体"/>
        </w:rPr>
      </w:pPr>
      <w:r>
        <w:rPr>
          <w:rFonts w:hint="eastAsia" w:ascii="宋体" w:hAnsi="宋体" w:cs="宋体"/>
        </w:rPr>
        <w:t>【多选题】（2016年）按照企业投资的分类，下列各项中，属于发展性投资的有（  ）。</w:t>
      </w:r>
    </w:p>
    <w:p w14:paraId="7A20E4AA">
      <w:pPr>
        <w:jc w:val="left"/>
        <w:rPr>
          <w:rFonts w:ascii="宋体" w:hAnsi="宋体" w:cs="宋体"/>
        </w:rPr>
      </w:pPr>
      <w:r>
        <w:rPr>
          <w:rFonts w:hint="eastAsia" w:ascii="宋体" w:hAnsi="宋体" w:cs="宋体"/>
        </w:rPr>
        <w:t>A.开发新产品的投资         B.更新替换旧设备的投资</w:t>
      </w:r>
    </w:p>
    <w:p w14:paraId="4CC86CEF">
      <w:pPr>
        <w:jc w:val="left"/>
        <w:rPr>
          <w:rFonts w:ascii="宋体" w:hAnsi="宋体" w:cs="宋体"/>
        </w:rPr>
      </w:pPr>
      <w:r>
        <w:rPr>
          <w:rFonts w:hint="eastAsia" w:ascii="宋体" w:hAnsi="宋体" w:cs="宋体"/>
        </w:rPr>
        <w:t>C.企业间兼并合并的投资     D.大幅度扩大生产规模的投资</w:t>
      </w:r>
    </w:p>
    <w:p w14:paraId="57E36303">
      <w:pPr>
        <w:jc w:val="left"/>
        <w:rPr>
          <w:rFonts w:ascii="宋体" w:hAnsi="宋体" w:cs="宋体"/>
        </w:rPr>
      </w:pPr>
      <w:r>
        <w:rPr>
          <w:rFonts w:hint="eastAsia" w:ascii="宋体" w:hAnsi="宋体" w:cs="宋体"/>
        </w:rPr>
        <w:t>答案：ACD</w:t>
      </w:r>
    </w:p>
    <w:p w14:paraId="1B58B1A2">
      <w:pPr>
        <w:jc w:val="left"/>
        <w:rPr>
          <w:rFonts w:hint="eastAsia" w:ascii="宋体" w:hAnsi="宋体" w:cs="宋体"/>
        </w:rPr>
      </w:pPr>
      <w:r>
        <w:rPr>
          <w:rFonts w:hint="eastAsia" w:ascii="宋体" w:hAnsi="宋体" w:cs="宋体"/>
        </w:rPr>
        <w:t>解析：发展性投资也可以称为战略性投资，如企业间兼并合并的投资、转换新行业和开发新产品投资、大幅度扩大生产规模的投资等。更新替换旧设备的投资属于维持性投资。</w:t>
      </w:r>
    </w:p>
    <w:p w14:paraId="3F4CB4B6">
      <w:pPr>
        <w:overflowPunct w:val="0"/>
        <w:jc w:val="center"/>
        <w:rPr>
          <w:rFonts w:ascii="宋体" w:hAnsi="宋体" w:cs="宋体"/>
          <w:b/>
          <w:bCs/>
        </w:rPr>
      </w:pPr>
      <w:r>
        <w:rPr>
          <w:rFonts w:hint="eastAsia" w:ascii="宋体" w:hAnsi="宋体" w:cs="宋体"/>
          <w:b/>
          <w:bCs/>
        </w:rPr>
        <w:t>第二节  投资项目财务评价指标</w:t>
      </w:r>
    </w:p>
    <w:p w14:paraId="08D21F4B">
      <w:pPr>
        <w:jc w:val="left"/>
        <w:rPr>
          <w:rFonts w:ascii="宋体" w:hAnsi="宋体" w:cs="宋体"/>
        </w:rPr>
      </w:pPr>
      <w:r>
        <w:rPr>
          <w:rFonts w:hint="eastAsia" w:ascii="宋体" w:hAnsi="宋体" w:cs="宋体"/>
        </w:rPr>
        <w:t>投资决策是对各个可行方案进行分析和评价，并从中选择最优方案的过程。常用的财务可行性评价指标有净现值、年金净流量、现值指数、内含收益率和回收期等。</w:t>
      </w:r>
    </w:p>
    <w:p w14:paraId="3D8368D8">
      <w:pPr>
        <w:jc w:val="left"/>
        <w:rPr>
          <w:rFonts w:ascii="宋体" w:hAnsi="宋体" w:cs="宋体"/>
          <w:color w:val="FF0000"/>
        </w:rPr>
      </w:pPr>
      <w:r>
        <w:rPr>
          <w:rFonts w:hint="eastAsia" w:ascii="宋体" w:hAnsi="宋体" w:cs="宋体"/>
          <w:color w:val="FF0000"/>
        </w:rPr>
        <w:t>【知识点1】项目现金流量</w:t>
      </w:r>
    </w:p>
    <w:p w14:paraId="10CD8CFA">
      <w:pPr>
        <w:jc w:val="left"/>
        <w:rPr>
          <w:rFonts w:ascii="宋体" w:hAnsi="宋体" w:cs="宋体"/>
        </w:rPr>
      </w:pPr>
      <w:r>
        <w:rPr>
          <w:rFonts w:hint="eastAsia" w:ascii="宋体" w:hAnsi="宋体" w:cs="宋体"/>
        </w:rPr>
        <w:t>由一项长期投资方案所引起的未来一定期间所发生的现金收支，叫做现金流量（Cash Flow），其中现金收入称为现金流入量，现金支出称为现金流出量，</w:t>
      </w:r>
      <w:r>
        <w:rPr>
          <w:rFonts w:hint="eastAsia" w:ascii="宋体" w:hAnsi="宋体" w:cs="宋体"/>
          <w:color w:val="FF0000"/>
        </w:rPr>
        <w:t>现金流入量与现金流出量相抵后</w:t>
      </w:r>
      <w:r>
        <w:rPr>
          <w:rFonts w:hint="eastAsia" w:ascii="宋体" w:hAnsi="宋体" w:cs="宋体"/>
        </w:rPr>
        <w:t>的余额，称为现金净流量（Net Cash Flow，简称NCF）。</w:t>
      </w:r>
    </w:p>
    <w:p w14:paraId="53A94B31">
      <w:pPr>
        <w:jc w:val="left"/>
        <w:rPr>
          <w:rFonts w:hint="eastAsia" w:ascii="宋体" w:hAnsi="宋体" w:cs="宋体"/>
        </w:rPr>
      </w:pPr>
      <w:r>
        <w:rPr>
          <w:rFonts w:hint="eastAsia" w:ascii="宋体" w:hAnsi="宋体" w:cs="宋体"/>
        </w:rPr>
        <w:t>为简化投资项目现金流量的分析，设置如下假设：</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7822"/>
      </w:tblGrid>
      <w:tr w14:paraId="16F76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tcPr>
          <w:p w14:paraId="2D31B07B">
            <w:pPr>
              <w:jc w:val="left"/>
              <w:rPr>
                <w:rFonts w:ascii="宋体" w:hAnsi="宋体" w:cs="宋体"/>
              </w:rPr>
            </w:pPr>
            <w:r>
              <w:rPr>
                <w:rFonts w:hint="eastAsia" w:ascii="宋体" w:hAnsi="宋体" w:cs="宋体"/>
              </w:rPr>
              <w:t>1.全投资假设</w:t>
            </w:r>
          </w:p>
        </w:tc>
        <w:tc>
          <w:tcPr>
            <w:tcW w:w="3858" w:type="pct"/>
          </w:tcPr>
          <w:p w14:paraId="0AD145CC">
            <w:pPr>
              <w:jc w:val="left"/>
              <w:rPr>
                <w:rFonts w:ascii="宋体" w:hAnsi="宋体" w:cs="宋体"/>
              </w:rPr>
            </w:pPr>
            <w:r>
              <w:rPr>
                <w:rFonts w:hint="eastAsia" w:ascii="宋体" w:hAnsi="宋体" w:cs="宋体"/>
              </w:rPr>
              <w:t>仅站在投资的角度考虑全部投资的运行情况，而不具体区分自有资金和借入资金等具体形式的现金流量。即使实际存在借入资金，也将其作为自有资金对待（但在计算固定资产原值和投资总额时，还需要考虑借款利息因素）。</w:t>
            </w:r>
          </w:p>
        </w:tc>
      </w:tr>
      <w:tr w14:paraId="7C4F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tcPr>
          <w:p w14:paraId="3C32AAE7">
            <w:pPr>
              <w:jc w:val="left"/>
              <w:rPr>
                <w:rFonts w:ascii="宋体" w:hAnsi="宋体" w:cs="宋体"/>
              </w:rPr>
            </w:pPr>
            <w:r>
              <w:rPr>
                <w:rFonts w:hint="eastAsia" w:ascii="宋体" w:hAnsi="宋体" w:cs="宋体"/>
              </w:rPr>
              <w:t>2.现金流量时点假设</w:t>
            </w:r>
          </w:p>
        </w:tc>
        <w:tc>
          <w:tcPr>
            <w:tcW w:w="3858" w:type="pct"/>
          </w:tcPr>
          <w:p w14:paraId="7132D642">
            <w:pPr>
              <w:jc w:val="left"/>
              <w:rPr>
                <w:rFonts w:ascii="宋体" w:hAnsi="宋体" w:cs="宋体"/>
              </w:rPr>
            </w:pPr>
            <w:r>
              <w:rPr>
                <w:rFonts w:hint="eastAsia" w:ascii="宋体" w:hAnsi="宋体" w:cs="宋体"/>
              </w:rPr>
              <w:t>均假设按照期初或期末发生的时点指标处理。</w:t>
            </w:r>
          </w:p>
        </w:tc>
      </w:tr>
    </w:tbl>
    <w:p w14:paraId="7F396A09">
      <w:pPr>
        <w:jc w:val="left"/>
        <w:rPr>
          <w:rFonts w:ascii="宋体" w:hAnsi="宋体" w:cs="宋体"/>
        </w:rPr>
      </w:pPr>
      <w:r>
        <w:rPr>
          <w:rFonts w:hint="eastAsia" w:ascii="宋体" w:hAnsi="宋体" w:cs="宋体"/>
        </w:rPr>
        <w:drawing>
          <wp:inline distT="0" distB="0" distL="114300" distR="114300">
            <wp:extent cx="5207000" cy="960120"/>
            <wp:effectExtent l="0" t="0" r="1270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07000" cy="960120"/>
                    </a:xfrm>
                    <a:prstGeom prst="rect">
                      <a:avLst/>
                    </a:prstGeom>
                    <a:noFill/>
                    <a:ln>
                      <a:noFill/>
                    </a:ln>
                  </pic:spPr>
                </pic:pic>
              </a:graphicData>
            </a:graphic>
          </wp:inline>
        </w:drawing>
      </w:r>
    </w:p>
    <w:p w14:paraId="7A477D5C">
      <w:pPr>
        <w:jc w:val="left"/>
        <w:rPr>
          <w:rFonts w:hint="eastAsia" w:ascii="宋体" w:hAnsi="宋体" w:cs="宋体"/>
          <w:color w:val="FF0000"/>
        </w:rPr>
      </w:pPr>
      <w:r>
        <w:rPr>
          <w:rFonts w:hint="eastAsia" w:ascii="宋体" w:hAnsi="宋体" w:cs="宋体"/>
          <w:color w:val="FF0000"/>
        </w:rPr>
        <w:t>一、投资期</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8258"/>
      </w:tblGrid>
      <w:tr w14:paraId="4FB2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492D18A">
            <w:pPr>
              <w:jc w:val="left"/>
              <w:rPr>
                <w:rFonts w:ascii="宋体" w:hAnsi="宋体" w:cs="宋体"/>
              </w:rPr>
            </w:pPr>
            <w:r>
              <w:rPr>
                <w:rFonts w:hint="eastAsia" w:ascii="宋体" w:hAnsi="宋体" w:cs="宋体"/>
              </w:rPr>
              <w:t>长期资产投资</w:t>
            </w:r>
          </w:p>
        </w:tc>
        <w:tc>
          <w:tcPr>
            <w:tcW w:w="4073" w:type="pct"/>
          </w:tcPr>
          <w:p w14:paraId="6EA4843E">
            <w:pPr>
              <w:jc w:val="left"/>
              <w:rPr>
                <w:rFonts w:ascii="宋体" w:hAnsi="宋体" w:cs="宋体"/>
              </w:rPr>
            </w:pPr>
            <w:r>
              <w:rPr>
                <w:rFonts w:hint="eastAsia" w:ascii="宋体" w:hAnsi="宋体" w:cs="宋体"/>
              </w:rPr>
              <w:t>购置成本、运输费、安装费等。</w:t>
            </w:r>
          </w:p>
        </w:tc>
      </w:tr>
      <w:tr w14:paraId="0AA4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AE2A32F">
            <w:pPr>
              <w:jc w:val="left"/>
              <w:rPr>
                <w:rFonts w:ascii="宋体" w:hAnsi="宋体" w:cs="宋体"/>
              </w:rPr>
            </w:pPr>
            <w:r>
              <w:rPr>
                <w:rFonts w:hint="eastAsia" w:ascii="宋体" w:hAnsi="宋体" w:cs="宋体"/>
              </w:rPr>
              <w:t>营运资金垫支</w:t>
            </w:r>
          </w:p>
        </w:tc>
        <w:tc>
          <w:tcPr>
            <w:tcW w:w="4073" w:type="pct"/>
          </w:tcPr>
          <w:p w14:paraId="2383B006">
            <w:pPr>
              <w:jc w:val="left"/>
              <w:rPr>
                <w:rFonts w:ascii="宋体" w:hAnsi="宋体" w:cs="宋体"/>
              </w:rPr>
            </w:pPr>
            <w:r>
              <w:rPr>
                <w:rFonts w:hint="eastAsia" w:ascii="宋体" w:hAnsi="宋体" w:cs="宋体"/>
              </w:rPr>
              <w:t>追加的流动资产扩大量与结算性流动负债扩大量的净差额，但在</w:t>
            </w:r>
            <w:r>
              <w:rPr>
                <w:rFonts w:hint="eastAsia" w:ascii="宋体" w:hAnsi="宋体" w:cs="宋体"/>
                <w:color w:val="FF0000"/>
              </w:rPr>
              <w:t>终结期应于收回</w:t>
            </w:r>
            <w:r>
              <w:rPr>
                <w:rFonts w:hint="eastAsia" w:ascii="宋体" w:hAnsi="宋体" w:cs="宋体"/>
              </w:rPr>
              <w:t>。</w:t>
            </w:r>
          </w:p>
        </w:tc>
      </w:tr>
    </w:tbl>
    <w:p w14:paraId="3A68B3B6">
      <w:pPr>
        <w:jc w:val="left"/>
        <w:rPr>
          <w:rFonts w:ascii="宋体" w:hAnsi="宋体" w:cs="宋体"/>
          <w:color w:val="FF0000"/>
        </w:rPr>
      </w:pPr>
      <w:r>
        <w:rPr>
          <w:rFonts w:hint="eastAsia" w:ascii="宋体" w:hAnsi="宋体" w:cs="宋体"/>
          <w:color w:val="FF0000"/>
        </w:rPr>
        <w:t>二、营业期</w:t>
      </w:r>
    </w:p>
    <w:p w14:paraId="795A0870">
      <w:pPr>
        <w:jc w:val="left"/>
        <w:rPr>
          <w:rFonts w:ascii="宋体" w:hAnsi="宋体" w:cs="宋体"/>
        </w:rPr>
      </w:pPr>
      <w:r>
        <w:rPr>
          <w:rFonts w:hint="eastAsia" w:ascii="宋体" w:hAnsi="宋体" w:cs="宋体"/>
        </w:rPr>
        <w:t>营业阶段的项目投资主要现金流量包括：营业收入；付现营运成本；非付现成本抵税；大修理支出；所得税。</w:t>
      </w:r>
    </w:p>
    <w:p w14:paraId="5EC43939">
      <w:pPr>
        <w:jc w:val="left"/>
        <w:rPr>
          <w:rFonts w:ascii="宋体" w:hAnsi="宋体" w:cs="宋体"/>
        </w:rPr>
      </w:pPr>
      <w:r>
        <w:rPr>
          <w:rFonts w:hint="eastAsia" w:ascii="宋体" w:hAnsi="宋体" w:cs="宋体"/>
          <w:color w:val="FF0000"/>
        </w:rPr>
        <w:t>【提示1】</w:t>
      </w:r>
      <w:r>
        <w:rPr>
          <w:rFonts w:hint="eastAsia" w:ascii="宋体" w:hAnsi="宋体" w:cs="宋体"/>
        </w:rPr>
        <w:t>非付现成本抵税，非付现成本主要是固定资产年折旧费、长期资产摊销费用等。</w:t>
      </w:r>
    </w:p>
    <w:p w14:paraId="34C52264">
      <w:pPr>
        <w:jc w:val="left"/>
        <w:rPr>
          <w:rFonts w:ascii="宋体" w:hAnsi="宋体" w:cs="宋体"/>
          <w:color w:val="FF0000"/>
        </w:rPr>
      </w:pPr>
      <w:r>
        <w:rPr>
          <w:rFonts w:hint="eastAsia" w:ascii="宋体" w:hAnsi="宋体" w:cs="宋体"/>
          <w:color w:val="FF0000"/>
        </w:rPr>
        <w:t>计算涉及公式：</w:t>
      </w:r>
    </w:p>
    <w:p w14:paraId="696E7E81">
      <w:pPr>
        <w:jc w:val="left"/>
        <w:rPr>
          <w:rFonts w:ascii="宋体" w:hAnsi="宋体" w:cs="宋体"/>
        </w:rPr>
      </w:pPr>
      <w:r>
        <w:rPr>
          <w:rFonts w:hint="eastAsia" w:ascii="宋体" w:hAnsi="宋体" w:cs="宋体"/>
        </w:rPr>
        <w:t>营业现金净流量</w:t>
      </w:r>
    </w:p>
    <w:p w14:paraId="0BAB3B7A">
      <w:pPr>
        <w:jc w:val="left"/>
        <w:rPr>
          <w:rFonts w:ascii="宋体" w:hAnsi="宋体" w:cs="宋体"/>
        </w:rPr>
      </w:pPr>
      <w:r>
        <w:rPr>
          <w:rFonts w:hint="eastAsia" w:ascii="宋体" w:hAnsi="宋体" w:cs="宋体"/>
        </w:rPr>
        <w:t>＝营业收入－付现成本－所得税</w:t>
      </w:r>
    </w:p>
    <w:p w14:paraId="214CC16C">
      <w:pPr>
        <w:jc w:val="left"/>
        <w:rPr>
          <w:rFonts w:ascii="宋体" w:hAnsi="宋体" w:cs="宋体"/>
        </w:rPr>
      </w:pPr>
      <w:r>
        <w:rPr>
          <w:rFonts w:hint="eastAsia" w:ascii="宋体" w:hAnsi="宋体" w:cs="宋体"/>
        </w:rPr>
        <w:t>＝营业收入－付现成本－非付现成本 + 非付现成本 - 所得税</w:t>
      </w:r>
    </w:p>
    <w:p w14:paraId="17E58521">
      <w:pPr>
        <w:jc w:val="left"/>
        <w:rPr>
          <w:rFonts w:ascii="宋体" w:hAnsi="宋体" w:cs="宋体"/>
        </w:rPr>
      </w:pPr>
      <w:r>
        <w:rPr>
          <w:rFonts w:hint="eastAsia" w:ascii="宋体" w:hAnsi="宋体" w:cs="宋体"/>
        </w:rPr>
        <w:t>＝营业收入－总成本－所得税＋非付现成本</w:t>
      </w:r>
    </w:p>
    <w:p w14:paraId="6D81BCD0">
      <w:pPr>
        <w:jc w:val="left"/>
        <w:rPr>
          <w:rFonts w:ascii="宋体" w:hAnsi="宋体" w:cs="宋体"/>
          <w:color w:val="FF0000"/>
        </w:rPr>
      </w:pPr>
      <w:r>
        <w:rPr>
          <w:rFonts w:hint="eastAsia" w:ascii="宋体" w:hAnsi="宋体" w:cs="宋体"/>
          <w:color w:val="FF0000"/>
        </w:rPr>
        <w:t>＝税后营业利润＋非付现成本</w:t>
      </w:r>
    </w:p>
    <w:p w14:paraId="0C42B4EC">
      <w:pPr>
        <w:jc w:val="left"/>
        <w:rPr>
          <w:rFonts w:ascii="宋体" w:hAnsi="宋体" w:cs="宋体"/>
        </w:rPr>
      </w:pPr>
      <w:r>
        <w:rPr>
          <w:rFonts w:hint="eastAsia" w:ascii="宋体" w:hAnsi="宋体" w:cs="宋体"/>
        </w:rPr>
        <w:t>＝（营业收入－付现成本－非付现成本）×（1－所得税税率）＋非付现成本</w:t>
      </w:r>
    </w:p>
    <w:p w14:paraId="3BF47B8F">
      <w:pPr>
        <w:jc w:val="left"/>
        <w:rPr>
          <w:rFonts w:ascii="宋体" w:hAnsi="宋体" w:cs="宋体"/>
        </w:rPr>
      </w:pPr>
      <w:r>
        <w:rPr>
          <w:rFonts w:hint="eastAsia" w:ascii="宋体" w:hAnsi="宋体" w:cs="宋体"/>
        </w:rPr>
        <w:t>＝营业收入×（1－所得税税率）－付现成本×（1－所得税税率）＋非付现成本×所得税税率</w:t>
      </w:r>
    </w:p>
    <w:p w14:paraId="7B9C26CB">
      <w:pPr>
        <w:jc w:val="left"/>
        <w:rPr>
          <w:rFonts w:ascii="宋体" w:hAnsi="宋体" w:cs="宋体"/>
          <w:color w:val="FF0000"/>
        </w:rPr>
      </w:pPr>
      <w:r>
        <w:rPr>
          <w:rFonts w:hint="eastAsia" w:ascii="宋体" w:hAnsi="宋体" w:cs="宋体"/>
          <w:color w:val="FF0000"/>
        </w:rPr>
        <w:t>＝税后营业收入－税后付现成本＋非付现成本×所得税税率</w:t>
      </w:r>
    </w:p>
    <w:p w14:paraId="4BCA1DA3">
      <w:pPr>
        <w:jc w:val="left"/>
        <w:rPr>
          <w:rFonts w:ascii="宋体" w:hAnsi="宋体" w:cs="宋体"/>
        </w:rPr>
      </w:pPr>
    </w:p>
    <w:p w14:paraId="148C1047">
      <w:pPr>
        <w:jc w:val="left"/>
        <w:rPr>
          <w:rFonts w:ascii="宋体" w:hAnsi="宋体" w:cs="宋体"/>
        </w:rPr>
      </w:pPr>
      <w:r>
        <w:rPr>
          <w:rFonts w:hint="eastAsia" w:ascii="宋体" w:hAnsi="宋体" w:cs="宋体"/>
        </w:rPr>
        <w:t>【判断题】（2023年）某公司的投资项目在营业期内发生大修理支出，如果跨年摊销处理，则摊销年份的摊销额应以付现成本形式处理。（  ）</w:t>
      </w:r>
    </w:p>
    <w:p w14:paraId="769F8AB2">
      <w:pPr>
        <w:jc w:val="left"/>
        <w:rPr>
          <w:rFonts w:ascii="宋体" w:hAnsi="宋体" w:cs="宋体"/>
        </w:rPr>
      </w:pPr>
      <w:r>
        <w:rPr>
          <w:rFonts w:hint="eastAsia" w:ascii="宋体" w:hAnsi="宋体" w:cs="宋体"/>
        </w:rPr>
        <w:t>答案：x</w:t>
      </w:r>
    </w:p>
    <w:p w14:paraId="2508CA27">
      <w:pPr>
        <w:jc w:val="left"/>
        <w:rPr>
          <w:rFonts w:ascii="宋体" w:hAnsi="宋体" w:cs="宋体"/>
        </w:rPr>
      </w:pPr>
      <w:r>
        <w:rPr>
          <w:rFonts w:hint="eastAsia" w:ascii="宋体" w:hAnsi="宋体" w:cs="宋体"/>
        </w:rPr>
        <w:t>解析：某公司的投资项目在营业期内发生大修理支出，如果跨年摊销处理，则本年作为投资性的现金流出量，摊销年份以非付现成本形式处理。</w:t>
      </w:r>
    </w:p>
    <w:p w14:paraId="56D812BA">
      <w:pPr>
        <w:jc w:val="left"/>
        <w:rPr>
          <w:rFonts w:ascii="宋体" w:hAnsi="宋体" w:cs="宋体"/>
        </w:rPr>
      </w:pPr>
    </w:p>
    <w:p w14:paraId="7A856982">
      <w:pPr>
        <w:jc w:val="left"/>
        <w:rPr>
          <w:rFonts w:ascii="宋体" w:hAnsi="宋体" w:cs="宋体"/>
        </w:rPr>
      </w:pPr>
      <w:r>
        <w:rPr>
          <w:rFonts w:hint="eastAsia" w:ascii="宋体" w:hAnsi="宋体" w:cs="宋体"/>
        </w:rPr>
        <w:t>【单选题】（2017年）某投资项目某年的营业收入为600 000元，付现成本为400 000元，折旧额为100 000元，所得税税率为25%，则该年营业现金净流量为（  ）元。</w:t>
      </w:r>
    </w:p>
    <w:p w14:paraId="5FD3ED90">
      <w:pPr>
        <w:jc w:val="left"/>
        <w:rPr>
          <w:rFonts w:ascii="宋体" w:hAnsi="宋体" w:cs="宋体"/>
        </w:rPr>
      </w:pPr>
      <w:r>
        <w:rPr>
          <w:rFonts w:hint="eastAsia" w:ascii="宋体" w:hAnsi="宋体" w:cs="宋体"/>
        </w:rPr>
        <w:t xml:space="preserve">A.250 000          B.175 000           </w:t>
      </w:r>
    </w:p>
    <w:p w14:paraId="109F88A6">
      <w:pPr>
        <w:jc w:val="left"/>
        <w:rPr>
          <w:rFonts w:ascii="宋体" w:hAnsi="宋体" w:cs="宋体"/>
        </w:rPr>
      </w:pPr>
      <w:r>
        <w:rPr>
          <w:rFonts w:hint="eastAsia" w:ascii="宋体" w:hAnsi="宋体" w:cs="宋体"/>
        </w:rPr>
        <w:t>C.75 000           D.100 000</w:t>
      </w:r>
    </w:p>
    <w:p w14:paraId="21B76C0A">
      <w:pPr>
        <w:jc w:val="left"/>
        <w:rPr>
          <w:rFonts w:ascii="宋体" w:hAnsi="宋体" w:cs="宋体"/>
        </w:rPr>
      </w:pPr>
      <w:r>
        <w:rPr>
          <w:rFonts w:hint="eastAsia" w:ascii="宋体" w:hAnsi="宋体" w:cs="宋体"/>
        </w:rPr>
        <w:t>答案：B</w:t>
      </w:r>
    </w:p>
    <w:p w14:paraId="796AD91B">
      <w:pPr>
        <w:jc w:val="left"/>
        <w:rPr>
          <w:rFonts w:ascii="宋体" w:hAnsi="宋体" w:cs="宋体"/>
        </w:rPr>
      </w:pPr>
      <w:r>
        <w:rPr>
          <w:rFonts w:hint="eastAsia" w:ascii="宋体" w:hAnsi="宋体" w:cs="宋体"/>
        </w:rPr>
        <w:t>解析：年营业现金净流量＝税后营业收入－税后付现成本＋非付现成本抵税</w:t>
      </w:r>
    </w:p>
    <w:p w14:paraId="1862812A">
      <w:pPr>
        <w:jc w:val="left"/>
        <w:rPr>
          <w:rFonts w:ascii="宋体" w:hAnsi="宋体" w:cs="宋体"/>
        </w:rPr>
      </w:pPr>
      <w:r>
        <w:rPr>
          <w:rFonts w:hint="eastAsia" w:ascii="宋体" w:hAnsi="宋体" w:cs="宋体"/>
        </w:rPr>
        <w:t>＝600000×（1－25%）－400000×（1－25%）＋100000×25%＝175000（元）</w:t>
      </w:r>
    </w:p>
    <w:p w14:paraId="4FF61F75">
      <w:pPr>
        <w:jc w:val="left"/>
        <w:rPr>
          <w:rFonts w:ascii="宋体" w:hAnsi="宋体" w:cs="宋体"/>
        </w:rPr>
      </w:pPr>
      <w:r>
        <w:rPr>
          <w:rFonts w:hint="eastAsia" w:ascii="宋体" w:hAnsi="宋体" w:cs="宋体"/>
        </w:rPr>
        <w:t>或者：年营业现金净流量＝税后营业利润＋非付现成本</w:t>
      </w:r>
    </w:p>
    <w:p w14:paraId="5BFA7CDB">
      <w:pPr>
        <w:jc w:val="left"/>
        <w:rPr>
          <w:rFonts w:ascii="宋体" w:hAnsi="宋体" w:cs="宋体"/>
        </w:rPr>
      </w:pPr>
      <w:r>
        <w:rPr>
          <w:rFonts w:hint="eastAsia" w:ascii="宋体" w:hAnsi="宋体" w:cs="宋体"/>
        </w:rPr>
        <w:t>＝（600000－400000－100000）×（1－25%）＋100000＝175 000（元）</w:t>
      </w:r>
    </w:p>
    <w:p w14:paraId="73021813">
      <w:pPr>
        <w:jc w:val="left"/>
        <w:rPr>
          <w:rFonts w:ascii="宋体" w:hAnsi="宋体" w:cs="宋体"/>
        </w:rPr>
      </w:pPr>
      <w:r>
        <w:rPr>
          <w:rFonts w:hint="eastAsia" w:ascii="宋体" w:hAnsi="宋体" w:cs="宋体"/>
        </w:rPr>
        <w:t>或者：年营业现金净流量＝营业收入－付现成本－所得税</w:t>
      </w:r>
    </w:p>
    <w:p w14:paraId="17CA0650">
      <w:pPr>
        <w:jc w:val="left"/>
        <w:rPr>
          <w:rFonts w:hint="eastAsia" w:ascii="宋体" w:hAnsi="宋体" w:cs="宋体"/>
        </w:rPr>
      </w:pPr>
      <w:r>
        <w:rPr>
          <w:rFonts w:hint="eastAsia" w:ascii="宋体" w:hAnsi="宋体" w:cs="宋体"/>
        </w:rPr>
        <w:t>＝600000－400000－（600000－400000－100000）×25%＝175 000（元）</w:t>
      </w:r>
    </w:p>
    <w:p w14:paraId="5A2073A3">
      <w:pPr>
        <w:overflowPunct w:val="0"/>
        <w:jc w:val="center"/>
        <w:rPr>
          <w:rFonts w:ascii="宋体" w:hAnsi="宋体" w:cs="宋体"/>
          <w:b/>
          <w:bCs/>
        </w:rPr>
      </w:pPr>
      <w:r>
        <w:rPr>
          <w:rFonts w:hint="eastAsia" w:ascii="宋体" w:hAnsi="宋体" w:cs="宋体"/>
          <w:b/>
          <w:bCs/>
        </w:rPr>
        <w:t>第二节  投资项目财务评价指标</w:t>
      </w:r>
    </w:p>
    <w:p w14:paraId="3E8A1300">
      <w:pPr>
        <w:jc w:val="left"/>
        <w:rPr>
          <w:rFonts w:ascii="宋体" w:hAnsi="宋体" w:cs="宋体"/>
          <w:color w:val="FF0000"/>
        </w:rPr>
      </w:pPr>
      <w:r>
        <w:rPr>
          <w:rFonts w:hint="eastAsia" w:ascii="宋体" w:hAnsi="宋体" w:cs="宋体"/>
          <w:color w:val="FF0000"/>
        </w:rPr>
        <w:t>三、终结期</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7968"/>
      </w:tblGrid>
      <w:tr w14:paraId="13A2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1B9DBABA">
            <w:pPr>
              <w:jc w:val="left"/>
              <w:rPr>
                <w:rFonts w:ascii="宋体" w:hAnsi="宋体" w:cs="宋体"/>
              </w:rPr>
            </w:pPr>
            <w:r>
              <w:rPr>
                <w:rFonts w:hint="eastAsia" w:ascii="宋体" w:hAnsi="宋体" w:cs="宋体"/>
              </w:rPr>
              <w:t>固定资产变价净收入</w:t>
            </w:r>
          </w:p>
        </w:tc>
        <w:tc>
          <w:tcPr>
            <w:tcW w:w="3930" w:type="pct"/>
          </w:tcPr>
          <w:p w14:paraId="20FC1A70">
            <w:pPr>
              <w:jc w:val="left"/>
              <w:rPr>
                <w:rFonts w:ascii="宋体" w:hAnsi="宋体" w:cs="宋体"/>
              </w:rPr>
            </w:pPr>
            <w:r>
              <w:rPr>
                <w:rFonts w:hint="eastAsia" w:ascii="宋体" w:hAnsi="宋体" w:cs="宋体"/>
              </w:rPr>
              <w:t>出售价款或残值收入－固定资产账面价值</w:t>
            </w:r>
          </w:p>
        </w:tc>
      </w:tr>
      <w:tr w14:paraId="2C67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63BACE75">
            <w:pPr>
              <w:jc w:val="left"/>
              <w:rPr>
                <w:rFonts w:ascii="宋体" w:hAnsi="宋体" w:cs="宋体"/>
              </w:rPr>
            </w:pPr>
            <w:r>
              <w:rPr>
                <w:rFonts w:hint="eastAsia" w:ascii="宋体" w:hAnsi="宋体" w:cs="宋体"/>
              </w:rPr>
              <w:t>固定资产变现净损益对现金流量的影响</w:t>
            </w:r>
          </w:p>
        </w:tc>
        <w:tc>
          <w:tcPr>
            <w:tcW w:w="3930" w:type="pct"/>
          </w:tcPr>
          <w:p w14:paraId="67366F4A">
            <w:pPr>
              <w:jc w:val="left"/>
              <w:rPr>
                <w:rFonts w:ascii="宋体" w:hAnsi="宋体" w:cs="宋体"/>
              </w:rPr>
            </w:pPr>
            <w:r>
              <w:rPr>
                <w:rFonts w:hint="eastAsia" w:ascii="宋体" w:hAnsi="宋体" w:cs="宋体"/>
              </w:rPr>
              <w:t>（1）如果（账面价值－变价净收入）＞0，则意味着发生了变现净损失，可以抵税，减少现金流出，增加现金净流量，即：“（账面价值－变价净收入）×所得税率”计算结果大于0，构成终结期的现金</w:t>
            </w:r>
            <w:r>
              <w:rPr>
                <w:rFonts w:hint="eastAsia" w:ascii="宋体" w:hAnsi="宋体" w:cs="宋体"/>
                <w:color w:val="FF0000"/>
              </w:rPr>
              <w:t>流入</w:t>
            </w:r>
            <w:r>
              <w:rPr>
                <w:rFonts w:hint="eastAsia" w:ascii="宋体" w:hAnsi="宋体" w:cs="宋体"/>
              </w:rPr>
              <w:t>量。</w:t>
            </w:r>
          </w:p>
          <w:p w14:paraId="3989647E">
            <w:pPr>
              <w:jc w:val="left"/>
              <w:rPr>
                <w:rFonts w:ascii="宋体" w:hAnsi="宋体" w:cs="宋体"/>
              </w:rPr>
            </w:pPr>
            <w:r>
              <w:rPr>
                <w:rFonts w:hint="eastAsia" w:ascii="宋体" w:hAnsi="宋体" w:cs="宋体"/>
              </w:rPr>
              <w:t>（2）如果（账面价值－变价净收人）＜0，则意味着实现了变现净收益，应该纳税，增加现金流出，减少现金净流量。即：“（账面价值－变价净收入）×所得税率”计算结果小于0，构成终结期的现金</w:t>
            </w:r>
            <w:r>
              <w:rPr>
                <w:rFonts w:hint="eastAsia" w:ascii="宋体" w:hAnsi="宋体" w:cs="宋体"/>
                <w:color w:val="FF0000"/>
              </w:rPr>
              <w:t>流出</w:t>
            </w:r>
            <w:r>
              <w:rPr>
                <w:rFonts w:hint="eastAsia" w:ascii="宋体" w:hAnsi="宋体" w:cs="宋体"/>
              </w:rPr>
              <w:t>量。</w:t>
            </w:r>
          </w:p>
        </w:tc>
      </w:tr>
      <w:tr w14:paraId="4F70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 w:type="pct"/>
          </w:tcPr>
          <w:p w14:paraId="1EA3CC88">
            <w:pPr>
              <w:jc w:val="left"/>
              <w:rPr>
                <w:rFonts w:ascii="宋体" w:hAnsi="宋体" w:cs="宋体"/>
              </w:rPr>
            </w:pPr>
            <w:r>
              <w:rPr>
                <w:rFonts w:hint="eastAsia" w:ascii="宋体" w:hAnsi="宋体" w:cs="宋体"/>
              </w:rPr>
              <w:t>垫支营运资金收回</w:t>
            </w:r>
          </w:p>
        </w:tc>
        <w:tc>
          <w:tcPr>
            <w:tcW w:w="3930" w:type="pct"/>
          </w:tcPr>
          <w:p w14:paraId="6D1F6208">
            <w:pPr>
              <w:jc w:val="left"/>
              <w:rPr>
                <w:rFonts w:ascii="宋体" w:hAnsi="宋体" w:cs="宋体"/>
              </w:rPr>
            </w:pPr>
            <w:r>
              <w:rPr>
                <w:rFonts w:hint="eastAsia" w:ascii="宋体" w:hAnsi="宋体" w:cs="宋体"/>
              </w:rPr>
              <w:t>期初垫支资金，期末收回</w:t>
            </w:r>
          </w:p>
        </w:tc>
      </w:tr>
    </w:tbl>
    <w:p w14:paraId="66C34F29">
      <w:pPr>
        <w:jc w:val="left"/>
        <w:rPr>
          <w:rFonts w:ascii="宋体" w:hAnsi="宋体" w:cs="宋体"/>
        </w:rPr>
      </w:pPr>
      <w:r>
        <w:rPr>
          <w:rFonts w:hint="eastAsia" w:ascii="宋体" w:hAnsi="宋体" w:cs="宋体"/>
          <w:color w:val="FF0000"/>
        </w:rPr>
        <w:t>【例】</w:t>
      </w:r>
      <w:r>
        <w:rPr>
          <w:rFonts w:hint="eastAsia" w:ascii="宋体" w:hAnsi="宋体" w:cs="宋体"/>
        </w:rPr>
        <w:t>某投资项目需要3年建成，每年年初投入建设资金90万元，共投入270万元。建成投产之时，需营运资金140万元，以满足日常经营活动需要。项目投产后，估计每年可获税后营业利润60万元。固定资产使用年限为7年，使用后第5年预计进行一次改良，估计改良支出80万元，分两年平均摊销。资产使用期满后，估计有残值净收入11万元，采用平均年限法折旧。项目期满时，垫支营运资金全额收回。</w:t>
      </w:r>
    </w:p>
    <w:p w14:paraId="50F90A8A">
      <w:pPr>
        <w:jc w:val="left"/>
        <w:rPr>
          <w:rFonts w:ascii="宋体" w:hAnsi="宋体" w:cs="宋体"/>
        </w:rPr>
      </w:pPr>
      <w:r>
        <w:rPr>
          <w:rFonts w:hint="eastAsia" w:ascii="宋体" w:hAnsi="宋体" w:cs="宋体"/>
        </w:rPr>
        <w:t>根据以上资料，编制成“投资项目现金流量表”如表所示。</w:t>
      </w:r>
    </w:p>
    <w:p w14:paraId="328A8B91">
      <w:pPr>
        <w:jc w:val="center"/>
        <w:rPr>
          <w:rFonts w:hint="eastAsia" w:ascii="宋体" w:hAnsi="宋体" w:cs="宋体"/>
        </w:rPr>
      </w:pPr>
      <w:r>
        <w:rPr>
          <w:rFonts w:hint="eastAsia" w:ascii="宋体" w:hAnsi="宋体" w:cs="宋体"/>
        </w:rPr>
        <w:t>投资项目现金流量表　　　　单位：万元</w:t>
      </w:r>
    </w:p>
    <w:p w14:paraId="4042CBC8">
      <w:pPr>
        <w:jc w:val="left"/>
        <w:rPr>
          <w:rFonts w:ascii="宋体" w:hAnsi="宋体" w:cs="宋体"/>
        </w:rPr>
      </w:pPr>
      <w:r>
        <w:rPr>
          <w:rFonts w:hint="eastAsia" w:ascii="宋体" w:hAnsi="宋体" w:cs="宋体"/>
        </w:rPr>
        <w:drawing>
          <wp:inline distT="0" distB="0" distL="114300" distR="114300">
            <wp:extent cx="6235700" cy="1845310"/>
            <wp:effectExtent l="0" t="0" r="1270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282239" cy="1859390"/>
                    </a:xfrm>
                    <a:prstGeom prst="rect">
                      <a:avLst/>
                    </a:prstGeom>
                    <a:noFill/>
                    <a:ln>
                      <a:noFill/>
                    </a:ln>
                  </pic:spPr>
                </pic:pic>
              </a:graphicData>
            </a:graphic>
          </wp:inline>
        </w:drawing>
      </w:r>
      <w:r>
        <w:rPr>
          <w:rFonts w:hint="eastAsia" w:ascii="宋体" w:hAnsi="宋体" w:cs="宋体"/>
          <w:color w:val="FF0000"/>
        </w:rPr>
        <w:t>【例】</w:t>
      </w:r>
      <w:r>
        <w:rPr>
          <w:rFonts w:hint="eastAsia" w:ascii="宋体" w:hAnsi="宋体" w:cs="宋体"/>
        </w:rPr>
        <w:t>某公司计划增添一条生产流水线，以扩充生产能力。现有甲、乙两个方案可供选择。甲方案需要投资500000元，乙方案需要投资750000元。两方案的预计使用寿命均为5年，折旧均采用直线法，预计残值甲方案为20000元，乙方案为30000元。甲方案预计年销售收入为1000000元，第一年付现成本为660000元，以后在此基础上每年增加维修费10000元。乙方案预计年销售收入为1400000元，年付现成本为1050000元。方案投入营运时，甲方案需垫支营运资金200000元，乙方案需垫支营运资金250000元。公司所得税税率为25%。</w:t>
      </w:r>
    </w:p>
    <w:p w14:paraId="29485000">
      <w:pPr>
        <w:jc w:val="left"/>
        <w:rPr>
          <w:rFonts w:ascii="宋体" w:hAnsi="宋体" w:cs="宋体"/>
        </w:rPr>
      </w:pPr>
      <w:r>
        <w:rPr>
          <w:rFonts w:hint="eastAsia" w:ascii="宋体" w:hAnsi="宋体" w:cs="宋体"/>
          <w:color w:val="FF0000"/>
        </w:rPr>
        <w:t>答案：</w:t>
      </w:r>
      <w:r>
        <w:rPr>
          <w:rFonts w:hint="eastAsia" w:ascii="宋体" w:hAnsi="宋体" w:cs="宋体"/>
        </w:rPr>
        <w:t>甲方案：</w:t>
      </w:r>
    </w:p>
    <w:p w14:paraId="3C4D921F">
      <w:pPr>
        <w:jc w:val="left"/>
        <w:rPr>
          <w:rFonts w:ascii="宋体" w:hAnsi="宋体" w:cs="宋体"/>
        </w:rPr>
      </w:pPr>
      <w:r>
        <w:rPr>
          <w:rFonts w:hint="eastAsia" w:ascii="宋体" w:hAnsi="宋体" w:cs="宋体"/>
        </w:rPr>
        <w:t>营业现金净流量＝（收入－付现成本 – 非付现成本）×（1-所得税税率）+非付现成本</w:t>
      </w:r>
    </w:p>
    <w:p w14:paraId="7D2F0148">
      <w:pPr>
        <w:jc w:val="left"/>
        <w:rPr>
          <w:rFonts w:ascii="宋体" w:hAnsi="宋体" w:cs="宋体"/>
        </w:rPr>
      </w:pPr>
      <w:r>
        <w:rPr>
          <w:rFonts w:hint="eastAsia" w:ascii="宋体" w:hAnsi="宋体" w:cs="宋体"/>
        </w:rPr>
        <w:t>＝收入×（1－所得税税率）－付现成本×（1－所得税税率）＋非付现成本×所得税税率</w:t>
      </w:r>
    </w:p>
    <w:p w14:paraId="40BB0393">
      <w:pPr>
        <w:jc w:val="left"/>
        <w:rPr>
          <w:rFonts w:ascii="宋体" w:hAnsi="宋体" w:cs="宋体"/>
        </w:rPr>
      </w:pPr>
      <w:r>
        <w:rPr>
          <w:rFonts w:hint="eastAsia" w:ascii="宋体" w:hAnsi="宋体" w:cs="宋体"/>
        </w:rPr>
        <w:t>折旧 =（ 500000 – 20000 ）÷ 5 = 96000（元）</w:t>
      </w:r>
    </w:p>
    <w:p w14:paraId="33D2D1E0">
      <w:pPr>
        <w:jc w:val="left"/>
        <w:rPr>
          <w:rFonts w:hint="eastAsia" w:ascii="宋体" w:hAnsi="宋体" w:cs="宋体"/>
        </w:rPr>
      </w:pPr>
      <w:r>
        <w:rPr>
          <w:rFonts w:hint="eastAsia" w:ascii="宋体" w:hAnsi="宋体" w:cs="宋体"/>
        </w:rPr>
        <w:t>甲方案营业期现金流量计算表</w:t>
      </w:r>
    </w:p>
    <w:p w14:paraId="4CA8CB61">
      <w:pPr>
        <w:jc w:val="left"/>
        <w:rPr>
          <w:rFonts w:ascii="宋体" w:hAnsi="宋体" w:cs="宋体"/>
        </w:rPr>
      </w:pPr>
      <w:r>
        <w:rPr>
          <w:rFonts w:hint="eastAsia" w:ascii="宋体" w:hAnsi="宋体" w:cs="宋体"/>
        </w:rPr>
        <w:drawing>
          <wp:inline distT="0" distB="0" distL="114300" distR="114300">
            <wp:extent cx="5208270" cy="2129155"/>
            <wp:effectExtent l="0" t="0" r="1143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BEBA8EAE-BF5A-486C-A8C5-ECC9F3942E4B}">
                          <a14:imgProps xmlns:a14="http://schemas.microsoft.com/office/drawing/2010/main">
                            <a14:imgLayer r:embed="rId8">
                              <a14:imgEffect>
                                <a14:brightnessContrast bright="-100000"/>
                              </a14:imgEffect>
                            </a14:imgLayer>
                          </a14:imgProps>
                        </a:ext>
                      </a:extLst>
                    </a:blip>
                    <a:stretch>
                      <a:fillRect/>
                    </a:stretch>
                  </pic:blipFill>
                  <pic:spPr>
                    <a:xfrm>
                      <a:off x="0" y="0"/>
                      <a:ext cx="5208270" cy="2129155"/>
                    </a:xfrm>
                    <a:prstGeom prst="rect">
                      <a:avLst/>
                    </a:prstGeom>
                    <a:noFill/>
                    <a:ln>
                      <a:noFill/>
                    </a:ln>
                  </pic:spPr>
                </pic:pic>
              </a:graphicData>
            </a:graphic>
          </wp:inline>
        </w:drawing>
      </w:r>
    </w:p>
    <w:p w14:paraId="335BC1FA">
      <w:pPr>
        <w:jc w:val="left"/>
        <w:rPr>
          <w:rFonts w:ascii="宋体" w:hAnsi="宋体" w:cs="宋体"/>
        </w:rPr>
      </w:pPr>
      <w:r>
        <w:rPr>
          <w:rFonts w:hint="eastAsia" w:ascii="宋体" w:hAnsi="宋体" w:cs="宋体"/>
        </w:rPr>
        <w:t>甲方案投资项目现金流量计算表</w:t>
      </w:r>
    </w:p>
    <w:tbl>
      <w:tblPr>
        <w:tblStyle w:val="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0"/>
        <w:gridCol w:w="1449"/>
        <w:gridCol w:w="1305"/>
        <w:gridCol w:w="1305"/>
        <w:gridCol w:w="1305"/>
        <w:gridCol w:w="1161"/>
        <w:gridCol w:w="1147"/>
      </w:tblGrid>
      <w:tr w14:paraId="1A74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4" w:type="pct"/>
          </w:tcPr>
          <w:p w14:paraId="4C0410CA">
            <w:pPr>
              <w:jc w:val="right"/>
              <w:rPr>
                <w:rFonts w:ascii="宋体" w:hAnsi="宋体" w:cs="宋体"/>
              </w:rPr>
            </w:pPr>
            <w:r>
              <w:rPr>
                <w:rFonts w:hint="eastAsia" w:ascii="宋体" w:hAnsi="宋体" w:cs="宋体"/>
              </w:rPr>
              <w:t>年份</w:t>
            </w:r>
          </w:p>
          <w:p w14:paraId="7F42C441">
            <w:pPr>
              <w:jc w:val="left"/>
              <w:rPr>
                <w:rFonts w:ascii="宋体" w:hAnsi="宋体" w:cs="宋体"/>
              </w:rPr>
            </w:pPr>
            <w:r>
              <w:rPr>
                <w:rFonts w:hint="eastAsia" w:ascii="宋体" w:hAnsi="宋体" w:cs="宋体"/>
              </w:rPr>
              <w:t>项目</w:t>
            </w:r>
          </w:p>
        </w:tc>
        <w:tc>
          <w:tcPr>
            <w:tcW w:w="715" w:type="pct"/>
          </w:tcPr>
          <w:p w14:paraId="2E4A5D7B">
            <w:pPr>
              <w:jc w:val="center"/>
              <w:rPr>
                <w:rFonts w:ascii="宋体" w:hAnsi="宋体" w:cs="宋体"/>
              </w:rPr>
            </w:pPr>
            <w:r>
              <w:rPr>
                <w:rFonts w:hint="eastAsia" w:ascii="宋体" w:hAnsi="宋体" w:cs="宋体"/>
              </w:rPr>
              <w:t>0</w:t>
            </w:r>
          </w:p>
        </w:tc>
        <w:tc>
          <w:tcPr>
            <w:tcW w:w="644" w:type="pct"/>
          </w:tcPr>
          <w:p w14:paraId="3CAD32E5">
            <w:pPr>
              <w:jc w:val="center"/>
              <w:rPr>
                <w:rFonts w:ascii="宋体" w:hAnsi="宋体" w:cs="宋体"/>
              </w:rPr>
            </w:pPr>
            <w:r>
              <w:rPr>
                <w:rFonts w:hint="eastAsia" w:ascii="宋体" w:hAnsi="宋体" w:cs="宋体"/>
              </w:rPr>
              <w:t>1</w:t>
            </w:r>
          </w:p>
        </w:tc>
        <w:tc>
          <w:tcPr>
            <w:tcW w:w="644" w:type="pct"/>
          </w:tcPr>
          <w:p w14:paraId="4012177B">
            <w:pPr>
              <w:jc w:val="center"/>
              <w:rPr>
                <w:rFonts w:ascii="宋体" w:hAnsi="宋体" w:cs="宋体"/>
              </w:rPr>
            </w:pPr>
            <w:r>
              <w:rPr>
                <w:rFonts w:hint="eastAsia" w:ascii="宋体" w:hAnsi="宋体" w:cs="宋体"/>
              </w:rPr>
              <w:t>2</w:t>
            </w:r>
          </w:p>
        </w:tc>
        <w:tc>
          <w:tcPr>
            <w:tcW w:w="644" w:type="pct"/>
          </w:tcPr>
          <w:p w14:paraId="59059E39">
            <w:pPr>
              <w:jc w:val="center"/>
              <w:rPr>
                <w:rFonts w:ascii="宋体" w:hAnsi="宋体" w:cs="宋体"/>
              </w:rPr>
            </w:pPr>
            <w:r>
              <w:rPr>
                <w:rFonts w:hint="eastAsia" w:ascii="宋体" w:hAnsi="宋体" w:cs="宋体"/>
              </w:rPr>
              <w:t>3</w:t>
            </w:r>
          </w:p>
        </w:tc>
        <w:tc>
          <w:tcPr>
            <w:tcW w:w="573" w:type="pct"/>
          </w:tcPr>
          <w:p w14:paraId="25B93714">
            <w:pPr>
              <w:jc w:val="center"/>
              <w:rPr>
                <w:rFonts w:ascii="宋体" w:hAnsi="宋体" w:cs="宋体"/>
              </w:rPr>
            </w:pPr>
            <w:r>
              <w:rPr>
                <w:rFonts w:hint="eastAsia" w:ascii="宋体" w:hAnsi="宋体" w:cs="宋体"/>
              </w:rPr>
              <w:t>4</w:t>
            </w:r>
          </w:p>
        </w:tc>
        <w:tc>
          <w:tcPr>
            <w:tcW w:w="566" w:type="pct"/>
          </w:tcPr>
          <w:p w14:paraId="7F69767C">
            <w:pPr>
              <w:jc w:val="center"/>
              <w:rPr>
                <w:rFonts w:ascii="宋体" w:hAnsi="宋体" w:cs="宋体"/>
              </w:rPr>
            </w:pPr>
            <w:r>
              <w:rPr>
                <w:rFonts w:hint="eastAsia" w:ascii="宋体" w:hAnsi="宋体" w:cs="宋体"/>
              </w:rPr>
              <w:t>5</w:t>
            </w:r>
          </w:p>
        </w:tc>
      </w:tr>
      <w:tr w14:paraId="1447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6C9E1155">
            <w:pPr>
              <w:jc w:val="center"/>
              <w:rPr>
                <w:rFonts w:ascii="宋体" w:hAnsi="宋体" w:cs="宋体"/>
              </w:rPr>
            </w:pPr>
            <w:r>
              <w:rPr>
                <w:rFonts w:hint="eastAsia" w:ascii="宋体" w:hAnsi="宋体" w:cs="宋体"/>
              </w:rPr>
              <w:t>固定资产投资</w:t>
            </w:r>
          </w:p>
        </w:tc>
        <w:tc>
          <w:tcPr>
            <w:tcW w:w="715" w:type="pct"/>
          </w:tcPr>
          <w:p w14:paraId="46F2155F">
            <w:pPr>
              <w:jc w:val="center"/>
              <w:rPr>
                <w:rFonts w:ascii="宋体" w:hAnsi="宋体" w:cs="宋体"/>
              </w:rPr>
            </w:pPr>
            <w:r>
              <w:rPr>
                <w:rFonts w:hint="eastAsia" w:ascii="宋体" w:hAnsi="宋体" w:cs="宋体"/>
              </w:rPr>
              <w:t>（500000）</w:t>
            </w:r>
          </w:p>
        </w:tc>
        <w:tc>
          <w:tcPr>
            <w:tcW w:w="644" w:type="pct"/>
          </w:tcPr>
          <w:p w14:paraId="0C10F719">
            <w:pPr>
              <w:jc w:val="center"/>
              <w:rPr>
                <w:rFonts w:ascii="宋体" w:hAnsi="宋体" w:cs="宋体"/>
              </w:rPr>
            </w:pPr>
          </w:p>
        </w:tc>
        <w:tc>
          <w:tcPr>
            <w:tcW w:w="644" w:type="pct"/>
          </w:tcPr>
          <w:p w14:paraId="6EC89C6D">
            <w:pPr>
              <w:jc w:val="center"/>
              <w:rPr>
                <w:rFonts w:ascii="宋体" w:hAnsi="宋体" w:cs="宋体"/>
              </w:rPr>
            </w:pPr>
          </w:p>
        </w:tc>
        <w:tc>
          <w:tcPr>
            <w:tcW w:w="644" w:type="pct"/>
          </w:tcPr>
          <w:p w14:paraId="09E8A67A">
            <w:pPr>
              <w:jc w:val="center"/>
              <w:rPr>
                <w:rFonts w:ascii="宋体" w:hAnsi="宋体" w:cs="宋体"/>
              </w:rPr>
            </w:pPr>
          </w:p>
        </w:tc>
        <w:tc>
          <w:tcPr>
            <w:tcW w:w="573" w:type="pct"/>
          </w:tcPr>
          <w:p w14:paraId="1EBFDC17">
            <w:pPr>
              <w:jc w:val="center"/>
              <w:rPr>
                <w:rFonts w:ascii="宋体" w:hAnsi="宋体" w:cs="宋体"/>
              </w:rPr>
            </w:pPr>
          </w:p>
        </w:tc>
        <w:tc>
          <w:tcPr>
            <w:tcW w:w="566" w:type="pct"/>
          </w:tcPr>
          <w:p w14:paraId="57FB3499">
            <w:pPr>
              <w:jc w:val="center"/>
              <w:rPr>
                <w:rFonts w:ascii="宋体" w:hAnsi="宋体" w:cs="宋体"/>
              </w:rPr>
            </w:pPr>
          </w:p>
        </w:tc>
      </w:tr>
      <w:tr w14:paraId="2F57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37CA2F39">
            <w:pPr>
              <w:jc w:val="center"/>
              <w:rPr>
                <w:rFonts w:ascii="宋体" w:hAnsi="宋体" w:cs="宋体"/>
              </w:rPr>
            </w:pPr>
            <w:r>
              <w:rPr>
                <w:rFonts w:hint="eastAsia" w:ascii="宋体" w:hAnsi="宋体" w:cs="宋体"/>
              </w:rPr>
              <w:t>营运资金垫支</w:t>
            </w:r>
          </w:p>
        </w:tc>
        <w:tc>
          <w:tcPr>
            <w:tcW w:w="715" w:type="pct"/>
          </w:tcPr>
          <w:p w14:paraId="7A133244">
            <w:pPr>
              <w:jc w:val="center"/>
              <w:rPr>
                <w:rFonts w:ascii="宋体" w:hAnsi="宋体" w:cs="宋体"/>
              </w:rPr>
            </w:pPr>
            <w:r>
              <w:rPr>
                <w:rFonts w:hint="eastAsia" w:ascii="宋体" w:hAnsi="宋体" w:cs="宋体"/>
              </w:rPr>
              <w:t>（200000）</w:t>
            </w:r>
          </w:p>
        </w:tc>
        <w:tc>
          <w:tcPr>
            <w:tcW w:w="644" w:type="pct"/>
          </w:tcPr>
          <w:p w14:paraId="6D1D89DC">
            <w:pPr>
              <w:jc w:val="center"/>
              <w:rPr>
                <w:rFonts w:ascii="宋体" w:hAnsi="宋体" w:cs="宋体"/>
              </w:rPr>
            </w:pPr>
          </w:p>
        </w:tc>
        <w:tc>
          <w:tcPr>
            <w:tcW w:w="644" w:type="pct"/>
          </w:tcPr>
          <w:p w14:paraId="3293FDAA">
            <w:pPr>
              <w:jc w:val="center"/>
              <w:rPr>
                <w:rFonts w:ascii="宋体" w:hAnsi="宋体" w:cs="宋体"/>
              </w:rPr>
            </w:pPr>
          </w:p>
        </w:tc>
        <w:tc>
          <w:tcPr>
            <w:tcW w:w="644" w:type="pct"/>
          </w:tcPr>
          <w:p w14:paraId="6890ADC6">
            <w:pPr>
              <w:jc w:val="center"/>
              <w:rPr>
                <w:rFonts w:ascii="宋体" w:hAnsi="宋体" w:cs="宋体"/>
              </w:rPr>
            </w:pPr>
          </w:p>
        </w:tc>
        <w:tc>
          <w:tcPr>
            <w:tcW w:w="573" w:type="pct"/>
          </w:tcPr>
          <w:p w14:paraId="1807572D">
            <w:pPr>
              <w:jc w:val="center"/>
              <w:rPr>
                <w:rFonts w:ascii="宋体" w:hAnsi="宋体" w:cs="宋体"/>
              </w:rPr>
            </w:pPr>
          </w:p>
        </w:tc>
        <w:tc>
          <w:tcPr>
            <w:tcW w:w="566" w:type="pct"/>
          </w:tcPr>
          <w:p w14:paraId="52A7FDC2">
            <w:pPr>
              <w:jc w:val="center"/>
              <w:rPr>
                <w:rFonts w:ascii="宋体" w:hAnsi="宋体" w:cs="宋体"/>
              </w:rPr>
            </w:pPr>
          </w:p>
        </w:tc>
      </w:tr>
      <w:tr w14:paraId="2BCC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5CF9B93E">
            <w:pPr>
              <w:jc w:val="center"/>
              <w:rPr>
                <w:rFonts w:ascii="宋体" w:hAnsi="宋体" w:cs="宋体"/>
              </w:rPr>
            </w:pPr>
            <w:r>
              <w:rPr>
                <w:rFonts w:hint="eastAsia" w:ascii="宋体" w:hAnsi="宋体" w:cs="宋体"/>
              </w:rPr>
              <w:t>营业现金流量</w:t>
            </w:r>
          </w:p>
        </w:tc>
        <w:tc>
          <w:tcPr>
            <w:tcW w:w="715" w:type="pct"/>
          </w:tcPr>
          <w:p w14:paraId="486FE729">
            <w:pPr>
              <w:jc w:val="center"/>
              <w:rPr>
                <w:rFonts w:ascii="宋体" w:hAnsi="宋体" w:cs="宋体"/>
              </w:rPr>
            </w:pPr>
          </w:p>
        </w:tc>
        <w:tc>
          <w:tcPr>
            <w:tcW w:w="644" w:type="pct"/>
          </w:tcPr>
          <w:p w14:paraId="55050C95">
            <w:pPr>
              <w:jc w:val="center"/>
              <w:rPr>
                <w:rFonts w:ascii="宋体" w:hAnsi="宋体" w:cs="宋体"/>
              </w:rPr>
            </w:pPr>
            <w:r>
              <w:rPr>
                <w:rFonts w:hint="eastAsia" w:ascii="宋体" w:hAnsi="宋体" w:cs="宋体"/>
              </w:rPr>
              <w:t>279000</w:t>
            </w:r>
          </w:p>
        </w:tc>
        <w:tc>
          <w:tcPr>
            <w:tcW w:w="644" w:type="pct"/>
          </w:tcPr>
          <w:p w14:paraId="4F35071D">
            <w:pPr>
              <w:jc w:val="center"/>
              <w:rPr>
                <w:rFonts w:ascii="宋体" w:hAnsi="宋体" w:cs="宋体"/>
              </w:rPr>
            </w:pPr>
            <w:r>
              <w:rPr>
                <w:rFonts w:hint="eastAsia" w:ascii="宋体" w:hAnsi="宋体" w:cs="宋体"/>
              </w:rPr>
              <w:t>271500</w:t>
            </w:r>
          </w:p>
        </w:tc>
        <w:tc>
          <w:tcPr>
            <w:tcW w:w="644" w:type="pct"/>
          </w:tcPr>
          <w:p w14:paraId="2F832DE8">
            <w:pPr>
              <w:jc w:val="center"/>
              <w:rPr>
                <w:rFonts w:ascii="宋体" w:hAnsi="宋体" w:cs="宋体"/>
              </w:rPr>
            </w:pPr>
            <w:r>
              <w:rPr>
                <w:rFonts w:hint="eastAsia" w:ascii="宋体" w:hAnsi="宋体" w:cs="宋体"/>
              </w:rPr>
              <w:t>264000</w:t>
            </w:r>
          </w:p>
        </w:tc>
        <w:tc>
          <w:tcPr>
            <w:tcW w:w="573" w:type="pct"/>
          </w:tcPr>
          <w:p w14:paraId="19F581CA">
            <w:pPr>
              <w:jc w:val="center"/>
              <w:rPr>
                <w:rFonts w:ascii="宋体" w:hAnsi="宋体" w:cs="宋体"/>
              </w:rPr>
            </w:pPr>
            <w:r>
              <w:rPr>
                <w:rFonts w:hint="eastAsia" w:ascii="宋体" w:hAnsi="宋体" w:cs="宋体"/>
              </w:rPr>
              <w:t>256500</w:t>
            </w:r>
          </w:p>
        </w:tc>
        <w:tc>
          <w:tcPr>
            <w:tcW w:w="566" w:type="pct"/>
          </w:tcPr>
          <w:p w14:paraId="175C9E4D">
            <w:pPr>
              <w:jc w:val="center"/>
              <w:rPr>
                <w:rFonts w:ascii="宋体" w:hAnsi="宋体" w:cs="宋体"/>
              </w:rPr>
            </w:pPr>
            <w:r>
              <w:rPr>
                <w:rFonts w:hint="eastAsia" w:ascii="宋体" w:hAnsi="宋体" w:cs="宋体"/>
              </w:rPr>
              <w:t>249000</w:t>
            </w:r>
          </w:p>
        </w:tc>
      </w:tr>
      <w:tr w14:paraId="0E90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3596AC6A">
            <w:pPr>
              <w:jc w:val="center"/>
              <w:rPr>
                <w:rFonts w:ascii="宋体" w:hAnsi="宋体" w:cs="宋体"/>
              </w:rPr>
            </w:pPr>
            <w:r>
              <w:rPr>
                <w:rFonts w:hint="eastAsia" w:ascii="宋体" w:hAnsi="宋体" w:cs="宋体"/>
              </w:rPr>
              <w:t>固定资产残值</w:t>
            </w:r>
          </w:p>
        </w:tc>
        <w:tc>
          <w:tcPr>
            <w:tcW w:w="715" w:type="pct"/>
          </w:tcPr>
          <w:p w14:paraId="25A7A15E">
            <w:pPr>
              <w:jc w:val="center"/>
              <w:rPr>
                <w:rFonts w:ascii="宋体" w:hAnsi="宋体" w:cs="宋体"/>
              </w:rPr>
            </w:pPr>
          </w:p>
        </w:tc>
        <w:tc>
          <w:tcPr>
            <w:tcW w:w="644" w:type="pct"/>
          </w:tcPr>
          <w:p w14:paraId="1EC977E9">
            <w:pPr>
              <w:jc w:val="center"/>
              <w:rPr>
                <w:rFonts w:ascii="宋体" w:hAnsi="宋体" w:cs="宋体"/>
              </w:rPr>
            </w:pPr>
          </w:p>
        </w:tc>
        <w:tc>
          <w:tcPr>
            <w:tcW w:w="644" w:type="pct"/>
          </w:tcPr>
          <w:p w14:paraId="40278AF2">
            <w:pPr>
              <w:jc w:val="center"/>
              <w:rPr>
                <w:rFonts w:ascii="宋体" w:hAnsi="宋体" w:cs="宋体"/>
              </w:rPr>
            </w:pPr>
          </w:p>
        </w:tc>
        <w:tc>
          <w:tcPr>
            <w:tcW w:w="644" w:type="pct"/>
          </w:tcPr>
          <w:p w14:paraId="04748462">
            <w:pPr>
              <w:jc w:val="center"/>
              <w:rPr>
                <w:rFonts w:ascii="宋体" w:hAnsi="宋体" w:cs="宋体"/>
              </w:rPr>
            </w:pPr>
          </w:p>
        </w:tc>
        <w:tc>
          <w:tcPr>
            <w:tcW w:w="573" w:type="pct"/>
          </w:tcPr>
          <w:p w14:paraId="7F008BB8">
            <w:pPr>
              <w:jc w:val="center"/>
              <w:rPr>
                <w:rFonts w:ascii="宋体" w:hAnsi="宋体" w:cs="宋体"/>
              </w:rPr>
            </w:pPr>
          </w:p>
        </w:tc>
        <w:tc>
          <w:tcPr>
            <w:tcW w:w="566" w:type="pct"/>
          </w:tcPr>
          <w:p w14:paraId="5B8DB8A3">
            <w:pPr>
              <w:jc w:val="center"/>
              <w:rPr>
                <w:rFonts w:ascii="宋体" w:hAnsi="宋体" w:cs="宋体"/>
              </w:rPr>
            </w:pPr>
            <w:r>
              <w:rPr>
                <w:rFonts w:hint="eastAsia" w:ascii="宋体" w:hAnsi="宋体" w:cs="宋体"/>
              </w:rPr>
              <w:t>20000</w:t>
            </w:r>
          </w:p>
        </w:tc>
      </w:tr>
      <w:tr w14:paraId="7045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549E433F">
            <w:pPr>
              <w:jc w:val="center"/>
              <w:rPr>
                <w:rFonts w:ascii="宋体" w:hAnsi="宋体" w:cs="宋体"/>
              </w:rPr>
            </w:pPr>
            <w:r>
              <w:rPr>
                <w:rFonts w:hint="eastAsia" w:ascii="宋体" w:hAnsi="宋体" w:cs="宋体"/>
              </w:rPr>
              <w:t>营运资金回收</w:t>
            </w:r>
          </w:p>
        </w:tc>
        <w:tc>
          <w:tcPr>
            <w:tcW w:w="715" w:type="pct"/>
          </w:tcPr>
          <w:p w14:paraId="7E8C7D39">
            <w:pPr>
              <w:jc w:val="center"/>
              <w:rPr>
                <w:rFonts w:ascii="宋体" w:hAnsi="宋体" w:cs="宋体"/>
              </w:rPr>
            </w:pPr>
          </w:p>
        </w:tc>
        <w:tc>
          <w:tcPr>
            <w:tcW w:w="644" w:type="pct"/>
          </w:tcPr>
          <w:p w14:paraId="56497F95">
            <w:pPr>
              <w:jc w:val="center"/>
              <w:rPr>
                <w:rFonts w:ascii="宋体" w:hAnsi="宋体" w:cs="宋体"/>
              </w:rPr>
            </w:pPr>
          </w:p>
        </w:tc>
        <w:tc>
          <w:tcPr>
            <w:tcW w:w="644" w:type="pct"/>
          </w:tcPr>
          <w:p w14:paraId="7B814B8E">
            <w:pPr>
              <w:jc w:val="center"/>
              <w:rPr>
                <w:rFonts w:ascii="宋体" w:hAnsi="宋体" w:cs="宋体"/>
              </w:rPr>
            </w:pPr>
          </w:p>
        </w:tc>
        <w:tc>
          <w:tcPr>
            <w:tcW w:w="644" w:type="pct"/>
          </w:tcPr>
          <w:p w14:paraId="68336EB4">
            <w:pPr>
              <w:jc w:val="center"/>
              <w:rPr>
                <w:rFonts w:ascii="宋体" w:hAnsi="宋体" w:cs="宋体"/>
              </w:rPr>
            </w:pPr>
          </w:p>
        </w:tc>
        <w:tc>
          <w:tcPr>
            <w:tcW w:w="573" w:type="pct"/>
          </w:tcPr>
          <w:p w14:paraId="4FF0A5B7">
            <w:pPr>
              <w:jc w:val="center"/>
              <w:rPr>
                <w:rFonts w:ascii="宋体" w:hAnsi="宋体" w:cs="宋体"/>
              </w:rPr>
            </w:pPr>
          </w:p>
        </w:tc>
        <w:tc>
          <w:tcPr>
            <w:tcW w:w="566" w:type="pct"/>
          </w:tcPr>
          <w:p w14:paraId="2354EC7E">
            <w:pPr>
              <w:jc w:val="center"/>
              <w:rPr>
                <w:rFonts w:ascii="宋体" w:hAnsi="宋体" w:cs="宋体"/>
              </w:rPr>
            </w:pPr>
            <w:r>
              <w:rPr>
                <w:rFonts w:hint="eastAsia" w:ascii="宋体" w:hAnsi="宋体" w:cs="宋体"/>
              </w:rPr>
              <w:t>200000</w:t>
            </w:r>
          </w:p>
        </w:tc>
      </w:tr>
      <w:tr w14:paraId="6C55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pct"/>
          </w:tcPr>
          <w:p w14:paraId="7789C822">
            <w:pPr>
              <w:jc w:val="center"/>
              <w:rPr>
                <w:rFonts w:ascii="宋体" w:hAnsi="宋体" w:cs="宋体"/>
              </w:rPr>
            </w:pPr>
            <w:r>
              <w:rPr>
                <w:rFonts w:hint="eastAsia" w:ascii="宋体" w:hAnsi="宋体" w:cs="宋体"/>
              </w:rPr>
              <w:t>现金流量合计</w:t>
            </w:r>
          </w:p>
        </w:tc>
        <w:tc>
          <w:tcPr>
            <w:tcW w:w="715" w:type="pct"/>
          </w:tcPr>
          <w:p w14:paraId="19C41CCC">
            <w:pPr>
              <w:jc w:val="center"/>
              <w:rPr>
                <w:rFonts w:ascii="宋体" w:hAnsi="宋体" w:cs="宋体"/>
              </w:rPr>
            </w:pPr>
            <w:r>
              <w:rPr>
                <w:rFonts w:hint="eastAsia" w:ascii="宋体" w:hAnsi="宋体" w:cs="宋体"/>
              </w:rPr>
              <w:t>（700000）</w:t>
            </w:r>
          </w:p>
        </w:tc>
        <w:tc>
          <w:tcPr>
            <w:tcW w:w="644" w:type="pct"/>
          </w:tcPr>
          <w:p w14:paraId="4DCB70E0">
            <w:pPr>
              <w:jc w:val="center"/>
              <w:rPr>
                <w:rFonts w:ascii="宋体" w:hAnsi="宋体" w:cs="宋体"/>
              </w:rPr>
            </w:pPr>
            <w:r>
              <w:rPr>
                <w:rFonts w:hint="eastAsia" w:ascii="宋体" w:hAnsi="宋体" w:cs="宋体"/>
              </w:rPr>
              <w:t>279000</w:t>
            </w:r>
          </w:p>
        </w:tc>
        <w:tc>
          <w:tcPr>
            <w:tcW w:w="644" w:type="pct"/>
          </w:tcPr>
          <w:p w14:paraId="0359A98C">
            <w:pPr>
              <w:jc w:val="center"/>
              <w:rPr>
                <w:rFonts w:ascii="宋体" w:hAnsi="宋体" w:cs="宋体"/>
              </w:rPr>
            </w:pPr>
            <w:r>
              <w:rPr>
                <w:rFonts w:hint="eastAsia" w:ascii="宋体" w:hAnsi="宋体" w:cs="宋体"/>
              </w:rPr>
              <w:t>271500</w:t>
            </w:r>
          </w:p>
        </w:tc>
        <w:tc>
          <w:tcPr>
            <w:tcW w:w="644" w:type="pct"/>
          </w:tcPr>
          <w:p w14:paraId="348B6AB8">
            <w:pPr>
              <w:jc w:val="center"/>
              <w:rPr>
                <w:rFonts w:ascii="宋体" w:hAnsi="宋体" w:cs="宋体"/>
              </w:rPr>
            </w:pPr>
            <w:r>
              <w:rPr>
                <w:rFonts w:hint="eastAsia" w:ascii="宋体" w:hAnsi="宋体" w:cs="宋体"/>
              </w:rPr>
              <w:t>264000</w:t>
            </w:r>
          </w:p>
        </w:tc>
        <w:tc>
          <w:tcPr>
            <w:tcW w:w="573" w:type="pct"/>
          </w:tcPr>
          <w:p w14:paraId="58161763">
            <w:pPr>
              <w:jc w:val="center"/>
              <w:rPr>
                <w:rFonts w:ascii="宋体" w:hAnsi="宋体" w:cs="宋体"/>
              </w:rPr>
            </w:pPr>
            <w:r>
              <w:rPr>
                <w:rFonts w:hint="eastAsia" w:ascii="宋体" w:hAnsi="宋体" w:cs="宋体"/>
              </w:rPr>
              <w:t>256500</w:t>
            </w:r>
          </w:p>
        </w:tc>
        <w:tc>
          <w:tcPr>
            <w:tcW w:w="566" w:type="pct"/>
          </w:tcPr>
          <w:p w14:paraId="7BE0B7A6">
            <w:pPr>
              <w:jc w:val="center"/>
              <w:rPr>
                <w:rFonts w:ascii="宋体" w:hAnsi="宋体" w:cs="宋体"/>
              </w:rPr>
            </w:pPr>
            <w:r>
              <w:rPr>
                <w:rFonts w:hint="eastAsia" w:ascii="宋体" w:hAnsi="宋体" w:cs="宋体"/>
              </w:rPr>
              <w:t>469000</w:t>
            </w:r>
          </w:p>
        </w:tc>
      </w:tr>
    </w:tbl>
    <w:p w14:paraId="66F3DFF1">
      <w:pPr>
        <w:jc w:val="left"/>
        <w:rPr>
          <w:rFonts w:ascii="宋体" w:hAnsi="宋体" w:cs="宋体"/>
        </w:rPr>
      </w:pPr>
      <w:r>
        <w:rPr>
          <w:rFonts w:hint="eastAsia" w:ascii="宋体" w:hAnsi="宋体" w:cs="宋体"/>
        </w:rPr>
        <w:t>乙方案：</w:t>
      </w:r>
    </w:p>
    <w:p w14:paraId="201CAE94">
      <w:pPr>
        <w:jc w:val="left"/>
        <w:rPr>
          <w:rFonts w:ascii="宋体" w:hAnsi="宋体" w:cs="宋体"/>
        </w:rPr>
      </w:pPr>
      <w:r>
        <w:rPr>
          <w:rFonts w:hint="eastAsia" w:ascii="宋体" w:hAnsi="宋体" w:cs="宋体"/>
        </w:rPr>
        <w:t>折旧＝（750000－30000）/5＝144000（元）</w:t>
      </w:r>
    </w:p>
    <w:p w14:paraId="28CD6799">
      <w:pPr>
        <w:jc w:val="left"/>
        <w:rPr>
          <w:rFonts w:ascii="宋体" w:hAnsi="宋体" w:cs="宋体"/>
        </w:rPr>
      </w:pPr>
      <w:r>
        <w:rPr>
          <w:rFonts w:hint="eastAsia" w:ascii="宋体" w:hAnsi="宋体" w:cs="宋体"/>
        </w:rPr>
        <w:t>乙方案营业现金净流量</w:t>
      </w:r>
    </w:p>
    <w:p w14:paraId="4A5BE5D9">
      <w:pPr>
        <w:jc w:val="left"/>
        <w:rPr>
          <w:rFonts w:ascii="宋体" w:hAnsi="宋体" w:cs="宋体"/>
        </w:rPr>
      </w:pPr>
      <w:r>
        <w:rPr>
          <w:rFonts w:hint="eastAsia" w:ascii="宋体" w:hAnsi="宋体" w:cs="宋体"/>
        </w:rPr>
        <w:t>＝（收入－付现成本 – 非付现成本）×（1–所得税税率）+非付现成本</w:t>
      </w:r>
    </w:p>
    <w:p w14:paraId="736B8BC4">
      <w:pPr>
        <w:jc w:val="left"/>
        <w:rPr>
          <w:rFonts w:ascii="宋体" w:hAnsi="宋体" w:cs="宋体"/>
        </w:rPr>
      </w:pPr>
      <w:r>
        <w:rPr>
          <w:rFonts w:hint="eastAsia" w:ascii="宋体" w:hAnsi="宋体" w:cs="宋体"/>
        </w:rPr>
        <w:t>＝（1400000－1050000－144000）×（1－25%）＋144000＝298500（元）</w:t>
      </w:r>
    </w:p>
    <w:p w14:paraId="48368972">
      <w:pPr>
        <w:jc w:val="left"/>
        <w:rPr>
          <w:rFonts w:ascii="宋体" w:hAnsi="宋体" w:cs="宋体"/>
        </w:rPr>
      </w:pPr>
      <w:r>
        <w:rPr>
          <w:rFonts w:hint="eastAsia" w:ascii="宋体" w:hAnsi="宋体" w:cs="宋体"/>
        </w:rPr>
        <w:t>或：</w:t>
      </w:r>
    </w:p>
    <w:p w14:paraId="4D409101">
      <w:pPr>
        <w:jc w:val="left"/>
        <w:rPr>
          <w:rFonts w:ascii="宋体" w:hAnsi="宋体" w:cs="宋体"/>
        </w:rPr>
      </w:pPr>
      <w:r>
        <w:rPr>
          <w:rFonts w:hint="eastAsia" w:ascii="宋体" w:hAnsi="宋体" w:cs="宋体"/>
        </w:rPr>
        <w:t>乙方案营业现金净流量</w:t>
      </w:r>
    </w:p>
    <w:p w14:paraId="76A85C00">
      <w:pPr>
        <w:jc w:val="left"/>
        <w:rPr>
          <w:rFonts w:ascii="宋体" w:hAnsi="宋体" w:cs="宋体"/>
        </w:rPr>
      </w:pPr>
      <w:r>
        <w:rPr>
          <w:rFonts w:hint="eastAsia" w:ascii="宋体" w:hAnsi="宋体" w:cs="宋体"/>
        </w:rPr>
        <w:t>＝收入×（1－所得税税率）－付现成本×（1－所得税税率）＋非付现成本×所得税税率</w:t>
      </w:r>
    </w:p>
    <w:p w14:paraId="33EC5956">
      <w:pPr>
        <w:jc w:val="left"/>
        <w:rPr>
          <w:rFonts w:ascii="宋体" w:hAnsi="宋体" w:cs="宋体"/>
        </w:rPr>
      </w:pPr>
      <w:r>
        <w:rPr>
          <w:rFonts w:hint="eastAsia" w:ascii="宋体" w:hAnsi="宋体" w:cs="宋体"/>
        </w:rPr>
        <w:t>＝1400000×75%－1050000×75%＋144000×25%＝ 298500（元）</w:t>
      </w:r>
    </w:p>
    <w:p w14:paraId="2DC1B7B6">
      <w:pPr>
        <w:jc w:val="left"/>
        <w:rPr>
          <w:rFonts w:hint="eastAsia" w:ascii="宋体" w:hAnsi="宋体" w:cs="宋体"/>
        </w:rPr>
      </w:pPr>
      <w:r>
        <w:rPr>
          <w:rFonts w:hint="eastAsia" w:ascii="宋体" w:hAnsi="宋体" w:cs="宋体"/>
        </w:rPr>
        <w:t>乙方案投资项目现金流量计算表</w:t>
      </w:r>
    </w:p>
    <w:tbl>
      <w:tblPr>
        <w:tblStyle w:val="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6"/>
        <w:gridCol w:w="1595"/>
        <w:gridCol w:w="1163"/>
        <w:gridCol w:w="1159"/>
        <w:gridCol w:w="1305"/>
        <w:gridCol w:w="1161"/>
        <w:gridCol w:w="1143"/>
      </w:tblGrid>
      <w:tr w14:paraId="712B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4B177B6F">
            <w:pPr>
              <w:jc w:val="center"/>
              <w:rPr>
                <w:rFonts w:ascii="宋体" w:hAnsi="宋体" w:cs="宋体"/>
              </w:rPr>
            </w:pPr>
            <w:r>
              <w:rPr>
                <w:rFonts w:hint="eastAsia" w:ascii="宋体" w:hAnsi="宋体" w:cs="宋体"/>
              </w:rPr>
              <w:t>固定资产投资</w:t>
            </w:r>
          </w:p>
        </w:tc>
        <w:tc>
          <w:tcPr>
            <w:tcW w:w="787" w:type="pct"/>
          </w:tcPr>
          <w:p w14:paraId="34083AFB">
            <w:pPr>
              <w:jc w:val="center"/>
              <w:rPr>
                <w:rFonts w:ascii="宋体" w:hAnsi="宋体" w:cs="宋体"/>
              </w:rPr>
            </w:pPr>
            <w:r>
              <w:rPr>
                <w:rFonts w:hint="eastAsia" w:ascii="宋体" w:hAnsi="宋体" w:cs="宋体"/>
              </w:rPr>
              <w:t>（750000）</w:t>
            </w:r>
          </w:p>
        </w:tc>
        <w:tc>
          <w:tcPr>
            <w:tcW w:w="574" w:type="pct"/>
          </w:tcPr>
          <w:p w14:paraId="66CB4050">
            <w:pPr>
              <w:jc w:val="center"/>
              <w:rPr>
                <w:rFonts w:ascii="宋体" w:hAnsi="宋体" w:cs="宋体"/>
              </w:rPr>
            </w:pPr>
          </w:p>
        </w:tc>
        <w:tc>
          <w:tcPr>
            <w:tcW w:w="572" w:type="pct"/>
          </w:tcPr>
          <w:p w14:paraId="48C20E31">
            <w:pPr>
              <w:jc w:val="center"/>
              <w:rPr>
                <w:rFonts w:ascii="宋体" w:hAnsi="宋体" w:cs="宋体"/>
              </w:rPr>
            </w:pPr>
          </w:p>
        </w:tc>
        <w:tc>
          <w:tcPr>
            <w:tcW w:w="644" w:type="pct"/>
          </w:tcPr>
          <w:p w14:paraId="3202B238">
            <w:pPr>
              <w:jc w:val="center"/>
              <w:rPr>
                <w:rFonts w:ascii="宋体" w:hAnsi="宋体" w:cs="宋体"/>
              </w:rPr>
            </w:pPr>
          </w:p>
        </w:tc>
        <w:tc>
          <w:tcPr>
            <w:tcW w:w="573" w:type="pct"/>
          </w:tcPr>
          <w:p w14:paraId="7F5D6DA0">
            <w:pPr>
              <w:jc w:val="center"/>
              <w:rPr>
                <w:rFonts w:ascii="宋体" w:hAnsi="宋体" w:cs="宋体"/>
              </w:rPr>
            </w:pPr>
          </w:p>
        </w:tc>
        <w:tc>
          <w:tcPr>
            <w:tcW w:w="565" w:type="pct"/>
          </w:tcPr>
          <w:p w14:paraId="0CD0A6DD">
            <w:pPr>
              <w:jc w:val="center"/>
              <w:rPr>
                <w:rFonts w:ascii="宋体" w:hAnsi="宋体" w:cs="宋体"/>
              </w:rPr>
            </w:pPr>
          </w:p>
        </w:tc>
      </w:tr>
      <w:tr w14:paraId="66CD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63F20D68">
            <w:pPr>
              <w:jc w:val="center"/>
              <w:rPr>
                <w:rFonts w:ascii="宋体" w:hAnsi="宋体" w:cs="宋体"/>
              </w:rPr>
            </w:pPr>
            <w:r>
              <w:rPr>
                <w:rFonts w:hint="eastAsia" w:ascii="宋体" w:hAnsi="宋体" w:cs="宋体"/>
              </w:rPr>
              <w:t>营运资金垫支</w:t>
            </w:r>
          </w:p>
        </w:tc>
        <w:tc>
          <w:tcPr>
            <w:tcW w:w="787" w:type="pct"/>
          </w:tcPr>
          <w:p w14:paraId="62A82345">
            <w:pPr>
              <w:jc w:val="center"/>
              <w:rPr>
                <w:rFonts w:ascii="宋体" w:hAnsi="宋体" w:cs="宋体"/>
              </w:rPr>
            </w:pPr>
            <w:r>
              <w:rPr>
                <w:rFonts w:hint="eastAsia" w:ascii="宋体" w:hAnsi="宋体" w:cs="宋体"/>
              </w:rPr>
              <w:t>（250000）</w:t>
            </w:r>
          </w:p>
        </w:tc>
        <w:tc>
          <w:tcPr>
            <w:tcW w:w="574" w:type="pct"/>
          </w:tcPr>
          <w:p w14:paraId="36533211">
            <w:pPr>
              <w:jc w:val="center"/>
              <w:rPr>
                <w:rFonts w:ascii="宋体" w:hAnsi="宋体" w:cs="宋体"/>
              </w:rPr>
            </w:pPr>
          </w:p>
        </w:tc>
        <w:tc>
          <w:tcPr>
            <w:tcW w:w="572" w:type="pct"/>
          </w:tcPr>
          <w:p w14:paraId="114C55A7">
            <w:pPr>
              <w:jc w:val="center"/>
              <w:rPr>
                <w:rFonts w:ascii="宋体" w:hAnsi="宋体" w:cs="宋体"/>
              </w:rPr>
            </w:pPr>
          </w:p>
        </w:tc>
        <w:tc>
          <w:tcPr>
            <w:tcW w:w="644" w:type="pct"/>
          </w:tcPr>
          <w:p w14:paraId="29F0EC11">
            <w:pPr>
              <w:jc w:val="center"/>
              <w:rPr>
                <w:rFonts w:ascii="宋体" w:hAnsi="宋体" w:cs="宋体"/>
              </w:rPr>
            </w:pPr>
          </w:p>
        </w:tc>
        <w:tc>
          <w:tcPr>
            <w:tcW w:w="573" w:type="pct"/>
          </w:tcPr>
          <w:p w14:paraId="0CD551DD">
            <w:pPr>
              <w:jc w:val="center"/>
              <w:rPr>
                <w:rFonts w:ascii="宋体" w:hAnsi="宋体" w:cs="宋体"/>
              </w:rPr>
            </w:pPr>
          </w:p>
        </w:tc>
        <w:tc>
          <w:tcPr>
            <w:tcW w:w="565" w:type="pct"/>
          </w:tcPr>
          <w:p w14:paraId="029BFF41">
            <w:pPr>
              <w:jc w:val="center"/>
              <w:rPr>
                <w:rFonts w:ascii="宋体" w:hAnsi="宋体" w:cs="宋体"/>
              </w:rPr>
            </w:pPr>
          </w:p>
        </w:tc>
      </w:tr>
      <w:tr w14:paraId="79A9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255EEDEB">
            <w:pPr>
              <w:jc w:val="center"/>
              <w:rPr>
                <w:rFonts w:ascii="宋体" w:hAnsi="宋体" w:cs="宋体"/>
              </w:rPr>
            </w:pPr>
            <w:r>
              <w:rPr>
                <w:rFonts w:hint="eastAsia" w:ascii="宋体" w:hAnsi="宋体" w:cs="宋体"/>
              </w:rPr>
              <w:t>营业现金流量</w:t>
            </w:r>
          </w:p>
        </w:tc>
        <w:tc>
          <w:tcPr>
            <w:tcW w:w="787" w:type="pct"/>
          </w:tcPr>
          <w:p w14:paraId="42F2C21E">
            <w:pPr>
              <w:jc w:val="center"/>
              <w:rPr>
                <w:rFonts w:ascii="宋体" w:hAnsi="宋体" w:cs="宋体"/>
              </w:rPr>
            </w:pPr>
          </w:p>
        </w:tc>
        <w:tc>
          <w:tcPr>
            <w:tcW w:w="574" w:type="pct"/>
          </w:tcPr>
          <w:p w14:paraId="5CDF2BD6">
            <w:pPr>
              <w:jc w:val="center"/>
              <w:rPr>
                <w:rFonts w:ascii="宋体" w:hAnsi="宋体" w:cs="宋体"/>
              </w:rPr>
            </w:pPr>
            <w:r>
              <w:rPr>
                <w:rFonts w:hint="eastAsia" w:ascii="宋体" w:hAnsi="宋体" w:cs="宋体"/>
              </w:rPr>
              <w:t>298500</w:t>
            </w:r>
          </w:p>
        </w:tc>
        <w:tc>
          <w:tcPr>
            <w:tcW w:w="572" w:type="pct"/>
          </w:tcPr>
          <w:p w14:paraId="2BB0AC94">
            <w:pPr>
              <w:jc w:val="center"/>
              <w:rPr>
                <w:rFonts w:ascii="宋体" w:hAnsi="宋体" w:cs="宋体"/>
              </w:rPr>
            </w:pPr>
            <w:r>
              <w:rPr>
                <w:rFonts w:hint="eastAsia" w:ascii="宋体" w:hAnsi="宋体" w:cs="宋体"/>
              </w:rPr>
              <w:t>298500</w:t>
            </w:r>
          </w:p>
        </w:tc>
        <w:tc>
          <w:tcPr>
            <w:tcW w:w="644" w:type="pct"/>
          </w:tcPr>
          <w:p w14:paraId="3F6610FD">
            <w:pPr>
              <w:jc w:val="center"/>
              <w:rPr>
                <w:rFonts w:ascii="宋体" w:hAnsi="宋体" w:cs="宋体"/>
              </w:rPr>
            </w:pPr>
            <w:r>
              <w:rPr>
                <w:rFonts w:hint="eastAsia" w:ascii="宋体" w:hAnsi="宋体" w:cs="宋体"/>
              </w:rPr>
              <w:t>298500</w:t>
            </w:r>
          </w:p>
        </w:tc>
        <w:tc>
          <w:tcPr>
            <w:tcW w:w="573" w:type="pct"/>
          </w:tcPr>
          <w:p w14:paraId="48DFDB76">
            <w:pPr>
              <w:jc w:val="center"/>
              <w:rPr>
                <w:rFonts w:ascii="宋体" w:hAnsi="宋体" w:cs="宋体"/>
              </w:rPr>
            </w:pPr>
            <w:r>
              <w:rPr>
                <w:rFonts w:hint="eastAsia" w:ascii="宋体" w:hAnsi="宋体" w:cs="宋体"/>
              </w:rPr>
              <w:t>298500</w:t>
            </w:r>
          </w:p>
        </w:tc>
        <w:tc>
          <w:tcPr>
            <w:tcW w:w="565" w:type="pct"/>
          </w:tcPr>
          <w:p w14:paraId="5D3023E6">
            <w:pPr>
              <w:jc w:val="center"/>
              <w:rPr>
                <w:rFonts w:ascii="宋体" w:hAnsi="宋体" w:cs="宋体"/>
              </w:rPr>
            </w:pPr>
            <w:r>
              <w:rPr>
                <w:rFonts w:hint="eastAsia" w:ascii="宋体" w:hAnsi="宋体" w:cs="宋体"/>
              </w:rPr>
              <w:t>298500</w:t>
            </w:r>
          </w:p>
        </w:tc>
      </w:tr>
      <w:tr w14:paraId="4C3D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5CE342F1">
            <w:pPr>
              <w:jc w:val="center"/>
              <w:rPr>
                <w:rFonts w:ascii="宋体" w:hAnsi="宋体" w:cs="宋体"/>
              </w:rPr>
            </w:pPr>
            <w:r>
              <w:rPr>
                <w:rFonts w:hint="eastAsia" w:ascii="宋体" w:hAnsi="宋体" w:cs="宋体"/>
              </w:rPr>
              <w:t>固定资产残值</w:t>
            </w:r>
          </w:p>
        </w:tc>
        <w:tc>
          <w:tcPr>
            <w:tcW w:w="787" w:type="pct"/>
          </w:tcPr>
          <w:p w14:paraId="0932A5B9">
            <w:pPr>
              <w:jc w:val="center"/>
              <w:rPr>
                <w:rFonts w:ascii="宋体" w:hAnsi="宋体" w:cs="宋体"/>
              </w:rPr>
            </w:pPr>
          </w:p>
        </w:tc>
        <w:tc>
          <w:tcPr>
            <w:tcW w:w="574" w:type="pct"/>
          </w:tcPr>
          <w:p w14:paraId="177E084A">
            <w:pPr>
              <w:jc w:val="center"/>
              <w:rPr>
                <w:rFonts w:ascii="宋体" w:hAnsi="宋体" w:cs="宋体"/>
              </w:rPr>
            </w:pPr>
          </w:p>
        </w:tc>
        <w:tc>
          <w:tcPr>
            <w:tcW w:w="572" w:type="pct"/>
          </w:tcPr>
          <w:p w14:paraId="60EFEF2D">
            <w:pPr>
              <w:jc w:val="center"/>
              <w:rPr>
                <w:rFonts w:ascii="宋体" w:hAnsi="宋体" w:cs="宋体"/>
              </w:rPr>
            </w:pPr>
          </w:p>
        </w:tc>
        <w:tc>
          <w:tcPr>
            <w:tcW w:w="644" w:type="pct"/>
          </w:tcPr>
          <w:p w14:paraId="1ADEE2F3">
            <w:pPr>
              <w:jc w:val="center"/>
              <w:rPr>
                <w:rFonts w:ascii="宋体" w:hAnsi="宋体" w:cs="宋体"/>
              </w:rPr>
            </w:pPr>
          </w:p>
        </w:tc>
        <w:tc>
          <w:tcPr>
            <w:tcW w:w="573" w:type="pct"/>
          </w:tcPr>
          <w:p w14:paraId="6B672432">
            <w:pPr>
              <w:jc w:val="center"/>
              <w:rPr>
                <w:rFonts w:ascii="宋体" w:hAnsi="宋体" w:cs="宋体"/>
              </w:rPr>
            </w:pPr>
          </w:p>
        </w:tc>
        <w:tc>
          <w:tcPr>
            <w:tcW w:w="565" w:type="pct"/>
          </w:tcPr>
          <w:p w14:paraId="0F6F69EF">
            <w:pPr>
              <w:jc w:val="center"/>
              <w:rPr>
                <w:rFonts w:ascii="宋体" w:hAnsi="宋体" w:cs="宋体"/>
              </w:rPr>
            </w:pPr>
            <w:r>
              <w:rPr>
                <w:rFonts w:hint="eastAsia" w:ascii="宋体" w:hAnsi="宋体" w:cs="宋体"/>
              </w:rPr>
              <w:t>30000</w:t>
            </w:r>
          </w:p>
        </w:tc>
      </w:tr>
      <w:tr w14:paraId="539A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69EDF965">
            <w:pPr>
              <w:jc w:val="center"/>
              <w:rPr>
                <w:rFonts w:ascii="宋体" w:hAnsi="宋体" w:cs="宋体"/>
              </w:rPr>
            </w:pPr>
            <w:r>
              <w:rPr>
                <w:rFonts w:hint="eastAsia" w:ascii="宋体" w:hAnsi="宋体" w:cs="宋体"/>
              </w:rPr>
              <w:t>营运资金回收</w:t>
            </w:r>
          </w:p>
        </w:tc>
        <w:tc>
          <w:tcPr>
            <w:tcW w:w="787" w:type="pct"/>
          </w:tcPr>
          <w:p w14:paraId="373D9CB3">
            <w:pPr>
              <w:jc w:val="center"/>
              <w:rPr>
                <w:rFonts w:ascii="宋体" w:hAnsi="宋体" w:cs="宋体"/>
              </w:rPr>
            </w:pPr>
          </w:p>
        </w:tc>
        <w:tc>
          <w:tcPr>
            <w:tcW w:w="574" w:type="pct"/>
          </w:tcPr>
          <w:p w14:paraId="09693941">
            <w:pPr>
              <w:jc w:val="center"/>
              <w:rPr>
                <w:rFonts w:ascii="宋体" w:hAnsi="宋体" w:cs="宋体"/>
              </w:rPr>
            </w:pPr>
          </w:p>
        </w:tc>
        <w:tc>
          <w:tcPr>
            <w:tcW w:w="572" w:type="pct"/>
          </w:tcPr>
          <w:p w14:paraId="185CD631">
            <w:pPr>
              <w:jc w:val="center"/>
              <w:rPr>
                <w:rFonts w:ascii="宋体" w:hAnsi="宋体" w:cs="宋体"/>
              </w:rPr>
            </w:pPr>
          </w:p>
        </w:tc>
        <w:tc>
          <w:tcPr>
            <w:tcW w:w="644" w:type="pct"/>
          </w:tcPr>
          <w:p w14:paraId="1F691E7C">
            <w:pPr>
              <w:jc w:val="center"/>
              <w:rPr>
                <w:rFonts w:ascii="宋体" w:hAnsi="宋体" w:cs="宋体"/>
              </w:rPr>
            </w:pPr>
          </w:p>
        </w:tc>
        <w:tc>
          <w:tcPr>
            <w:tcW w:w="573" w:type="pct"/>
          </w:tcPr>
          <w:p w14:paraId="0D6C373C">
            <w:pPr>
              <w:jc w:val="center"/>
              <w:rPr>
                <w:rFonts w:ascii="宋体" w:hAnsi="宋体" w:cs="宋体"/>
              </w:rPr>
            </w:pPr>
          </w:p>
        </w:tc>
        <w:tc>
          <w:tcPr>
            <w:tcW w:w="565" w:type="pct"/>
          </w:tcPr>
          <w:p w14:paraId="7249E5EB">
            <w:pPr>
              <w:jc w:val="center"/>
              <w:rPr>
                <w:rFonts w:ascii="宋体" w:hAnsi="宋体" w:cs="宋体"/>
              </w:rPr>
            </w:pPr>
            <w:r>
              <w:rPr>
                <w:rFonts w:hint="eastAsia" w:ascii="宋体" w:hAnsi="宋体" w:cs="宋体"/>
              </w:rPr>
              <w:t>250000</w:t>
            </w:r>
          </w:p>
        </w:tc>
      </w:tr>
      <w:tr w14:paraId="4D0E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6" w:type="pct"/>
          </w:tcPr>
          <w:p w14:paraId="64152423">
            <w:pPr>
              <w:jc w:val="center"/>
              <w:rPr>
                <w:rFonts w:ascii="宋体" w:hAnsi="宋体" w:cs="宋体"/>
              </w:rPr>
            </w:pPr>
            <w:r>
              <w:rPr>
                <w:rFonts w:hint="eastAsia" w:ascii="宋体" w:hAnsi="宋体" w:cs="宋体"/>
              </w:rPr>
              <w:t>现金流量合计</w:t>
            </w:r>
          </w:p>
        </w:tc>
        <w:tc>
          <w:tcPr>
            <w:tcW w:w="787" w:type="pct"/>
          </w:tcPr>
          <w:p w14:paraId="7A2511AD">
            <w:pPr>
              <w:jc w:val="center"/>
              <w:rPr>
                <w:rFonts w:ascii="宋体" w:hAnsi="宋体" w:cs="宋体"/>
              </w:rPr>
            </w:pPr>
            <w:r>
              <w:rPr>
                <w:rFonts w:hint="eastAsia" w:ascii="宋体" w:hAnsi="宋体" w:cs="宋体"/>
              </w:rPr>
              <w:t>（1000000）</w:t>
            </w:r>
          </w:p>
        </w:tc>
        <w:tc>
          <w:tcPr>
            <w:tcW w:w="574" w:type="pct"/>
          </w:tcPr>
          <w:p w14:paraId="28D43846">
            <w:pPr>
              <w:jc w:val="center"/>
              <w:rPr>
                <w:rFonts w:ascii="宋体" w:hAnsi="宋体" w:cs="宋体"/>
              </w:rPr>
            </w:pPr>
            <w:r>
              <w:rPr>
                <w:rFonts w:hint="eastAsia" w:ascii="宋体" w:hAnsi="宋体" w:cs="宋体"/>
              </w:rPr>
              <w:t>298500</w:t>
            </w:r>
          </w:p>
        </w:tc>
        <w:tc>
          <w:tcPr>
            <w:tcW w:w="572" w:type="pct"/>
          </w:tcPr>
          <w:p w14:paraId="6CB241C1">
            <w:pPr>
              <w:jc w:val="center"/>
              <w:rPr>
                <w:rFonts w:ascii="宋体" w:hAnsi="宋体" w:cs="宋体"/>
              </w:rPr>
            </w:pPr>
            <w:r>
              <w:rPr>
                <w:rFonts w:hint="eastAsia" w:ascii="宋体" w:hAnsi="宋体" w:cs="宋体"/>
              </w:rPr>
              <w:t>298500</w:t>
            </w:r>
          </w:p>
        </w:tc>
        <w:tc>
          <w:tcPr>
            <w:tcW w:w="644" w:type="pct"/>
          </w:tcPr>
          <w:p w14:paraId="67453B6B">
            <w:pPr>
              <w:jc w:val="center"/>
              <w:rPr>
                <w:rFonts w:ascii="宋体" w:hAnsi="宋体" w:cs="宋体"/>
              </w:rPr>
            </w:pPr>
            <w:r>
              <w:rPr>
                <w:rFonts w:hint="eastAsia" w:ascii="宋体" w:hAnsi="宋体" w:cs="宋体"/>
              </w:rPr>
              <w:t>298500</w:t>
            </w:r>
          </w:p>
        </w:tc>
        <w:tc>
          <w:tcPr>
            <w:tcW w:w="573" w:type="pct"/>
          </w:tcPr>
          <w:p w14:paraId="312C8D39">
            <w:pPr>
              <w:jc w:val="center"/>
              <w:rPr>
                <w:rFonts w:ascii="宋体" w:hAnsi="宋体" w:cs="宋体"/>
              </w:rPr>
            </w:pPr>
            <w:r>
              <w:rPr>
                <w:rFonts w:hint="eastAsia" w:ascii="宋体" w:hAnsi="宋体" w:cs="宋体"/>
              </w:rPr>
              <w:t>298500</w:t>
            </w:r>
          </w:p>
        </w:tc>
        <w:tc>
          <w:tcPr>
            <w:tcW w:w="565" w:type="pct"/>
          </w:tcPr>
          <w:p w14:paraId="451DE233">
            <w:pPr>
              <w:jc w:val="center"/>
              <w:rPr>
                <w:rFonts w:ascii="宋体" w:hAnsi="宋体" w:cs="宋体"/>
              </w:rPr>
            </w:pPr>
            <w:r>
              <w:rPr>
                <w:rFonts w:hint="eastAsia" w:ascii="宋体" w:hAnsi="宋体" w:cs="宋体"/>
              </w:rPr>
              <w:t>578500</w:t>
            </w:r>
          </w:p>
        </w:tc>
      </w:tr>
    </w:tbl>
    <w:p w14:paraId="03BC3F45">
      <w:pPr>
        <w:jc w:val="left"/>
        <w:rPr>
          <w:rFonts w:ascii="宋体" w:hAnsi="宋体" w:cs="宋体"/>
        </w:rPr>
      </w:pPr>
    </w:p>
    <w:p w14:paraId="4E9BDE39">
      <w:pPr>
        <w:jc w:val="left"/>
        <w:rPr>
          <w:rFonts w:ascii="宋体" w:hAnsi="宋体" w:cs="宋体"/>
        </w:rPr>
      </w:pPr>
      <w:r>
        <w:rPr>
          <w:rFonts w:hint="eastAsia" w:ascii="宋体" w:hAnsi="宋体" w:cs="宋体"/>
        </w:rPr>
        <w:t>【判断题】（2018年）进行固定资产投资时，税法规定的净残值与预计的净残值不同，终结期计算现金流量时应考虑所得税影响。（  ）</w:t>
      </w:r>
    </w:p>
    <w:p w14:paraId="3771BB86">
      <w:pPr>
        <w:jc w:val="left"/>
        <w:rPr>
          <w:rFonts w:ascii="宋体" w:hAnsi="宋体" w:cs="宋体"/>
        </w:rPr>
      </w:pPr>
      <w:r>
        <w:rPr>
          <w:rFonts w:hint="eastAsia" w:ascii="宋体" w:hAnsi="宋体" w:cs="宋体"/>
        </w:rPr>
        <w:t>答案：√</w:t>
      </w:r>
    </w:p>
    <w:p w14:paraId="318F0B16">
      <w:pPr>
        <w:jc w:val="left"/>
        <w:rPr>
          <w:rFonts w:ascii="宋体" w:hAnsi="宋体" w:cs="宋体"/>
        </w:rPr>
      </w:pPr>
      <w:r>
        <w:rPr>
          <w:rFonts w:hint="eastAsia" w:ascii="宋体" w:hAnsi="宋体" w:cs="宋体"/>
        </w:rPr>
        <w:t>解析：固定资产变现净损益对现金净流量的影响＝（账面价值－变价净收入）×所得税税率，其中账面价值＝税法规定的净残值＋未计提的折旧，变价净收入＝预计的净残值。</w:t>
      </w:r>
    </w:p>
    <w:p w14:paraId="6C0748E9">
      <w:pPr>
        <w:jc w:val="left"/>
        <w:rPr>
          <w:rFonts w:ascii="宋体" w:hAnsi="宋体" w:cs="宋体"/>
        </w:rPr>
      </w:pPr>
    </w:p>
    <w:p w14:paraId="32ACFCC9">
      <w:pPr>
        <w:jc w:val="left"/>
        <w:rPr>
          <w:rFonts w:ascii="宋体" w:hAnsi="宋体" w:cs="宋体"/>
          <w:color w:val="FF0000"/>
        </w:rPr>
      </w:pPr>
      <w:r>
        <w:rPr>
          <w:rFonts w:hint="eastAsia" w:ascii="宋体" w:hAnsi="宋体" w:cs="宋体"/>
          <w:color w:val="FF0000"/>
        </w:rPr>
        <w:t>【知识点2】净现值</w:t>
      </w:r>
    </w:p>
    <w:p w14:paraId="3D4E2F29">
      <w:pPr>
        <w:jc w:val="left"/>
        <w:rPr>
          <w:rFonts w:ascii="宋体" w:hAnsi="宋体" w:cs="宋体"/>
        </w:rPr>
      </w:pPr>
      <w:r>
        <w:rPr>
          <w:rFonts w:hint="eastAsia" w:ascii="宋体" w:hAnsi="宋体" w:cs="宋体"/>
        </w:rPr>
        <w:t>净现值是指特定项目未来现金净流量现值与原始投资额现值的差额。</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692"/>
      </w:tblGrid>
      <w:tr w14:paraId="76F0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16686B15">
            <w:pPr>
              <w:jc w:val="left"/>
              <w:rPr>
                <w:rFonts w:ascii="宋体" w:hAnsi="宋体" w:cs="宋体"/>
              </w:rPr>
            </w:pPr>
            <w:r>
              <w:rPr>
                <w:rFonts w:hint="eastAsia" w:ascii="宋体" w:hAnsi="宋体" w:cs="宋体"/>
              </w:rPr>
              <w:t>公式</w:t>
            </w:r>
          </w:p>
        </w:tc>
        <w:tc>
          <w:tcPr>
            <w:tcW w:w="4287" w:type="pct"/>
          </w:tcPr>
          <w:p w14:paraId="3B6FD401">
            <w:pPr>
              <w:jc w:val="left"/>
              <w:rPr>
                <w:rFonts w:ascii="宋体" w:hAnsi="宋体" w:cs="宋体"/>
              </w:rPr>
            </w:pPr>
            <w:r>
              <w:rPr>
                <w:rFonts w:hint="eastAsia" w:ascii="宋体" w:hAnsi="宋体" w:cs="宋体"/>
              </w:rPr>
              <w:t>未来现金净流量现值－原始投资额现值</w:t>
            </w:r>
          </w:p>
        </w:tc>
      </w:tr>
      <w:tr w14:paraId="5F2FE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25735F47">
            <w:pPr>
              <w:jc w:val="left"/>
              <w:rPr>
                <w:rFonts w:ascii="宋体" w:hAnsi="宋体" w:cs="宋体"/>
              </w:rPr>
            </w:pPr>
            <w:r>
              <w:rPr>
                <w:rFonts w:hint="eastAsia" w:ascii="宋体" w:hAnsi="宋体" w:cs="宋体"/>
              </w:rPr>
              <w:t>决策方法</w:t>
            </w:r>
          </w:p>
        </w:tc>
        <w:tc>
          <w:tcPr>
            <w:tcW w:w="4287" w:type="pct"/>
          </w:tcPr>
          <w:p w14:paraId="009EE0B9">
            <w:pPr>
              <w:rPr>
                <w:rFonts w:ascii="宋体" w:hAnsi="宋体" w:cs="宋体"/>
              </w:rPr>
            </w:pPr>
            <w:r>
              <w:rPr>
                <w:rFonts w:hint="eastAsia" w:ascii="宋体" w:hAnsi="宋体" w:cs="宋体"/>
              </w:rPr>
              <w:t>如果净现值＞0，表明投资项目收益率＞资本成本，可以增加股东财富，应予以采纳。</w:t>
            </w:r>
          </w:p>
          <w:p w14:paraId="1A3B9A19">
            <w:pPr>
              <w:rPr>
                <w:rFonts w:ascii="宋体" w:hAnsi="宋体" w:cs="宋体"/>
              </w:rPr>
            </w:pPr>
            <w:r>
              <w:rPr>
                <w:rFonts w:hint="eastAsia" w:ascii="宋体" w:hAnsi="宋体" w:cs="宋体"/>
              </w:rPr>
              <w:t>如果净现值&lt;0，表明投资项目收益率&lt;资本成本，不能增加股东财富，应予以放弃。</w:t>
            </w:r>
          </w:p>
          <w:p w14:paraId="205EF46A">
            <w:pPr>
              <w:rPr>
                <w:rFonts w:ascii="宋体" w:hAnsi="宋体" w:cs="宋体"/>
              </w:rPr>
            </w:pPr>
            <w:r>
              <w:rPr>
                <w:rFonts w:hint="eastAsia" w:ascii="宋体" w:hAnsi="宋体" w:cs="宋体"/>
              </w:rPr>
              <w:t>如果净现值=0，表明方案的投资收益刚好达到所要求的投资收益，方案也可行。</w:t>
            </w:r>
          </w:p>
        </w:tc>
      </w:tr>
      <w:tr w14:paraId="5F1B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3F6B857D">
            <w:pPr>
              <w:jc w:val="left"/>
              <w:rPr>
                <w:rFonts w:ascii="宋体" w:hAnsi="宋体" w:cs="宋体"/>
              </w:rPr>
            </w:pPr>
            <w:r>
              <w:rPr>
                <w:rFonts w:hint="eastAsia" w:ascii="宋体" w:hAnsi="宋体" w:cs="宋体"/>
              </w:rPr>
              <w:t>优点</w:t>
            </w:r>
          </w:p>
        </w:tc>
        <w:tc>
          <w:tcPr>
            <w:tcW w:w="4287" w:type="pct"/>
          </w:tcPr>
          <w:p w14:paraId="51ECF538">
            <w:pPr>
              <w:jc w:val="left"/>
              <w:rPr>
                <w:rFonts w:ascii="宋体" w:hAnsi="宋体" w:cs="宋体"/>
              </w:rPr>
            </w:pPr>
            <w:r>
              <w:rPr>
                <w:rFonts w:hint="eastAsia" w:ascii="宋体" w:hAnsi="宋体" w:cs="宋体"/>
              </w:rPr>
              <w:t>适用性强；能灵活地考虑投资风险</w:t>
            </w:r>
          </w:p>
        </w:tc>
      </w:tr>
      <w:tr w14:paraId="6BE4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71496D6B">
            <w:pPr>
              <w:jc w:val="left"/>
              <w:rPr>
                <w:rFonts w:ascii="宋体" w:hAnsi="宋体" w:cs="宋体"/>
              </w:rPr>
            </w:pPr>
            <w:r>
              <w:rPr>
                <w:rFonts w:hint="eastAsia" w:ascii="宋体" w:hAnsi="宋体" w:cs="宋体"/>
              </w:rPr>
              <w:t>缺点</w:t>
            </w:r>
          </w:p>
        </w:tc>
        <w:tc>
          <w:tcPr>
            <w:tcW w:w="4287" w:type="pct"/>
          </w:tcPr>
          <w:p w14:paraId="362E6277">
            <w:pPr>
              <w:jc w:val="left"/>
              <w:rPr>
                <w:rFonts w:ascii="宋体" w:hAnsi="宋体" w:cs="宋体"/>
              </w:rPr>
            </w:pPr>
            <w:r>
              <w:rPr>
                <w:rFonts w:hint="eastAsia" w:ascii="宋体" w:hAnsi="宋体" w:cs="宋体"/>
              </w:rPr>
              <w:t>贴现率不易确定；不适用于独立投资方案的比较决策；有时也不能对寿命期不同的互斥投资方案进行直接决策</w:t>
            </w:r>
          </w:p>
        </w:tc>
      </w:tr>
    </w:tbl>
    <w:p w14:paraId="52DB0797">
      <w:pPr>
        <w:jc w:val="left"/>
        <w:rPr>
          <w:rFonts w:ascii="宋体" w:hAnsi="宋体" w:cs="宋体"/>
        </w:rPr>
      </w:pPr>
      <w:r>
        <w:rPr>
          <w:rFonts w:hint="eastAsia" w:ascii="宋体" w:hAnsi="宋体" w:cs="宋体"/>
          <w:color w:val="FF0000"/>
        </w:rPr>
        <w:t>【例】</w:t>
      </w:r>
      <w:r>
        <w:rPr>
          <w:rFonts w:hint="eastAsia" w:ascii="宋体" w:hAnsi="宋体" w:cs="宋体"/>
        </w:rPr>
        <w:t>甲项目的现金流量如下表所示，折现率为10%，求该项目的净现值。</w:t>
      </w:r>
    </w:p>
    <w:tbl>
      <w:tblPr>
        <w:tblStyle w:val="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449"/>
        <w:gridCol w:w="1449"/>
        <w:gridCol w:w="1451"/>
        <w:gridCol w:w="1449"/>
        <w:gridCol w:w="1305"/>
        <w:gridCol w:w="1294"/>
      </w:tblGrid>
      <w:tr w14:paraId="7DB4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61EFC58F">
            <w:pPr>
              <w:jc w:val="center"/>
              <w:rPr>
                <w:rFonts w:ascii="宋体" w:hAnsi="宋体" w:cs="宋体"/>
              </w:rPr>
            </w:pPr>
            <w:r>
              <w:rPr>
                <w:rFonts w:hint="eastAsia" w:ascii="宋体" w:hAnsi="宋体" w:cs="宋体"/>
              </w:rPr>
              <w:t>项目</w:t>
            </w:r>
          </w:p>
        </w:tc>
        <w:tc>
          <w:tcPr>
            <w:tcW w:w="715" w:type="pct"/>
          </w:tcPr>
          <w:p w14:paraId="25ACABFB">
            <w:pPr>
              <w:jc w:val="center"/>
              <w:rPr>
                <w:rFonts w:ascii="宋体" w:hAnsi="宋体" w:cs="宋体"/>
              </w:rPr>
            </w:pPr>
            <w:r>
              <w:rPr>
                <w:rFonts w:hint="eastAsia" w:ascii="宋体" w:hAnsi="宋体" w:cs="宋体"/>
              </w:rPr>
              <w:t>第0年</w:t>
            </w:r>
          </w:p>
        </w:tc>
        <w:tc>
          <w:tcPr>
            <w:tcW w:w="715" w:type="pct"/>
          </w:tcPr>
          <w:p w14:paraId="580C1CFA">
            <w:pPr>
              <w:jc w:val="center"/>
              <w:rPr>
                <w:rFonts w:ascii="宋体" w:hAnsi="宋体" w:cs="宋体"/>
              </w:rPr>
            </w:pPr>
            <w:r>
              <w:rPr>
                <w:rFonts w:hint="eastAsia" w:ascii="宋体" w:hAnsi="宋体" w:cs="宋体"/>
              </w:rPr>
              <w:t>第1年</w:t>
            </w:r>
          </w:p>
        </w:tc>
        <w:tc>
          <w:tcPr>
            <w:tcW w:w="716" w:type="pct"/>
          </w:tcPr>
          <w:p w14:paraId="047C56B1">
            <w:pPr>
              <w:jc w:val="center"/>
              <w:rPr>
                <w:rFonts w:ascii="宋体" w:hAnsi="宋体" w:cs="宋体"/>
              </w:rPr>
            </w:pPr>
            <w:r>
              <w:rPr>
                <w:rFonts w:hint="eastAsia" w:ascii="宋体" w:hAnsi="宋体" w:cs="宋体"/>
              </w:rPr>
              <w:t>第2年</w:t>
            </w:r>
          </w:p>
        </w:tc>
        <w:tc>
          <w:tcPr>
            <w:tcW w:w="715" w:type="pct"/>
          </w:tcPr>
          <w:p w14:paraId="223A5896">
            <w:pPr>
              <w:jc w:val="center"/>
              <w:rPr>
                <w:rFonts w:ascii="宋体" w:hAnsi="宋体" w:cs="宋体"/>
              </w:rPr>
            </w:pPr>
            <w:r>
              <w:rPr>
                <w:rFonts w:hint="eastAsia" w:ascii="宋体" w:hAnsi="宋体" w:cs="宋体"/>
              </w:rPr>
              <w:t>第3年</w:t>
            </w:r>
          </w:p>
        </w:tc>
        <w:tc>
          <w:tcPr>
            <w:tcW w:w="644" w:type="pct"/>
          </w:tcPr>
          <w:p w14:paraId="7A9391FE">
            <w:pPr>
              <w:jc w:val="center"/>
              <w:rPr>
                <w:rFonts w:ascii="宋体" w:hAnsi="宋体" w:cs="宋体"/>
              </w:rPr>
            </w:pPr>
            <w:r>
              <w:rPr>
                <w:rFonts w:hint="eastAsia" w:ascii="宋体" w:hAnsi="宋体" w:cs="宋体"/>
              </w:rPr>
              <w:t>第4年</w:t>
            </w:r>
          </w:p>
        </w:tc>
        <w:tc>
          <w:tcPr>
            <w:tcW w:w="638" w:type="pct"/>
          </w:tcPr>
          <w:p w14:paraId="43843434">
            <w:pPr>
              <w:jc w:val="center"/>
              <w:rPr>
                <w:rFonts w:ascii="宋体" w:hAnsi="宋体" w:cs="宋体"/>
              </w:rPr>
            </w:pPr>
            <w:r>
              <w:rPr>
                <w:rFonts w:hint="eastAsia" w:ascii="宋体" w:hAnsi="宋体" w:cs="宋体"/>
              </w:rPr>
              <w:t>第5年</w:t>
            </w:r>
          </w:p>
        </w:tc>
      </w:tr>
      <w:tr w14:paraId="0D9C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4BA78EEB">
            <w:pPr>
              <w:jc w:val="center"/>
              <w:rPr>
                <w:rFonts w:ascii="宋体" w:hAnsi="宋体" w:cs="宋体"/>
              </w:rPr>
            </w:pPr>
            <w:r>
              <w:rPr>
                <w:rFonts w:hint="eastAsia" w:ascii="宋体" w:hAnsi="宋体" w:cs="宋体"/>
              </w:rPr>
              <w:t>现金流量合计</w:t>
            </w:r>
          </w:p>
        </w:tc>
        <w:tc>
          <w:tcPr>
            <w:tcW w:w="715" w:type="pct"/>
          </w:tcPr>
          <w:p w14:paraId="12F25196">
            <w:pPr>
              <w:jc w:val="center"/>
              <w:rPr>
                <w:rFonts w:ascii="宋体" w:hAnsi="宋体" w:cs="宋体"/>
              </w:rPr>
            </w:pPr>
            <w:r>
              <w:rPr>
                <w:rFonts w:hint="eastAsia" w:ascii="宋体" w:hAnsi="宋体" w:cs="宋体"/>
              </w:rPr>
              <w:t>－700000</w:t>
            </w:r>
          </w:p>
        </w:tc>
        <w:tc>
          <w:tcPr>
            <w:tcW w:w="715" w:type="pct"/>
          </w:tcPr>
          <w:p w14:paraId="78C70A09">
            <w:pPr>
              <w:jc w:val="center"/>
              <w:rPr>
                <w:rFonts w:ascii="宋体" w:hAnsi="宋体" w:cs="宋体"/>
              </w:rPr>
            </w:pPr>
            <w:r>
              <w:rPr>
                <w:rFonts w:hint="eastAsia" w:ascii="宋体" w:hAnsi="宋体" w:cs="宋体"/>
              </w:rPr>
              <w:t>279000</w:t>
            </w:r>
          </w:p>
        </w:tc>
        <w:tc>
          <w:tcPr>
            <w:tcW w:w="716" w:type="pct"/>
          </w:tcPr>
          <w:p w14:paraId="21ACFE6A">
            <w:pPr>
              <w:jc w:val="center"/>
              <w:rPr>
                <w:rFonts w:ascii="宋体" w:hAnsi="宋体" w:cs="宋体"/>
              </w:rPr>
            </w:pPr>
            <w:r>
              <w:rPr>
                <w:rFonts w:hint="eastAsia" w:ascii="宋体" w:hAnsi="宋体" w:cs="宋体"/>
              </w:rPr>
              <w:t>271500</w:t>
            </w:r>
          </w:p>
        </w:tc>
        <w:tc>
          <w:tcPr>
            <w:tcW w:w="715" w:type="pct"/>
          </w:tcPr>
          <w:p w14:paraId="58EC5DEC">
            <w:pPr>
              <w:jc w:val="center"/>
              <w:rPr>
                <w:rFonts w:ascii="宋体" w:hAnsi="宋体" w:cs="宋体"/>
              </w:rPr>
            </w:pPr>
            <w:r>
              <w:rPr>
                <w:rFonts w:hint="eastAsia" w:ascii="宋体" w:hAnsi="宋体" w:cs="宋体"/>
              </w:rPr>
              <w:t>264000</w:t>
            </w:r>
          </w:p>
        </w:tc>
        <w:tc>
          <w:tcPr>
            <w:tcW w:w="644" w:type="pct"/>
          </w:tcPr>
          <w:p w14:paraId="1B66010B">
            <w:pPr>
              <w:jc w:val="center"/>
              <w:rPr>
                <w:rFonts w:ascii="宋体" w:hAnsi="宋体" w:cs="宋体"/>
              </w:rPr>
            </w:pPr>
            <w:r>
              <w:rPr>
                <w:rFonts w:hint="eastAsia" w:ascii="宋体" w:hAnsi="宋体" w:cs="宋体"/>
              </w:rPr>
              <w:t>256500</w:t>
            </w:r>
          </w:p>
        </w:tc>
        <w:tc>
          <w:tcPr>
            <w:tcW w:w="638" w:type="pct"/>
          </w:tcPr>
          <w:p w14:paraId="55325D5F">
            <w:pPr>
              <w:jc w:val="center"/>
              <w:rPr>
                <w:rFonts w:ascii="宋体" w:hAnsi="宋体" w:cs="宋体"/>
              </w:rPr>
            </w:pPr>
            <w:r>
              <w:rPr>
                <w:rFonts w:hint="eastAsia" w:ascii="宋体" w:hAnsi="宋体" w:cs="宋体"/>
              </w:rPr>
              <w:t>469000</w:t>
            </w:r>
          </w:p>
        </w:tc>
      </w:tr>
    </w:tbl>
    <w:p w14:paraId="2C08DEAA">
      <w:pPr>
        <w:jc w:val="left"/>
        <w:rPr>
          <w:rFonts w:ascii="宋体" w:hAnsi="宋体" w:cs="宋体"/>
        </w:rPr>
      </w:pPr>
      <w:r>
        <w:rPr>
          <w:rFonts w:hint="eastAsia" w:ascii="宋体" w:hAnsi="宋体" w:cs="宋体"/>
        </w:rPr>
        <w:t>甲方案的净现值=469000×（P/F,10%,5）+256500×（P/F,10%,4）+264000×（P/F,10%,3）+271500×（P/F,10%,2）+279000×（P/F,10%,1）-700000</w:t>
      </w:r>
    </w:p>
    <w:p w14:paraId="56D9F893">
      <w:pPr>
        <w:jc w:val="left"/>
        <w:rPr>
          <w:rFonts w:ascii="宋体" w:hAnsi="宋体" w:cs="宋体"/>
        </w:rPr>
      </w:pPr>
      <w:r>
        <w:rPr>
          <w:rFonts w:hint="eastAsia" w:ascii="宋体" w:hAnsi="宋体" w:cs="宋体"/>
        </w:rPr>
        <w:t>=469000×0.6209+256500×0.6830+264000×0.7513+271500×0.8264+279000× 0.9091-700000=442741.30（元）</w:t>
      </w:r>
    </w:p>
    <w:p w14:paraId="0509F119">
      <w:pPr>
        <w:jc w:val="left"/>
        <w:rPr>
          <w:rFonts w:ascii="宋体" w:hAnsi="宋体" w:cs="宋体"/>
        </w:rPr>
      </w:pPr>
      <w:r>
        <w:rPr>
          <w:rFonts w:hint="eastAsia" w:ascii="宋体" w:hAnsi="宋体" w:cs="宋体"/>
        </w:rPr>
        <w:t>由于甲方案的净现值大于0，所以，甲方案可行。</w:t>
      </w:r>
    </w:p>
    <w:p w14:paraId="1329CBCE">
      <w:pPr>
        <w:jc w:val="left"/>
        <w:rPr>
          <w:rFonts w:ascii="宋体" w:hAnsi="宋体" w:cs="宋体"/>
        </w:rPr>
      </w:pPr>
      <w:r>
        <w:rPr>
          <w:rFonts w:hint="eastAsia" w:ascii="宋体" w:hAnsi="宋体" w:cs="宋体"/>
        </w:rPr>
        <w:t>乙项目的现金流量如下表所示，折现率为10%，求该项目的净现值。</w:t>
      </w:r>
    </w:p>
    <w:tbl>
      <w:tblPr>
        <w:tblStyle w:val="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1741"/>
        <w:gridCol w:w="1305"/>
        <w:gridCol w:w="1305"/>
        <w:gridCol w:w="1305"/>
        <w:gridCol w:w="1305"/>
        <w:gridCol w:w="1291"/>
      </w:tblGrid>
      <w:tr w14:paraId="74E6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14:paraId="0926E585">
            <w:pPr>
              <w:jc w:val="center"/>
              <w:rPr>
                <w:rFonts w:ascii="宋体" w:hAnsi="宋体" w:cs="宋体"/>
              </w:rPr>
            </w:pPr>
            <w:r>
              <w:rPr>
                <w:rFonts w:hint="eastAsia" w:ascii="宋体" w:hAnsi="宋体" w:cs="宋体"/>
              </w:rPr>
              <w:t>项目</w:t>
            </w:r>
          </w:p>
        </w:tc>
        <w:tc>
          <w:tcPr>
            <w:tcW w:w="859" w:type="pct"/>
          </w:tcPr>
          <w:p w14:paraId="4BCBBC27">
            <w:pPr>
              <w:jc w:val="center"/>
              <w:rPr>
                <w:rFonts w:ascii="宋体" w:hAnsi="宋体" w:cs="宋体"/>
              </w:rPr>
            </w:pPr>
            <w:r>
              <w:rPr>
                <w:rFonts w:hint="eastAsia" w:ascii="宋体" w:hAnsi="宋体" w:cs="宋体"/>
              </w:rPr>
              <w:t>第0年</w:t>
            </w:r>
          </w:p>
        </w:tc>
        <w:tc>
          <w:tcPr>
            <w:tcW w:w="644" w:type="pct"/>
          </w:tcPr>
          <w:p w14:paraId="74475292">
            <w:pPr>
              <w:jc w:val="center"/>
              <w:rPr>
                <w:rFonts w:ascii="宋体" w:hAnsi="宋体" w:cs="宋体"/>
              </w:rPr>
            </w:pPr>
            <w:r>
              <w:rPr>
                <w:rFonts w:hint="eastAsia" w:ascii="宋体" w:hAnsi="宋体" w:cs="宋体"/>
              </w:rPr>
              <w:t>第1年</w:t>
            </w:r>
          </w:p>
        </w:tc>
        <w:tc>
          <w:tcPr>
            <w:tcW w:w="644" w:type="pct"/>
          </w:tcPr>
          <w:p w14:paraId="2B83511E">
            <w:pPr>
              <w:jc w:val="center"/>
              <w:rPr>
                <w:rFonts w:ascii="宋体" w:hAnsi="宋体" w:cs="宋体"/>
              </w:rPr>
            </w:pPr>
            <w:r>
              <w:rPr>
                <w:rFonts w:hint="eastAsia" w:ascii="宋体" w:hAnsi="宋体" w:cs="宋体"/>
              </w:rPr>
              <w:t>第2年</w:t>
            </w:r>
          </w:p>
        </w:tc>
        <w:tc>
          <w:tcPr>
            <w:tcW w:w="644" w:type="pct"/>
          </w:tcPr>
          <w:p w14:paraId="07C7A96F">
            <w:pPr>
              <w:jc w:val="center"/>
              <w:rPr>
                <w:rFonts w:ascii="宋体" w:hAnsi="宋体" w:cs="宋体"/>
              </w:rPr>
            </w:pPr>
            <w:r>
              <w:rPr>
                <w:rFonts w:hint="eastAsia" w:ascii="宋体" w:hAnsi="宋体" w:cs="宋体"/>
              </w:rPr>
              <w:t>第3年</w:t>
            </w:r>
          </w:p>
        </w:tc>
        <w:tc>
          <w:tcPr>
            <w:tcW w:w="644" w:type="pct"/>
          </w:tcPr>
          <w:p w14:paraId="4730C746">
            <w:pPr>
              <w:jc w:val="center"/>
              <w:rPr>
                <w:rFonts w:ascii="宋体" w:hAnsi="宋体" w:cs="宋体"/>
              </w:rPr>
            </w:pPr>
            <w:r>
              <w:rPr>
                <w:rFonts w:hint="eastAsia" w:ascii="宋体" w:hAnsi="宋体" w:cs="宋体"/>
              </w:rPr>
              <w:t>第4年</w:t>
            </w:r>
          </w:p>
        </w:tc>
        <w:tc>
          <w:tcPr>
            <w:tcW w:w="637" w:type="pct"/>
          </w:tcPr>
          <w:p w14:paraId="557CD05B">
            <w:pPr>
              <w:jc w:val="center"/>
              <w:rPr>
                <w:rFonts w:ascii="宋体" w:hAnsi="宋体" w:cs="宋体"/>
              </w:rPr>
            </w:pPr>
            <w:r>
              <w:rPr>
                <w:rFonts w:hint="eastAsia" w:ascii="宋体" w:hAnsi="宋体" w:cs="宋体"/>
              </w:rPr>
              <w:t>第5年</w:t>
            </w:r>
          </w:p>
        </w:tc>
      </w:tr>
      <w:tr w14:paraId="1836A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 w:type="pct"/>
          </w:tcPr>
          <w:p w14:paraId="71B9FC7C">
            <w:pPr>
              <w:jc w:val="center"/>
              <w:rPr>
                <w:rFonts w:ascii="宋体" w:hAnsi="宋体" w:cs="宋体"/>
              </w:rPr>
            </w:pPr>
            <w:r>
              <w:rPr>
                <w:rFonts w:hint="eastAsia" w:ascii="宋体" w:hAnsi="宋体" w:cs="宋体"/>
              </w:rPr>
              <w:t>现金流量合计</w:t>
            </w:r>
          </w:p>
        </w:tc>
        <w:tc>
          <w:tcPr>
            <w:tcW w:w="859" w:type="pct"/>
          </w:tcPr>
          <w:p w14:paraId="3399C07E">
            <w:pPr>
              <w:jc w:val="center"/>
              <w:rPr>
                <w:rFonts w:ascii="宋体" w:hAnsi="宋体" w:cs="宋体"/>
              </w:rPr>
            </w:pPr>
            <w:r>
              <w:rPr>
                <w:rFonts w:hint="eastAsia" w:ascii="宋体" w:hAnsi="宋体" w:cs="宋体"/>
              </w:rPr>
              <w:t>－1000000</w:t>
            </w:r>
          </w:p>
        </w:tc>
        <w:tc>
          <w:tcPr>
            <w:tcW w:w="644" w:type="pct"/>
          </w:tcPr>
          <w:p w14:paraId="7F9C80C3">
            <w:pPr>
              <w:jc w:val="center"/>
              <w:rPr>
                <w:rFonts w:ascii="宋体" w:hAnsi="宋体" w:cs="宋体"/>
              </w:rPr>
            </w:pPr>
            <w:r>
              <w:rPr>
                <w:rFonts w:hint="eastAsia" w:ascii="宋体" w:hAnsi="宋体" w:cs="宋体"/>
              </w:rPr>
              <w:t>298500</w:t>
            </w:r>
          </w:p>
        </w:tc>
        <w:tc>
          <w:tcPr>
            <w:tcW w:w="644" w:type="pct"/>
          </w:tcPr>
          <w:p w14:paraId="0A1201DA">
            <w:pPr>
              <w:jc w:val="center"/>
              <w:rPr>
                <w:rFonts w:ascii="宋体" w:hAnsi="宋体" w:cs="宋体"/>
              </w:rPr>
            </w:pPr>
            <w:r>
              <w:rPr>
                <w:rFonts w:hint="eastAsia" w:ascii="宋体" w:hAnsi="宋体" w:cs="宋体"/>
              </w:rPr>
              <w:t>298500</w:t>
            </w:r>
          </w:p>
        </w:tc>
        <w:tc>
          <w:tcPr>
            <w:tcW w:w="644" w:type="pct"/>
          </w:tcPr>
          <w:p w14:paraId="0467ADA3">
            <w:pPr>
              <w:jc w:val="center"/>
              <w:rPr>
                <w:rFonts w:ascii="宋体" w:hAnsi="宋体" w:cs="宋体"/>
              </w:rPr>
            </w:pPr>
            <w:r>
              <w:rPr>
                <w:rFonts w:hint="eastAsia" w:ascii="宋体" w:hAnsi="宋体" w:cs="宋体"/>
              </w:rPr>
              <w:t>298500</w:t>
            </w:r>
          </w:p>
        </w:tc>
        <w:tc>
          <w:tcPr>
            <w:tcW w:w="644" w:type="pct"/>
          </w:tcPr>
          <w:p w14:paraId="1CD7C7DD">
            <w:pPr>
              <w:jc w:val="center"/>
              <w:rPr>
                <w:rFonts w:ascii="宋体" w:hAnsi="宋体" w:cs="宋体"/>
              </w:rPr>
            </w:pPr>
            <w:r>
              <w:rPr>
                <w:rFonts w:hint="eastAsia" w:ascii="宋体" w:hAnsi="宋体" w:cs="宋体"/>
              </w:rPr>
              <w:t>298500</w:t>
            </w:r>
          </w:p>
        </w:tc>
        <w:tc>
          <w:tcPr>
            <w:tcW w:w="637" w:type="pct"/>
          </w:tcPr>
          <w:p w14:paraId="01B9DA66">
            <w:pPr>
              <w:jc w:val="center"/>
              <w:rPr>
                <w:rFonts w:ascii="宋体" w:hAnsi="宋体" w:cs="宋体"/>
              </w:rPr>
            </w:pPr>
            <w:r>
              <w:rPr>
                <w:rFonts w:hint="eastAsia" w:ascii="宋体" w:hAnsi="宋体" w:cs="宋体"/>
              </w:rPr>
              <w:t>578500</w:t>
            </w:r>
          </w:p>
        </w:tc>
      </w:tr>
    </w:tbl>
    <w:p w14:paraId="1E8609C1">
      <w:pPr>
        <w:jc w:val="left"/>
        <w:rPr>
          <w:rFonts w:ascii="宋体" w:hAnsi="宋体" w:cs="宋体"/>
        </w:rPr>
      </w:pPr>
      <w:r>
        <w:rPr>
          <w:rFonts w:hint="eastAsia" w:ascii="宋体" w:hAnsi="宋体" w:cs="宋体"/>
        </w:rPr>
        <w:t>乙方案的净现值=578500×（P/F,10%,5）+298500×（P/A,10%,4）-1000000</w:t>
      </w:r>
    </w:p>
    <w:p w14:paraId="6BECD24A">
      <w:pPr>
        <w:jc w:val="left"/>
        <w:rPr>
          <w:rFonts w:ascii="宋体" w:hAnsi="宋体" w:cs="宋体"/>
        </w:rPr>
      </w:pPr>
      <w:r>
        <w:rPr>
          <w:rFonts w:hint="eastAsia" w:ascii="宋体" w:hAnsi="宋体" w:cs="宋体"/>
        </w:rPr>
        <w:t>=578500×0.6209+298500×3.1699-1000000=305405.80（元）</w:t>
      </w:r>
    </w:p>
    <w:p w14:paraId="461E086A">
      <w:pPr>
        <w:jc w:val="left"/>
        <w:rPr>
          <w:rFonts w:hint="eastAsia" w:ascii="宋体" w:hAnsi="宋体" w:cs="宋体"/>
        </w:rPr>
      </w:pPr>
      <w:r>
        <w:rPr>
          <w:rFonts w:hint="eastAsia" w:ascii="宋体" w:hAnsi="宋体" w:cs="宋体"/>
        </w:rPr>
        <w:t>由于乙方案的净现值大于0，所以，乙方案也可行。</w:t>
      </w:r>
    </w:p>
    <w:p w14:paraId="71538208">
      <w:pPr>
        <w:overflowPunct w:val="0"/>
        <w:jc w:val="center"/>
        <w:rPr>
          <w:rFonts w:ascii="宋体" w:hAnsi="宋体" w:cs="宋体"/>
          <w:b/>
          <w:bCs/>
        </w:rPr>
      </w:pPr>
      <w:r>
        <w:rPr>
          <w:rFonts w:hint="eastAsia" w:ascii="宋体" w:hAnsi="宋体" w:cs="宋体"/>
          <w:b/>
          <w:bCs/>
        </w:rPr>
        <w:t>第二节  投资项目财务评价指标</w:t>
      </w:r>
    </w:p>
    <w:p w14:paraId="02B216B6">
      <w:pPr>
        <w:jc w:val="left"/>
        <w:rPr>
          <w:rFonts w:ascii="宋体" w:hAnsi="宋体" w:cs="宋体"/>
          <w:color w:val="FF0000"/>
        </w:rPr>
      </w:pPr>
      <w:r>
        <w:rPr>
          <w:rFonts w:hint="eastAsia" w:ascii="宋体" w:hAnsi="宋体" w:cs="宋体"/>
          <w:color w:val="FF0000"/>
        </w:rPr>
        <w:t>【知识点3】年金净流量（ANCF）</w:t>
      </w:r>
    </w:p>
    <w:p w14:paraId="20AB3E2B">
      <w:pPr>
        <w:jc w:val="left"/>
        <w:rPr>
          <w:rFonts w:ascii="宋体" w:hAnsi="宋体" w:cs="宋体"/>
        </w:rPr>
      </w:pPr>
      <w:r>
        <w:rPr>
          <w:rFonts w:hint="eastAsia" w:ascii="宋体" w:hAnsi="宋体" w:cs="宋体"/>
        </w:rPr>
        <w:t>年金净流量法是净现值法的辅助方法，在各方案寿命期相同时，实质上就是净现值法，因此它适用于期限不同的投资方案决策。</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838"/>
      </w:tblGrid>
      <w:tr w14:paraId="0E27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38A9677C">
            <w:pPr>
              <w:jc w:val="left"/>
              <w:rPr>
                <w:rFonts w:ascii="宋体" w:hAnsi="宋体" w:cs="宋体"/>
              </w:rPr>
            </w:pPr>
            <w:r>
              <w:rPr>
                <w:rFonts w:hint="eastAsia" w:ascii="宋体" w:hAnsi="宋体" w:cs="宋体"/>
              </w:rPr>
              <w:t>计算公式</w:t>
            </w:r>
          </w:p>
        </w:tc>
        <w:tc>
          <w:tcPr>
            <w:tcW w:w="4359" w:type="pct"/>
          </w:tcPr>
          <w:p w14:paraId="4B408F89">
            <w:pPr>
              <w:jc w:val="left"/>
              <w:rPr>
                <w:rFonts w:ascii="宋体" w:hAnsi="宋体" w:cs="宋体"/>
              </w:rPr>
            </w:pPr>
            <w:r>
              <w:rPr>
                <w:rFonts w:hint="eastAsia" w:ascii="宋体" w:hAnsi="宋体" w:cs="宋体"/>
              </w:rPr>
              <w:t>年金净流量=现金净流量总现值/年金现值系数</w:t>
            </w:r>
          </w:p>
        </w:tc>
      </w:tr>
      <w:tr w14:paraId="194BC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C933668">
            <w:pPr>
              <w:jc w:val="left"/>
              <w:rPr>
                <w:rFonts w:ascii="宋体" w:hAnsi="宋体" w:cs="宋体"/>
              </w:rPr>
            </w:pPr>
            <w:r>
              <w:rPr>
                <w:rFonts w:hint="eastAsia" w:ascii="宋体" w:hAnsi="宋体" w:cs="宋体"/>
              </w:rPr>
              <w:t>本质</w:t>
            </w:r>
          </w:p>
        </w:tc>
        <w:tc>
          <w:tcPr>
            <w:tcW w:w="4359" w:type="pct"/>
          </w:tcPr>
          <w:p w14:paraId="31E2EF41">
            <w:pPr>
              <w:jc w:val="left"/>
              <w:rPr>
                <w:rFonts w:ascii="宋体" w:hAnsi="宋体" w:cs="宋体"/>
              </w:rPr>
            </w:pPr>
            <w:r>
              <w:rPr>
                <w:rFonts w:hint="eastAsia" w:ascii="宋体" w:hAnsi="宋体" w:cs="宋体"/>
              </w:rPr>
              <w:t>各年现金流量中的超额投资收益额</w:t>
            </w:r>
          </w:p>
        </w:tc>
      </w:tr>
      <w:tr w14:paraId="1F3D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64C4069">
            <w:pPr>
              <w:jc w:val="left"/>
              <w:rPr>
                <w:rFonts w:ascii="宋体" w:hAnsi="宋体" w:cs="宋体"/>
              </w:rPr>
            </w:pPr>
            <w:r>
              <w:rPr>
                <w:rFonts w:hint="eastAsia" w:ascii="宋体" w:hAnsi="宋体" w:cs="宋体"/>
              </w:rPr>
              <w:t>决策方法</w:t>
            </w:r>
          </w:p>
        </w:tc>
        <w:tc>
          <w:tcPr>
            <w:tcW w:w="4359" w:type="pct"/>
          </w:tcPr>
          <w:p w14:paraId="214D94B5">
            <w:pPr>
              <w:jc w:val="left"/>
              <w:rPr>
                <w:rFonts w:ascii="宋体" w:hAnsi="宋体" w:cs="宋体"/>
              </w:rPr>
            </w:pPr>
            <w:r>
              <w:rPr>
                <w:rFonts w:hint="eastAsia" w:ascii="宋体" w:hAnsi="宋体" w:cs="宋体"/>
              </w:rPr>
              <w:t>年金净流量&gt;0，方案可行，表明净现值&gt;0、预期收益率&gt;必要收益率</w:t>
            </w:r>
            <w:r>
              <w:rPr>
                <w:rFonts w:hint="eastAsia" w:ascii="宋体" w:hAnsi="宋体" w:cs="宋体"/>
              </w:rPr>
              <w:br w:type="textWrapping"/>
            </w:r>
            <w:r>
              <w:rPr>
                <w:rFonts w:hint="eastAsia" w:ascii="宋体" w:hAnsi="宋体" w:cs="宋体"/>
              </w:rPr>
              <w:t>寿命期不同的投资方案比较时，年金净流量越大，方案越好</w:t>
            </w:r>
          </w:p>
        </w:tc>
      </w:tr>
    </w:tbl>
    <w:p w14:paraId="023E9FB2">
      <w:pPr>
        <w:jc w:val="left"/>
        <w:rPr>
          <w:rFonts w:ascii="宋体" w:hAnsi="宋体" w:cs="宋体"/>
        </w:rPr>
      </w:pPr>
      <w:r>
        <w:rPr>
          <w:rFonts w:hint="eastAsia" w:ascii="宋体" w:hAnsi="宋体" w:cs="宋体"/>
        </w:rPr>
        <w:t>【例】甲、乙两个投资方案，甲方案需一次性投资10000元，可用8年，残值2000元，每年取得税后营业利润3500元；乙方案需一次性投资10000元，可用5年，无残值，第一年获利3000元，以后每年递增10%。如果资本成本率为10%，应采用哪种方案？</w:t>
      </w:r>
    </w:p>
    <w:p w14:paraId="733B51BC">
      <w:pPr>
        <w:jc w:val="left"/>
        <w:rPr>
          <w:rFonts w:ascii="宋体" w:hAnsi="宋体" w:cs="宋体"/>
        </w:rPr>
      </w:pPr>
      <w:r>
        <w:rPr>
          <w:rFonts w:hint="eastAsia" w:ascii="宋体" w:hAnsi="宋体" w:cs="宋体"/>
        </w:rPr>
        <w:t>答案：甲方案营业期每年NCF＝3500＋（10000－2000）/8＝4500（元）</w:t>
      </w:r>
    </w:p>
    <w:p w14:paraId="6A9FAC2D">
      <w:pPr>
        <w:jc w:val="left"/>
        <w:rPr>
          <w:rFonts w:hint="eastAsia" w:ascii="宋体" w:hAnsi="宋体" w:cs="宋体"/>
        </w:rPr>
      </w:pPr>
      <w:r>
        <w:rPr>
          <w:rFonts w:hint="eastAsia" w:ascii="宋体" w:hAnsi="宋体" w:cs="宋体"/>
        </w:rPr>
        <w:t>甲方案净现值 ＝4500×5.335＋2000×0.467－10000＝14941.50（元）</w:t>
      </w:r>
    </w:p>
    <w:p w14:paraId="18F1F5E1">
      <w:pPr>
        <w:jc w:val="left"/>
        <w:rPr>
          <w:rFonts w:ascii="宋体" w:hAnsi="宋体" w:cs="宋体"/>
        </w:rPr>
      </w:pPr>
      <w:r>
        <w:rPr>
          <w:rFonts w:hint="eastAsia" w:ascii="宋体" w:hAnsi="宋体" w:cs="宋体"/>
        </w:rPr>
        <w:drawing>
          <wp:inline distT="0" distB="0" distL="114300" distR="114300">
            <wp:extent cx="3110230" cy="372110"/>
            <wp:effectExtent l="0" t="0" r="13970" b="889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3405548" cy="407954"/>
                    </a:xfrm>
                    <a:prstGeom prst="rect">
                      <a:avLst/>
                    </a:prstGeom>
                    <a:noFill/>
                    <a:ln>
                      <a:noFill/>
                    </a:ln>
                  </pic:spPr>
                </pic:pic>
              </a:graphicData>
            </a:graphic>
          </wp:inline>
        </w:drawing>
      </w:r>
    </w:p>
    <w:p w14:paraId="4764C47E">
      <w:pPr>
        <w:jc w:val="left"/>
        <w:rPr>
          <w:rFonts w:ascii="宋体" w:hAnsi="宋体" w:cs="宋体"/>
        </w:rPr>
      </w:pPr>
      <w:r>
        <w:rPr>
          <w:rFonts w:ascii="宋体" w:hAnsi="宋体" w:cs="宋体"/>
        </w:rPr>
        <w:t>乙方案营业期各年NCF：</w:t>
      </w:r>
    </w:p>
    <w:p w14:paraId="72FB23FB">
      <w:pPr>
        <w:jc w:val="left"/>
        <w:rPr>
          <w:rFonts w:ascii="宋体" w:hAnsi="宋体" w:cs="宋体"/>
        </w:rPr>
      </w:pPr>
      <w:r>
        <w:rPr>
          <w:rFonts w:ascii="宋体" w:hAnsi="宋体" w:cs="宋体"/>
        </w:rPr>
        <w:t>第一年＝3000＋10000/5＝5000（元）</w:t>
      </w:r>
    </w:p>
    <w:p w14:paraId="60CF4B9F">
      <w:pPr>
        <w:jc w:val="left"/>
        <w:rPr>
          <w:rFonts w:ascii="宋体" w:hAnsi="宋体" w:cs="宋体"/>
        </w:rPr>
      </w:pPr>
      <w:r>
        <w:rPr>
          <w:rFonts w:ascii="宋体" w:hAnsi="宋体" w:cs="宋体"/>
        </w:rPr>
        <w:t>第二年＝3000×（1＋10%）＋10000/5＝5300（元）</w:t>
      </w:r>
    </w:p>
    <w:p w14:paraId="4AB457B9">
      <w:pPr>
        <w:jc w:val="left"/>
        <w:rPr>
          <w:rFonts w:ascii="宋体" w:hAnsi="宋体" w:cs="宋体"/>
        </w:rPr>
      </w:pPr>
      <w:r>
        <w:rPr>
          <w:rFonts w:ascii="宋体" w:hAnsi="宋体" w:cs="宋体"/>
        </w:rPr>
        <w:t>第三年＝3000×（1＋10%）</w:t>
      </w:r>
      <w:r>
        <w:rPr>
          <w:rFonts w:ascii="宋体" w:hAnsi="宋体" w:cs="宋体"/>
          <w:vertAlign w:val="superscript"/>
        </w:rPr>
        <w:t>2</w:t>
      </w:r>
      <w:r>
        <w:rPr>
          <w:rFonts w:ascii="宋体" w:hAnsi="宋体" w:cs="宋体"/>
        </w:rPr>
        <w:t>＋10000/5＝5630（元）</w:t>
      </w:r>
    </w:p>
    <w:p w14:paraId="1B2147EE">
      <w:pPr>
        <w:jc w:val="left"/>
        <w:rPr>
          <w:rFonts w:ascii="宋体" w:hAnsi="宋体" w:cs="宋体"/>
        </w:rPr>
      </w:pPr>
      <w:r>
        <w:rPr>
          <w:rFonts w:ascii="宋体" w:hAnsi="宋体" w:cs="宋体"/>
        </w:rPr>
        <w:t>第四年＝3000×（1＋10%）</w:t>
      </w:r>
      <w:r>
        <w:rPr>
          <w:rFonts w:ascii="宋体" w:hAnsi="宋体" w:cs="宋体"/>
          <w:vertAlign w:val="superscript"/>
        </w:rPr>
        <w:t>3</w:t>
      </w:r>
      <w:r>
        <w:rPr>
          <w:rFonts w:ascii="宋体" w:hAnsi="宋体" w:cs="宋体"/>
        </w:rPr>
        <w:t>＋10000/5＝5993（元）</w:t>
      </w:r>
    </w:p>
    <w:p w14:paraId="3D649AD8">
      <w:pPr>
        <w:jc w:val="left"/>
        <w:rPr>
          <w:rFonts w:ascii="宋体" w:hAnsi="宋体" w:cs="宋体"/>
        </w:rPr>
      </w:pPr>
      <w:r>
        <w:rPr>
          <w:rFonts w:ascii="宋体" w:hAnsi="宋体" w:cs="宋体"/>
        </w:rPr>
        <w:t>第五年＝3000×（1＋10%）</w:t>
      </w:r>
      <w:r>
        <w:rPr>
          <w:rFonts w:ascii="宋体" w:hAnsi="宋体" w:cs="宋体"/>
          <w:vertAlign w:val="superscript"/>
        </w:rPr>
        <w:t>4</w:t>
      </w:r>
      <w:r>
        <w:rPr>
          <w:rFonts w:ascii="宋体" w:hAnsi="宋体" w:cs="宋体"/>
        </w:rPr>
        <w:t>＋10000/5＝6392.30（元）</w:t>
      </w:r>
    </w:p>
    <w:p w14:paraId="06639A42">
      <w:pPr>
        <w:jc w:val="left"/>
        <w:rPr>
          <w:rFonts w:ascii="宋体" w:hAnsi="宋体" w:cs="宋体"/>
        </w:rPr>
      </w:pPr>
      <w:r>
        <w:rPr>
          <w:rFonts w:ascii="宋体" w:hAnsi="宋体" w:cs="宋体"/>
        </w:rPr>
        <w:t>乙方案净现值＝5000×0.909＋5300×0.826＋5630×0.751＋5993×0.683＋6392.30×0.621－10000＝11213.77（元）</w:t>
      </w:r>
    </w:p>
    <w:p w14:paraId="77EB7CBB">
      <w:pPr>
        <w:jc w:val="left"/>
        <w:rPr>
          <w:rFonts w:ascii="宋体" w:hAnsi="宋体" w:cs="宋体"/>
        </w:rPr>
      </w:pPr>
      <w:r>
        <w:rPr>
          <w:rFonts w:hint="eastAsia" w:ascii="宋体" w:hAnsi="宋体" w:cs="宋体"/>
        </w:rPr>
        <w:drawing>
          <wp:inline distT="0" distB="0" distL="114300" distR="114300">
            <wp:extent cx="3110230" cy="382270"/>
            <wp:effectExtent l="0" t="0" r="13970" b="177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3199720" cy="393610"/>
                    </a:xfrm>
                    <a:prstGeom prst="rect">
                      <a:avLst/>
                    </a:prstGeom>
                    <a:noFill/>
                    <a:ln>
                      <a:noFill/>
                    </a:ln>
                  </pic:spPr>
                </pic:pic>
              </a:graphicData>
            </a:graphic>
          </wp:inline>
        </w:drawing>
      </w:r>
    </w:p>
    <w:p w14:paraId="05EA3814">
      <w:pPr>
        <w:jc w:val="left"/>
        <w:rPr>
          <w:rFonts w:ascii="宋体" w:hAnsi="宋体" w:cs="宋体"/>
        </w:rPr>
      </w:pPr>
      <w:r>
        <w:rPr>
          <w:rFonts w:hint="eastAsia" w:ascii="宋体" w:hAnsi="宋体" w:cs="宋体"/>
        </w:rPr>
        <w:t>尽管甲方案净现值大于乙方案，但它是8年内取得的。而乙方案年金净流量高于甲方案，如果按8年计算可取得15780.93元（2958×5.335）的净现值，高于甲方案。因此，乙方案优于甲方案。本例中，用终值进行计算也可得出同样的结果。</w:t>
      </w:r>
    </w:p>
    <w:p w14:paraId="63435548">
      <w:pPr>
        <w:jc w:val="left"/>
        <w:rPr>
          <w:rFonts w:ascii="宋体" w:hAnsi="宋体" w:cs="宋体"/>
        </w:rPr>
      </w:pPr>
    </w:p>
    <w:p w14:paraId="163B29FC">
      <w:pPr>
        <w:jc w:val="left"/>
        <w:rPr>
          <w:rFonts w:ascii="宋体" w:hAnsi="宋体" w:cs="宋体"/>
        </w:rPr>
      </w:pPr>
      <w:r>
        <w:rPr>
          <w:rFonts w:hint="eastAsia" w:ascii="宋体" w:hAnsi="宋体" w:cs="宋体"/>
        </w:rPr>
        <w:t xml:space="preserve">【单选题】（2022 年）在项目投资决策中，下列关于年金净流量法的表述错误的 是（  ）。 </w:t>
      </w:r>
    </w:p>
    <w:p w14:paraId="45DD2B01">
      <w:pPr>
        <w:jc w:val="left"/>
        <w:rPr>
          <w:rFonts w:ascii="宋体" w:hAnsi="宋体" w:cs="宋体"/>
        </w:rPr>
      </w:pPr>
      <w:r>
        <w:rPr>
          <w:rFonts w:hint="eastAsia" w:ascii="宋体" w:hAnsi="宋体" w:cs="宋体"/>
        </w:rPr>
        <w:t xml:space="preserve">A.年金净流量等于投资项目的现金净流量总现值除以年金现值系数 </w:t>
      </w:r>
    </w:p>
    <w:p w14:paraId="79E27817">
      <w:pPr>
        <w:jc w:val="left"/>
        <w:rPr>
          <w:rFonts w:ascii="宋体" w:hAnsi="宋体" w:cs="宋体"/>
        </w:rPr>
      </w:pPr>
      <w:r>
        <w:rPr>
          <w:rFonts w:hint="eastAsia" w:ascii="宋体" w:hAnsi="宋体" w:cs="宋体"/>
        </w:rPr>
        <w:t xml:space="preserve">B.年金净流量大于零时，单一投资方案可行 </w:t>
      </w:r>
    </w:p>
    <w:p w14:paraId="67DBABA0">
      <w:pPr>
        <w:jc w:val="left"/>
        <w:rPr>
          <w:rFonts w:ascii="宋体" w:hAnsi="宋体" w:cs="宋体"/>
        </w:rPr>
      </w:pPr>
      <w:r>
        <w:rPr>
          <w:rFonts w:hint="eastAsia" w:ascii="宋体" w:hAnsi="宋体" w:cs="宋体"/>
        </w:rPr>
        <w:t>C.年金净流量法适用于期限不同的互斥投资方案决策</w:t>
      </w:r>
    </w:p>
    <w:p w14:paraId="1813DDE8">
      <w:pPr>
        <w:jc w:val="left"/>
        <w:rPr>
          <w:rFonts w:ascii="宋体" w:hAnsi="宋体" w:cs="宋体"/>
        </w:rPr>
      </w:pPr>
      <w:r>
        <w:rPr>
          <w:rFonts w:hint="eastAsia" w:ascii="宋体" w:hAnsi="宋体" w:cs="宋体"/>
        </w:rPr>
        <w:t>D.当各投资方案寿命期不同时，年金净流量法与净现值决策结果是一样的</w:t>
      </w:r>
    </w:p>
    <w:p w14:paraId="3FEEEAF4">
      <w:pPr>
        <w:jc w:val="left"/>
        <w:rPr>
          <w:rFonts w:ascii="宋体" w:hAnsi="宋体" w:cs="宋体"/>
        </w:rPr>
      </w:pPr>
      <w:r>
        <w:rPr>
          <w:rFonts w:hint="eastAsia" w:ascii="宋体" w:hAnsi="宋体" w:cs="宋体"/>
        </w:rPr>
        <w:t>答案：D</w:t>
      </w:r>
    </w:p>
    <w:p w14:paraId="0F80DAD4">
      <w:pPr>
        <w:jc w:val="left"/>
        <w:rPr>
          <w:rFonts w:ascii="宋体" w:hAnsi="宋体" w:cs="宋体"/>
        </w:rPr>
      </w:pPr>
      <w:r>
        <w:rPr>
          <w:rFonts w:hint="eastAsia" w:ascii="宋体" w:hAnsi="宋体" w:cs="宋体"/>
        </w:rPr>
        <w:t>解析：年金净流量＝净现值/年金现值系数，所以，当各投资方案寿命期不同时，年 金净流量法与净现值决策结果是不一样的，选项 D 的说法不正确。</w:t>
      </w:r>
    </w:p>
    <w:p w14:paraId="60B276E7">
      <w:pPr>
        <w:jc w:val="left"/>
        <w:rPr>
          <w:rFonts w:ascii="宋体" w:hAnsi="宋体" w:cs="宋体"/>
        </w:rPr>
      </w:pPr>
    </w:p>
    <w:p w14:paraId="4D148F85">
      <w:pPr>
        <w:jc w:val="left"/>
        <w:rPr>
          <w:rFonts w:ascii="宋体" w:hAnsi="宋体" w:cs="宋体"/>
          <w:color w:val="FF0000"/>
        </w:rPr>
      </w:pPr>
      <w:r>
        <w:rPr>
          <w:rFonts w:hint="eastAsia" w:ascii="宋体" w:hAnsi="宋体" w:cs="宋体"/>
          <w:color w:val="FF0000"/>
        </w:rPr>
        <w:t>【知识点4】现值指数</w:t>
      </w:r>
    </w:p>
    <w:p w14:paraId="2FC14CFF">
      <w:pPr>
        <w:jc w:val="left"/>
        <w:rPr>
          <w:rFonts w:ascii="宋体" w:hAnsi="宋体" w:cs="宋体"/>
        </w:rPr>
      </w:pPr>
      <w:r>
        <w:rPr>
          <w:rFonts w:hint="eastAsia" w:ascii="宋体" w:hAnsi="宋体" w:cs="宋体"/>
        </w:rPr>
        <w:t>现值指数，是指投资项目未来现金净流量现值与原始投资额现值的比值。</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838"/>
      </w:tblGrid>
      <w:tr w14:paraId="7A39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6F739A5A">
            <w:pPr>
              <w:jc w:val="left"/>
              <w:rPr>
                <w:rFonts w:ascii="宋体" w:hAnsi="宋体" w:cs="宋体"/>
              </w:rPr>
            </w:pPr>
            <w:r>
              <w:rPr>
                <w:rFonts w:hint="eastAsia" w:ascii="宋体" w:hAnsi="宋体" w:cs="宋体"/>
              </w:rPr>
              <w:t>计算公式</w:t>
            </w:r>
          </w:p>
        </w:tc>
        <w:tc>
          <w:tcPr>
            <w:tcW w:w="4359" w:type="pct"/>
          </w:tcPr>
          <w:p w14:paraId="441EE7CC">
            <w:pPr>
              <w:jc w:val="left"/>
              <w:rPr>
                <w:rFonts w:ascii="宋体" w:hAnsi="宋体" w:cs="宋体"/>
              </w:rPr>
            </w:pPr>
            <w:r>
              <w:rPr>
                <w:rFonts w:hint="eastAsia" w:ascii="宋体" w:hAnsi="宋体" w:cs="宋体"/>
              </w:rPr>
              <w:t>未来现金净流量现值/原始投资额现值</w:t>
            </w:r>
          </w:p>
        </w:tc>
      </w:tr>
      <w:tr w14:paraId="10A7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217F5CA4">
            <w:pPr>
              <w:jc w:val="left"/>
              <w:rPr>
                <w:rFonts w:ascii="宋体" w:hAnsi="宋体" w:cs="宋体"/>
              </w:rPr>
            </w:pPr>
            <w:r>
              <w:rPr>
                <w:rFonts w:hint="eastAsia" w:ascii="宋体" w:hAnsi="宋体" w:cs="宋体"/>
              </w:rPr>
              <w:t>决策方法</w:t>
            </w:r>
          </w:p>
        </w:tc>
        <w:tc>
          <w:tcPr>
            <w:tcW w:w="4359" w:type="pct"/>
          </w:tcPr>
          <w:p w14:paraId="3117F6FC">
            <w:pPr>
              <w:jc w:val="left"/>
              <w:rPr>
                <w:rFonts w:ascii="宋体" w:hAnsi="宋体" w:cs="宋体"/>
              </w:rPr>
            </w:pPr>
            <w:r>
              <w:rPr>
                <w:rFonts w:hint="eastAsia" w:ascii="宋体" w:hAnsi="宋体" w:cs="宋体"/>
              </w:rPr>
              <w:t>若现值指数＞1或=1方案可行；若现值指数&lt;1，方案不可行，说明方案实施后的投资收益率低于必要收益率。</w:t>
            </w:r>
          </w:p>
          <w:p w14:paraId="07BDB61D">
            <w:pPr>
              <w:jc w:val="left"/>
              <w:rPr>
                <w:rFonts w:ascii="宋体" w:hAnsi="宋体" w:cs="宋体"/>
              </w:rPr>
            </w:pPr>
            <w:r>
              <w:rPr>
                <w:rFonts w:hint="eastAsia" w:ascii="宋体" w:hAnsi="宋体" w:cs="宋体"/>
              </w:rPr>
              <w:t>现值指数越大，方案越好</w:t>
            </w:r>
          </w:p>
        </w:tc>
      </w:tr>
    </w:tbl>
    <w:p w14:paraId="3C31835F">
      <w:pPr>
        <w:jc w:val="left"/>
        <w:rPr>
          <w:rFonts w:ascii="宋体" w:hAnsi="宋体" w:cs="宋体"/>
        </w:rPr>
      </w:pPr>
      <w:r>
        <w:rPr>
          <w:rFonts w:hint="eastAsia" w:ascii="宋体" w:hAnsi="宋体" w:cs="宋体"/>
        </w:rPr>
        <w:t>【例】有两个独立投资方案，有关资料如表所示。</w:t>
      </w:r>
    </w:p>
    <w:p w14:paraId="2AC3D999">
      <w:pPr>
        <w:jc w:val="center"/>
        <w:rPr>
          <w:rFonts w:hint="eastAsia" w:ascii="宋体" w:hAnsi="宋体" w:cs="宋体"/>
        </w:rPr>
      </w:pPr>
      <w:r>
        <w:rPr>
          <w:rFonts w:hint="eastAsia" w:ascii="宋体" w:hAnsi="宋体" w:cs="宋体"/>
        </w:rPr>
        <w:t>净现值计算表　　                     　　　单位：元</w:t>
      </w:r>
    </w:p>
    <w:tbl>
      <w:tblPr>
        <w:tblStyle w:val="5"/>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4237"/>
      </w:tblGrid>
      <w:tr w14:paraId="6295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91DD2CE">
            <w:pPr>
              <w:jc w:val="left"/>
              <w:rPr>
                <w:rFonts w:ascii="宋体" w:hAnsi="宋体" w:cs="宋体"/>
              </w:rPr>
            </w:pPr>
            <w:r>
              <w:rPr>
                <w:rFonts w:hint="eastAsia" w:ascii="宋体" w:hAnsi="宋体" w:cs="宋体"/>
              </w:rPr>
              <w:t>项目</w:t>
            </w:r>
          </w:p>
        </w:tc>
        <w:tc>
          <w:tcPr>
            <w:tcW w:w="2841" w:type="dxa"/>
          </w:tcPr>
          <w:p w14:paraId="3CE20D12">
            <w:pPr>
              <w:jc w:val="left"/>
              <w:rPr>
                <w:rFonts w:ascii="宋体" w:hAnsi="宋体" w:cs="宋体"/>
              </w:rPr>
            </w:pPr>
            <w:r>
              <w:rPr>
                <w:rFonts w:hint="eastAsia" w:ascii="宋体" w:hAnsi="宋体" w:cs="宋体"/>
              </w:rPr>
              <w:t>方案A</w:t>
            </w:r>
          </w:p>
        </w:tc>
        <w:tc>
          <w:tcPr>
            <w:tcW w:w="4237" w:type="dxa"/>
          </w:tcPr>
          <w:p w14:paraId="5A4CDF2B">
            <w:pPr>
              <w:jc w:val="left"/>
              <w:rPr>
                <w:rFonts w:ascii="宋体" w:hAnsi="宋体" w:cs="宋体"/>
              </w:rPr>
            </w:pPr>
            <w:r>
              <w:rPr>
                <w:rFonts w:hint="eastAsia" w:ascii="宋体" w:hAnsi="宋体" w:cs="宋体"/>
              </w:rPr>
              <w:t>方案B</w:t>
            </w:r>
          </w:p>
        </w:tc>
      </w:tr>
      <w:tr w14:paraId="19FE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443A24FC">
            <w:pPr>
              <w:jc w:val="left"/>
              <w:rPr>
                <w:rFonts w:ascii="宋体" w:hAnsi="宋体" w:cs="宋体"/>
              </w:rPr>
            </w:pPr>
            <w:r>
              <w:rPr>
                <w:rFonts w:hint="eastAsia" w:ascii="宋体" w:hAnsi="宋体" w:cs="宋体"/>
              </w:rPr>
              <w:t>原始投资额现值</w:t>
            </w:r>
            <w:r>
              <w:rPr>
                <w:rFonts w:hint="eastAsia" w:ascii="宋体" w:hAnsi="宋体" w:cs="宋体"/>
              </w:rPr>
              <w:br w:type="textWrapping"/>
            </w:r>
            <w:r>
              <w:rPr>
                <w:rFonts w:hint="eastAsia" w:ascii="宋体" w:hAnsi="宋体" w:cs="宋体"/>
              </w:rPr>
              <w:t>未来现金净流量现值</w:t>
            </w:r>
            <w:r>
              <w:rPr>
                <w:rFonts w:hint="eastAsia" w:ascii="宋体" w:hAnsi="宋体" w:cs="宋体"/>
              </w:rPr>
              <w:br w:type="textWrapping"/>
            </w:r>
            <w:r>
              <w:rPr>
                <w:rFonts w:hint="eastAsia" w:ascii="宋体" w:hAnsi="宋体" w:cs="宋体"/>
              </w:rPr>
              <w:t>净现值</w:t>
            </w:r>
          </w:p>
        </w:tc>
        <w:tc>
          <w:tcPr>
            <w:tcW w:w="2841" w:type="dxa"/>
          </w:tcPr>
          <w:p w14:paraId="7FEEAD3A">
            <w:pPr>
              <w:jc w:val="left"/>
              <w:rPr>
                <w:rFonts w:ascii="宋体" w:hAnsi="宋体" w:cs="宋体"/>
              </w:rPr>
            </w:pPr>
            <w:r>
              <w:rPr>
                <w:rFonts w:hint="eastAsia" w:ascii="宋体" w:hAnsi="宋体" w:cs="宋体"/>
              </w:rPr>
              <w:t>30000</w:t>
            </w:r>
            <w:r>
              <w:rPr>
                <w:rFonts w:hint="eastAsia" w:ascii="宋体" w:hAnsi="宋体" w:cs="宋体"/>
              </w:rPr>
              <w:br w:type="textWrapping"/>
            </w:r>
            <w:r>
              <w:rPr>
                <w:rFonts w:hint="eastAsia" w:ascii="宋体" w:hAnsi="宋体" w:cs="宋体"/>
              </w:rPr>
              <w:t>31500</w:t>
            </w:r>
            <w:r>
              <w:rPr>
                <w:rFonts w:hint="eastAsia" w:ascii="宋体" w:hAnsi="宋体" w:cs="宋体"/>
              </w:rPr>
              <w:br w:type="textWrapping"/>
            </w:r>
            <w:r>
              <w:rPr>
                <w:rFonts w:hint="eastAsia" w:ascii="宋体" w:hAnsi="宋体" w:cs="宋体"/>
              </w:rPr>
              <w:t>1500</w:t>
            </w:r>
          </w:p>
        </w:tc>
        <w:tc>
          <w:tcPr>
            <w:tcW w:w="4237" w:type="dxa"/>
          </w:tcPr>
          <w:p w14:paraId="7C8E80DF">
            <w:pPr>
              <w:jc w:val="left"/>
              <w:rPr>
                <w:rFonts w:ascii="宋体" w:hAnsi="宋体" w:cs="宋体"/>
              </w:rPr>
            </w:pPr>
            <w:r>
              <w:rPr>
                <w:rFonts w:hint="eastAsia" w:ascii="宋体" w:hAnsi="宋体" w:cs="宋体"/>
              </w:rPr>
              <w:t>3000</w:t>
            </w:r>
            <w:r>
              <w:rPr>
                <w:rFonts w:hint="eastAsia" w:ascii="宋体" w:hAnsi="宋体" w:cs="宋体"/>
              </w:rPr>
              <w:br w:type="textWrapping"/>
            </w:r>
            <w:r>
              <w:rPr>
                <w:rFonts w:hint="eastAsia" w:ascii="宋体" w:hAnsi="宋体" w:cs="宋体"/>
              </w:rPr>
              <w:t>4200</w:t>
            </w:r>
            <w:r>
              <w:rPr>
                <w:rFonts w:hint="eastAsia" w:ascii="宋体" w:hAnsi="宋体" w:cs="宋体"/>
              </w:rPr>
              <w:br w:type="textWrapping"/>
            </w:r>
            <w:r>
              <w:rPr>
                <w:rFonts w:hint="eastAsia" w:ascii="宋体" w:hAnsi="宋体" w:cs="宋体"/>
              </w:rPr>
              <w:t>1200</w:t>
            </w:r>
          </w:p>
        </w:tc>
      </w:tr>
    </w:tbl>
    <w:p w14:paraId="075654B0">
      <w:pPr>
        <w:jc w:val="left"/>
        <w:rPr>
          <w:rFonts w:ascii="宋体" w:hAnsi="宋体" w:cs="宋体"/>
        </w:rPr>
      </w:pPr>
      <w:r>
        <w:rPr>
          <w:rFonts w:hint="eastAsia" w:ascii="宋体" w:hAnsi="宋体" w:cs="宋体"/>
        </w:rPr>
        <w:t>从净现值的绝对数来看，方案A大于方案B，似乎应采用方案A；但从投资额来看，方案A的原始投资额现值大大超过了方案B。所以，在这种情况下，如果仅用净现值来判断方案的优劣，就难以作出正确的比较和评价。按现值指数法计算：</w:t>
      </w:r>
    </w:p>
    <w:p w14:paraId="1D06E9EF">
      <w:pPr>
        <w:jc w:val="left"/>
        <w:rPr>
          <w:rFonts w:hint="eastAsia" w:ascii="宋体" w:hAnsi="宋体" w:cs="宋体"/>
        </w:rPr>
      </w:pPr>
      <w:r>
        <w:rPr>
          <w:rFonts w:hint="eastAsia" w:ascii="宋体" w:hAnsi="宋体" w:cs="宋体"/>
        </w:rPr>
        <w:drawing>
          <wp:inline distT="0" distB="0" distL="114300" distR="114300">
            <wp:extent cx="1828800" cy="827405"/>
            <wp:effectExtent l="0" t="0" r="0"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1"/>
                    <a:stretch>
                      <a:fillRect/>
                    </a:stretch>
                  </pic:blipFill>
                  <pic:spPr>
                    <a:xfrm>
                      <a:off x="0" y="0"/>
                      <a:ext cx="1851108" cy="837781"/>
                    </a:xfrm>
                    <a:prstGeom prst="rect">
                      <a:avLst/>
                    </a:prstGeom>
                    <a:noFill/>
                    <a:ln>
                      <a:noFill/>
                    </a:ln>
                  </pic:spPr>
                </pic:pic>
              </a:graphicData>
            </a:graphic>
          </wp:inline>
        </w:drawing>
      </w:r>
    </w:p>
    <w:p w14:paraId="68124AA5">
      <w:pPr>
        <w:jc w:val="left"/>
        <w:rPr>
          <w:rFonts w:ascii="宋体" w:hAnsi="宋体" w:cs="宋体"/>
        </w:rPr>
      </w:pPr>
      <w:r>
        <w:rPr>
          <w:rFonts w:hint="eastAsia" w:ascii="宋体" w:hAnsi="宋体" w:cs="宋体"/>
        </w:rPr>
        <w:t>计算结果表明，方案B的现值指数大于方案A，应当选择方案B。</w:t>
      </w:r>
    </w:p>
    <w:p w14:paraId="5B20293A">
      <w:pPr>
        <w:jc w:val="left"/>
        <w:rPr>
          <w:rFonts w:ascii="宋体" w:hAnsi="宋体" w:cs="宋体"/>
        </w:rPr>
      </w:pPr>
    </w:p>
    <w:p w14:paraId="2832883F">
      <w:pPr>
        <w:jc w:val="left"/>
        <w:rPr>
          <w:rFonts w:ascii="宋体" w:hAnsi="宋体" w:cs="宋体"/>
        </w:rPr>
      </w:pPr>
      <w:r>
        <w:rPr>
          <w:rFonts w:hint="eastAsia" w:ascii="宋体" w:hAnsi="宋体" w:cs="宋体"/>
        </w:rPr>
        <w:t xml:space="preserve">【单选题】（2022 年）在项目投资决策中，下列关于现值指数法的表述错误的是 （  ）。 </w:t>
      </w:r>
    </w:p>
    <w:p w14:paraId="3EF3D0CC">
      <w:pPr>
        <w:jc w:val="left"/>
        <w:rPr>
          <w:rFonts w:ascii="宋体" w:hAnsi="宋体" w:cs="宋体"/>
        </w:rPr>
      </w:pPr>
      <w:r>
        <w:rPr>
          <w:rFonts w:hint="eastAsia" w:ascii="宋体" w:hAnsi="宋体" w:cs="宋体"/>
        </w:rPr>
        <w:t xml:space="preserve">A.现值指数可以反映投资效率 </w:t>
      </w:r>
    </w:p>
    <w:p w14:paraId="599E391D">
      <w:pPr>
        <w:jc w:val="left"/>
        <w:rPr>
          <w:rFonts w:ascii="宋体" w:hAnsi="宋体" w:cs="宋体"/>
        </w:rPr>
      </w:pPr>
      <w:r>
        <w:rPr>
          <w:rFonts w:hint="eastAsia" w:ascii="宋体" w:hAnsi="宋体" w:cs="宋体"/>
        </w:rPr>
        <w:t xml:space="preserve">B.现值指数法适用于对原始投资额现值不同的独立投资方案进行比较和评价 </w:t>
      </w:r>
    </w:p>
    <w:p w14:paraId="431A550D">
      <w:pPr>
        <w:jc w:val="left"/>
        <w:rPr>
          <w:rFonts w:ascii="宋体" w:hAnsi="宋体" w:cs="宋体"/>
        </w:rPr>
      </w:pPr>
      <w:r>
        <w:rPr>
          <w:rFonts w:hint="eastAsia" w:ascii="宋体" w:hAnsi="宋体" w:cs="宋体"/>
        </w:rPr>
        <w:t>C.现值指数小于 1，则方案可行</w:t>
      </w:r>
    </w:p>
    <w:p w14:paraId="299B6AF6">
      <w:pPr>
        <w:jc w:val="left"/>
        <w:rPr>
          <w:rFonts w:ascii="宋体" w:hAnsi="宋体" w:cs="宋体"/>
        </w:rPr>
      </w:pPr>
      <w:r>
        <w:rPr>
          <w:rFonts w:hint="eastAsia" w:ascii="宋体" w:hAnsi="宋体" w:cs="宋体"/>
        </w:rPr>
        <w:t>D.现值指数考虑了货币时间价值</w:t>
      </w:r>
    </w:p>
    <w:p w14:paraId="05B9CB8B">
      <w:pPr>
        <w:jc w:val="left"/>
        <w:rPr>
          <w:rFonts w:ascii="宋体" w:hAnsi="宋体" w:cs="宋体"/>
        </w:rPr>
      </w:pPr>
      <w:r>
        <w:rPr>
          <w:rFonts w:hint="eastAsia" w:ascii="宋体" w:hAnsi="宋体" w:cs="宋体"/>
        </w:rPr>
        <w:t xml:space="preserve">答案：C </w:t>
      </w:r>
    </w:p>
    <w:p w14:paraId="7F9A890D">
      <w:pPr>
        <w:jc w:val="left"/>
        <w:rPr>
          <w:rFonts w:hint="eastAsia" w:ascii="宋体" w:hAnsi="宋体" w:cs="宋体"/>
        </w:rPr>
      </w:pPr>
      <w:r>
        <w:rPr>
          <w:rFonts w:hint="eastAsia" w:ascii="宋体" w:hAnsi="宋体" w:cs="宋体"/>
        </w:rPr>
        <w:t>解析：现值指数小于 1，说明净现值小于 0，方案不可行，选项 C 的表述错误。</w:t>
      </w:r>
    </w:p>
    <w:p w14:paraId="598DC191">
      <w:pPr>
        <w:overflowPunct w:val="0"/>
        <w:jc w:val="center"/>
        <w:rPr>
          <w:rFonts w:ascii="宋体" w:hAnsi="宋体" w:cs="宋体"/>
          <w:b/>
          <w:bCs/>
        </w:rPr>
      </w:pPr>
      <w:r>
        <w:rPr>
          <w:rFonts w:hint="eastAsia" w:ascii="宋体" w:hAnsi="宋体" w:cs="宋体"/>
          <w:b/>
          <w:bCs/>
        </w:rPr>
        <w:t>第二节  投资项目财务评价指标</w:t>
      </w:r>
    </w:p>
    <w:p w14:paraId="1117EE2B">
      <w:pPr>
        <w:jc w:val="left"/>
        <w:rPr>
          <w:rFonts w:ascii="宋体" w:hAnsi="宋体" w:cs="宋体"/>
          <w:color w:val="FF0000"/>
        </w:rPr>
      </w:pPr>
      <w:r>
        <w:rPr>
          <w:rFonts w:hint="eastAsia" w:ascii="宋体" w:hAnsi="宋体" w:cs="宋体"/>
          <w:color w:val="FF0000"/>
        </w:rPr>
        <w:t>【知识点5】内含收益率</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838"/>
      </w:tblGrid>
      <w:tr w14:paraId="435B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C439367">
            <w:pPr>
              <w:jc w:val="left"/>
              <w:rPr>
                <w:rFonts w:ascii="宋体" w:hAnsi="宋体" w:cs="宋体"/>
              </w:rPr>
            </w:pPr>
            <w:r>
              <w:rPr>
                <w:rFonts w:hint="eastAsia" w:ascii="宋体" w:hAnsi="宋体" w:cs="宋体"/>
              </w:rPr>
              <w:t>定义</w:t>
            </w:r>
          </w:p>
        </w:tc>
        <w:tc>
          <w:tcPr>
            <w:tcW w:w="4359" w:type="pct"/>
          </w:tcPr>
          <w:p w14:paraId="048762A6">
            <w:pPr>
              <w:jc w:val="left"/>
              <w:rPr>
                <w:rFonts w:ascii="宋体" w:hAnsi="宋体" w:cs="宋体"/>
              </w:rPr>
            </w:pPr>
            <w:r>
              <w:rPr>
                <w:rFonts w:hint="eastAsia" w:ascii="宋体" w:hAnsi="宋体" w:cs="宋体"/>
              </w:rPr>
              <w:t>内含收益率是指能够使未来现金流量现值等于原始投资额现值的折现率。</w:t>
            </w:r>
          </w:p>
        </w:tc>
      </w:tr>
      <w:tr w14:paraId="6F38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15DD30A">
            <w:pPr>
              <w:jc w:val="left"/>
              <w:rPr>
                <w:rFonts w:ascii="宋体" w:hAnsi="宋体" w:cs="宋体"/>
              </w:rPr>
            </w:pPr>
            <w:r>
              <w:rPr>
                <w:rFonts w:hint="eastAsia" w:ascii="宋体" w:hAnsi="宋体" w:cs="宋体"/>
              </w:rPr>
              <w:t>公式</w:t>
            </w:r>
          </w:p>
        </w:tc>
        <w:tc>
          <w:tcPr>
            <w:tcW w:w="4359" w:type="pct"/>
          </w:tcPr>
          <w:p w14:paraId="506CFA23">
            <w:pPr>
              <w:jc w:val="left"/>
              <w:rPr>
                <w:rFonts w:ascii="宋体" w:hAnsi="宋体" w:cs="宋体"/>
              </w:rPr>
            </w:pPr>
            <w:r>
              <w:rPr>
                <w:rFonts w:hint="eastAsia" w:ascii="宋体" w:hAnsi="宋体" w:cs="宋体"/>
              </w:rPr>
              <w:t>当净现值=0时，即当未来现金净流量现值=原始投资额现值</w:t>
            </w:r>
          </w:p>
        </w:tc>
      </w:tr>
      <w:tr w14:paraId="3FB3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7BA9D2A">
            <w:pPr>
              <w:jc w:val="left"/>
              <w:rPr>
                <w:rFonts w:ascii="宋体" w:hAnsi="宋体" w:cs="宋体"/>
              </w:rPr>
            </w:pPr>
            <w:r>
              <w:rPr>
                <w:rFonts w:hint="eastAsia" w:ascii="宋体" w:hAnsi="宋体" w:cs="宋体"/>
              </w:rPr>
              <w:t>决策方法</w:t>
            </w:r>
          </w:p>
        </w:tc>
        <w:tc>
          <w:tcPr>
            <w:tcW w:w="4359" w:type="pct"/>
          </w:tcPr>
          <w:p w14:paraId="61451695">
            <w:pPr>
              <w:jc w:val="left"/>
              <w:rPr>
                <w:rFonts w:ascii="宋体" w:hAnsi="宋体" w:cs="宋体"/>
              </w:rPr>
            </w:pPr>
            <w:r>
              <w:rPr>
                <w:rFonts w:hint="eastAsia" w:ascii="宋体" w:hAnsi="宋体" w:cs="宋体"/>
              </w:rPr>
              <w:t>若内含收益率＞资本成本，则项目可以接受。</w:t>
            </w:r>
          </w:p>
        </w:tc>
      </w:tr>
      <w:tr w14:paraId="7969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4C404E24">
            <w:pPr>
              <w:jc w:val="left"/>
              <w:rPr>
                <w:rFonts w:ascii="宋体" w:hAnsi="宋体" w:cs="宋体"/>
              </w:rPr>
            </w:pPr>
            <w:r>
              <w:rPr>
                <w:rFonts w:hint="eastAsia" w:ascii="宋体" w:hAnsi="宋体" w:cs="宋体"/>
              </w:rPr>
              <w:t>优点</w:t>
            </w:r>
          </w:p>
        </w:tc>
        <w:tc>
          <w:tcPr>
            <w:tcW w:w="4359" w:type="pct"/>
          </w:tcPr>
          <w:p w14:paraId="524C3DDB">
            <w:pPr>
              <w:jc w:val="left"/>
              <w:rPr>
                <w:rFonts w:ascii="宋体" w:hAnsi="宋体" w:cs="宋体"/>
              </w:rPr>
            </w:pPr>
            <w:r>
              <w:rPr>
                <w:rFonts w:hint="eastAsia" w:ascii="宋体" w:hAnsi="宋体" w:cs="宋体"/>
              </w:rPr>
              <w:t>（1）内含收益率反映了投资项目可能达到的投资收益率，易于被高层决策人员所理解。</w:t>
            </w:r>
            <w:r>
              <w:rPr>
                <w:rFonts w:hint="eastAsia" w:ascii="宋体" w:hAnsi="宋体" w:cs="宋体"/>
              </w:rPr>
              <w:br w:type="textWrapping"/>
            </w:r>
            <w:r>
              <w:rPr>
                <w:rFonts w:hint="eastAsia" w:ascii="宋体" w:hAnsi="宋体" w:cs="宋体"/>
              </w:rPr>
              <w:t>（2）对于独立投资方案的比较决策，如果各方案原始投资额现值不同，可以通过计算各方案的内含收益率，反映各独立投资方案的获利水平。</w:t>
            </w:r>
          </w:p>
        </w:tc>
      </w:tr>
      <w:tr w14:paraId="1DB1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1" w:type="pct"/>
          </w:tcPr>
          <w:p w14:paraId="189D4FFE">
            <w:pPr>
              <w:jc w:val="left"/>
              <w:rPr>
                <w:rFonts w:ascii="宋体" w:hAnsi="宋体" w:cs="宋体"/>
              </w:rPr>
            </w:pPr>
            <w:r>
              <w:rPr>
                <w:rFonts w:hint="eastAsia" w:ascii="宋体" w:hAnsi="宋体" w:cs="宋体"/>
              </w:rPr>
              <w:t>缺点</w:t>
            </w:r>
          </w:p>
        </w:tc>
        <w:tc>
          <w:tcPr>
            <w:tcW w:w="4359" w:type="pct"/>
          </w:tcPr>
          <w:p w14:paraId="7DF58B34">
            <w:pPr>
              <w:jc w:val="left"/>
              <w:rPr>
                <w:rFonts w:ascii="宋体" w:hAnsi="宋体" w:cs="宋体"/>
              </w:rPr>
            </w:pPr>
            <w:r>
              <w:rPr>
                <w:rFonts w:hint="eastAsia" w:ascii="宋体" w:hAnsi="宋体" w:cs="宋体"/>
              </w:rPr>
              <w:t>（1）计算复杂，不易直接考虑投资风险大小。</w:t>
            </w:r>
            <w:r>
              <w:rPr>
                <w:rFonts w:hint="eastAsia" w:ascii="宋体" w:hAnsi="宋体" w:cs="宋体"/>
              </w:rPr>
              <w:br w:type="textWrapping"/>
            </w:r>
            <w:r>
              <w:rPr>
                <w:rFonts w:hint="eastAsia" w:ascii="宋体" w:hAnsi="宋体" w:cs="宋体"/>
              </w:rPr>
              <w:t>（2）在互斥投资方案决策时，如果各方案的原始投资额现值不相等，有时无法作出正确的决策</w:t>
            </w:r>
          </w:p>
        </w:tc>
      </w:tr>
    </w:tbl>
    <w:p w14:paraId="1E0D7DC9">
      <w:pPr>
        <w:jc w:val="left"/>
        <w:rPr>
          <w:rFonts w:ascii="宋体" w:hAnsi="宋体" w:cs="宋体"/>
        </w:rPr>
      </w:pPr>
    </w:p>
    <w:p w14:paraId="481F1BE5">
      <w:pPr>
        <w:jc w:val="left"/>
        <w:rPr>
          <w:rFonts w:ascii="宋体" w:hAnsi="宋体" w:cs="宋体"/>
        </w:rPr>
      </w:pPr>
      <w:r>
        <w:rPr>
          <w:rFonts w:hint="eastAsia" w:ascii="宋体" w:hAnsi="宋体" w:cs="宋体"/>
        </w:rPr>
        <w:t>【单选题】（2021年）某投资项目折现率为10%时，净现值100万元，折现率为14%时，净现值为－150万元，则该项目内含收益率为（  ）。</w:t>
      </w:r>
    </w:p>
    <w:p w14:paraId="15744A13">
      <w:pPr>
        <w:jc w:val="left"/>
        <w:rPr>
          <w:rFonts w:ascii="宋体" w:hAnsi="宋体" w:cs="宋体"/>
        </w:rPr>
      </w:pPr>
      <w:r>
        <w:rPr>
          <w:rFonts w:hint="eastAsia" w:ascii="宋体" w:hAnsi="宋体" w:cs="宋体"/>
        </w:rPr>
        <w:t xml:space="preserve">A.11.6%             B.12.4%                         </w:t>
      </w:r>
    </w:p>
    <w:p w14:paraId="1A04B0A2">
      <w:pPr>
        <w:jc w:val="left"/>
        <w:rPr>
          <w:rFonts w:ascii="宋体" w:hAnsi="宋体" w:cs="宋体"/>
        </w:rPr>
      </w:pPr>
      <w:r>
        <w:rPr>
          <w:rFonts w:hint="eastAsia" w:ascii="宋体" w:hAnsi="宋体" w:cs="宋体"/>
        </w:rPr>
        <w:t>C.12.67%            D.11.33%</w:t>
      </w:r>
    </w:p>
    <w:p w14:paraId="1D6BC1A4">
      <w:pPr>
        <w:jc w:val="left"/>
        <w:rPr>
          <w:rFonts w:ascii="宋体" w:hAnsi="宋体" w:cs="宋体"/>
        </w:rPr>
      </w:pPr>
      <w:r>
        <w:rPr>
          <w:rFonts w:hint="eastAsia" w:ascii="宋体" w:hAnsi="宋体" w:cs="宋体"/>
        </w:rPr>
        <w:t>答案：A</w:t>
      </w:r>
    </w:p>
    <w:p w14:paraId="2AFE5C54">
      <w:pPr>
        <w:jc w:val="left"/>
        <w:rPr>
          <w:rFonts w:ascii="宋体" w:hAnsi="宋体" w:cs="宋体"/>
        </w:rPr>
      </w:pPr>
      <w:r>
        <w:rPr>
          <w:rFonts w:hint="eastAsia" w:ascii="宋体" w:hAnsi="宋体" w:cs="宋体"/>
        </w:rPr>
        <w:t>解析：使用内插法，有：（内含收益率－10%）/（14%－10%）＝（0－100）/（－150－100），解得：内含收益率＝（0－100）/（－150－100）×（14%－10%）＋10%＝11.6%。或者：内含收益率＝（100×14%＋150×10%）/（100＋150）＝11.6%。</w:t>
      </w:r>
    </w:p>
    <w:p w14:paraId="787C410C">
      <w:pPr>
        <w:jc w:val="left"/>
        <w:rPr>
          <w:rFonts w:ascii="宋体" w:hAnsi="宋体" w:cs="宋体"/>
          <w:color w:val="FF0000"/>
        </w:rPr>
      </w:pPr>
    </w:p>
    <w:p w14:paraId="1B11E6FD">
      <w:pPr>
        <w:jc w:val="left"/>
        <w:rPr>
          <w:rFonts w:ascii="宋体" w:hAnsi="宋体" w:cs="宋体"/>
          <w:color w:val="FF0000"/>
        </w:rPr>
      </w:pPr>
      <w:r>
        <w:rPr>
          <w:rFonts w:hint="eastAsia" w:ascii="宋体" w:hAnsi="宋体" w:cs="宋体"/>
          <w:color w:val="FF0000"/>
        </w:rPr>
        <w:t>一、未来每年现金净流量相等时</w:t>
      </w:r>
    </w:p>
    <w:p w14:paraId="1AB9A6BA">
      <w:pPr>
        <w:jc w:val="left"/>
        <w:rPr>
          <w:rFonts w:ascii="宋体" w:hAnsi="宋体" w:cs="宋体"/>
          <w:color w:val="FF0000"/>
        </w:rPr>
      </w:pPr>
      <w:r>
        <w:rPr>
          <w:rFonts w:hint="eastAsia" w:ascii="宋体" w:hAnsi="宋体" w:cs="宋体"/>
          <w:color w:val="FF0000"/>
        </w:rPr>
        <w:t>未来每年现金净流量×年金现值系数－原始投资额现值＝0</w:t>
      </w:r>
    </w:p>
    <w:p w14:paraId="38740EDB">
      <w:pPr>
        <w:jc w:val="left"/>
        <w:rPr>
          <w:rFonts w:ascii="宋体" w:hAnsi="宋体" w:cs="宋体"/>
        </w:rPr>
      </w:pPr>
      <w:r>
        <w:rPr>
          <w:rFonts w:hint="eastAsia" w:ascii="宋体" w:hAnsi="宋体" w:cs="宋体"/>
        </w:rPr>
        <w:t>【例6-6】大安化工厂拟购入一台新型设备，购价为160万元，使用年限10年，无残值。该方案的最低投资收益率要求为12%（以此作为贴现率）。使用新设备后，估计每年产生现金净流量30万元。要求：用内含收益率指标评价该方案是否可行？</w:t>
      </w:r>
    </w:p>
    <w:p w14:paraId="46968A68">
      <w:pPr>
        <w:jc w:val="left"/>
        <w:rPr>
          <w:rFonts w:ascii="宋体" w:hAnsi="宋体" w:cs="宋体"/>
        </w:rPr>
      </w:pPr>
      <w:r>
        <w:rPr>
          <w:rFonts w:hint="eastAsia" w:ascii="宋体" w:hAnsi="宋体" w:cs="宋体"/>
          <w:color w:val="FF0000"/>
        </w:rPr>
        <w:t>答案：</w:t>
      </w:r>
      <w:r>
        <w:rPr>
          <w:rFonts w:hint="eastAsia" w:ascii="宋体" w:hAnsi="宋体" w:cs="宋体"/>
        </w:rPr>
        <w:t>令：300000×年金现值系数－1600000＝0</w:t>
      </w:r>
    </w:p>
    <w:p w14:paraId="4A0BE864">
      <w:pPr>
        <w:jc w:val="left"/>
        <w:rPr>
          <w:rFonts w:ascii="宋体" w:hAnsi="宋体" w:cs="宋体"/>
        </w:rPr>
      </w:pPr>
      <w:r>
        <w:rPr>
          <w:rFonts w:hint="eastAsia" w:ascii="宋体" w:hAnsi="宋体" w:cs="宋体"/>
        </w:rPr>
        <w:t>得：年金现值系数＝5.3333</w:t>
      </w:r>
    </w:p>
    <w:p w14:paraId="6F730A40">
      <w:pPr>
        <w:jc w:val="left"/>
        <w:rPr>
          <w:rFonts w:ascii="宋体" w:hAnsi="宋体" w:cs="宋体"/>
        </w:rPr>
      </w:pPr>
      <w:r>
        <w:rPr>
          <w:rFonts w:hint="eastAsia" w:ascii="宋体" w:hAnsi="宋体" w:cs="宋体"/>
        </w:rPr>
        <w:t>现已知方案的使用年限为10年，查年金现值系数表，可查得：时期10，系数5.3333所对应的贴现率在12%～14%之间。采用插值法求得，该方案的内含收益率为13.46%，高于最低投资收益率12%，方案可行。</w:t>
      </w:r>
    </w:p>
    <w:p w14:paraId="5834D214">
      <w:pPr>
        <w:jc w:val="left"/>
        <w:rPr>
          <w:rFonts w:ascii="宋体" w:hAnsi="宋体" w:cs="宋体"/>
          <w:color w:val="FF0000"/>
        </w:rPr>
      </w:pPr>
      <w:r>
        <w:rPr>
          <w:rFonts w:hint="eastAsia" w:ascii="宋体" w:hAnsi="宋体" w:cs="宋体"/>
          <w:color w:val="FF0000"/>
        </w:rPr>
        <w:t>二、未来每年现金净流量不相等时，（采用逐次测试法）</w:t>
      </w:r>
    </w:p>
    <w:p w14:paraId="65C62BEB">
      <w:pPr>
        <w:jc w:val="left"/>
        <w:rPr>
          <w:rFonts w:ascii="宋体" w:hAnsi="宋体" w:cs="宋体"/>
        </w:rPr>
      </w:pPr>
      <w:r>
        <w:rPr>
          <w:rFonts w:hint="eastAsia" w:ascii="宋体" w:hAnsi="宋体" w:cs="宋体"/>
          <w:color w:val="FF0000"/>
        </w:rPr>
        <w:t>【例6-7】</w:t>
      </w:r>
      <w:r>
        <w:rPr>
          <w:rFonts w:hint="eastAsia" w:ascii="宋体" w:hAnsi="宋体" w:cs="宋体"/>
        </w:rPr>
        <w:t>兴达公司有一投资方案，需一次性投资120000元，使用年限为4年，每年现金净流量分别为：30000元、40000元、50000元、35000元。</w:t>
      </w:r>
    </w:p>
    <w:p w14:paraId="2D10C506">
      <w:pPr>
        <w:jc w:val="left"/>
        <w:rPr>
          <w:rFonts w:ascii="宋体" w:hAnsi="宋体" w:cs="宋体"/>
        </w:rPr>
      </w:pPr>
      <w:r>
        <w:rPr>
          <w:rFonts w:hint="eastAsia" w:ascii="宋体" w:hAnsi="宋体" w:cs="宋体"/>
        </w:rPr>
        <w:t>要求：计算该投资方案的内含收益率，并据以评价方案是否可行。</w:t>
      </w:r>
    </w:p>
    <w:p w14:paraId="04B3CB15">
      <w:pPr>
        <w:jc w:val="left"/>
        <w:rPr>
          <w:rFonts w:ascii="宋体" w:hAnsi="宋体" w:cs="宋体"/>
        </w:rPr>
      </w:pPr>
      <w:r>
        <w:rPr>
          <w:rFonts w:hint="eastAsia" w:ascii="宋体" w:hAnsi="宋体" w:cs="宋体"/>
          <w:color w:val="FF0000"/>
        </w:rPr>
        <w:t>答案：</w:t>
      </w:r>
      <w:r>
        <w:rPr>
          <w:rFonts w:hint="eastAsia" w:ascii="宋体" w:hAnsi="宋体" w:cs="宋体"/>
        </w:rPr>
        <w:t>因为该方案每年的现金净流量不相同，需逐次测试计算方案的内含收益率。测算过程如表所示。</w:t>
      </w:r>
    </w:p>
    <w:p w14:paraId="60D788B7">
      <w:pPr>
        <w:jc w:val="center"/>
        <w:rPr>
          <w:rFonts w:hint="eastAsia" w:ascii="宋体" w:hAnsi="宋体" w:cs="宋体"/>
        </w:rPr>
      </w:pPr>
      <w:r>
        <w:rPr>
          <w:rFonts w:hint="eastAsia" w:ascii="宋体" w:hAnsi="宋体" w:cs="宋体"/>
        </w:rPr>
        <w:t>表6-5　　　　净现值的逐次测试　　　　　单位：元</w:t>
      </w:r>
    </w:p>
    <w:tbl>
      <w:tblPr>
        <w:tblStyle w:val="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811"/>
        <w:gridCol w:w="1267"/>
        <w:gridCol w:w="1269"/>
        <w:gridCol w:w="1265"/>
        <w:gridCol w:w="1267"/>
        <w:gridCol w:w="1267"/>
        <w:gridCol w:w="1269"/>
      </w:tblGrid>
      <w:tr w14:paraId="6059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53F0222F">
            <w:pPr>
              <w:jc w:val="left"/>
              <w:rPr>
                <w:rFonts w:ascii="宋体" w:hAnsi="宋体" w:cs="宋体"/>
              </w:rPr>
            </w:pPr>
            <w:r>
              <w:rPr>
                <w:rFonts w:hint="eastAsia" w:ascii="宋体" w:hAnsi="宋体" w:cs="宋体"/>
              </w:rPr>
              <w:t>年份</w:t>
            </w:r>
          </w:p>
        </w:tc>
        <w:tc>
          <w:tcPr>
            <w:tcW w:w="894" w:type="pct"/>
          </w:tcPr>
          <w:p w14:paraId="400B783F">
            <w:pPr>
              <w:jc w:val="left"/>
              <w:rPr>
                <w:rFonts w:ascii="宋体" w:hAnsi="宋体" w:cs="宋体"/>
              </w:rPr>
            </w:pPr>
            <w:r>
              <w:rPr>
                <w:rFonts w:hint="eastAsia" w:ascii="宋体" w:hAnsi="宋体" w:cs="宋体"/>
              </w:rPr>
              <w:t>每年现金流量</w:t>
            </w:r>
          </w:p>
        </w:tc>
        <w:tc>
          <w:tcPr>
            <w:tcW w:w="1251" w:type="pct"/>
            <w:gridSpan w:val="2"/>
          </w:tcPr>
          <w:p w14:paraId="4592B3F3">
            <w:pPr>
              <w:jc w:val="left"/>
              <w:rPr>
                <w:rFonts w:ascii="宋体" w:hAnsi="宋体" w:cs="宋体"/>
              </w:rPr>
            </w:pPr>
            <w:r>
              <w:rPr>
                <w:rFonts w:hint="eastAsia" w:ascii="宋体" w:hAnsi="宋体" w:cs="宋体"/>
              </w:rPr>
              <w:t>第一次测算8%</w:t>
            </w:r>
          </w:p>
        </w:tc>
        <w:tc>
          <w:tcPr>
            <w:tcW w:w="1249" w:type="pct"/>
            <w:gridSpan w:val="2"/>
          </w:tcPr>
          <w:p w14:paraId="25BD461A">
            <w:pPr>
              <w:jc w:val="left"/>
              <w:rPr>
                <w:rFonts w:ascii="宋体" w:hAnsi="宋体" w:cs="宋体"/>
              </w:rPr>
            </w:pPr>
            <w:r>
              <w:rPr>
                <w:rFonts w:hint="eastAsia" w:ascii="宋体" w:hAnsi="宋体" w:cs="宋体"/>
              </w:rPr>
              <w:t>第二次测算12%</w:t>
            </w:r>
          </w:p>
        </w:tc>
        <w:tc>
          <w:tcPr>
            <w:tcW w:w="1251" w:type="pct"/>
            <w:gridSpan w:val="2"/>
          </w:tcPr>
          <w:p w14:paraId="7AE1DDDC">
            <w:pPr>
              <w:jc w:val="left"/>
              <w:rPr>
                <w:rFonts w:ascii="宋体" w:hAnsi="宋体" w:cs="宋体"/>
              </w:rPr>
            </w:pPr>
            <w:r>
              <w:rPr>
                <w:rFonts w:hint="eastAsia" w:ascii="宋体" w:hAnsi="宋体" w:cs="宋体"/>
              </w:rPr>
              <w:t>第三次测算10%</w:t>
            </w:r>
          </w:p>
        </w:tc>
      </w:tr>
      <w:tr w14:paraId="1499B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794A55D9">
            <w:pPr>
              <w:jc w:val="left"/>
              <w:rPr>
                <w:rFonts w:ascii="宋体" w:hAnsi="宋体" w:cs="宋体"/>
              </w:rPr>
            </w:pPr>
            <w:r>
              <w:rPr>
                <w:rFonts w:hint="eastAsia" w:ascii="宋体" w:hAnsi="宋体" w:cs="宋体"/>
              </w:rPr>
              <w:t>1</w:t>
            </w:r>
            <w:r>
              <w:rPr>
                <w:rFonts w:hint="eastAsia" w:ascii="宋体" w:hAnsi="宋体" w:cs="宋体"/>
              </w:rPr>
              <w:br w:type="textWrapping"/>
            </w:r>
            <w:r>
              <w:rPr>
                <w:rFonts w:hint="eastAsia" w:ascii="宋体" w:hAnsi="宋体" w:cs="宋体"/>
              </w:rPr>
              <w:t>2</w:t>
            </w:r>
            <w:r>
              <w:rPr>
                <w:rFonts w:hint="eastAsia" w:ascii="宋体" w:hAnsi="宋体" w:cs="宋体"/>
              </w:rPr>
              <w:br w:type="textWrapping"/>
            </w:r>
            <w:r>
              <w:rPr>
                <w:rFonts w:hint="eastAsia" w:ascii="宋体" w:hAnsi="宋体" w:cs="宋体"/>
              </w:rPr>
              <w:t>3</w:t>
            </w:r>
            <w:r>
              <w:rPr>
                <w:rFonts w:hint="eastAsia" w:ascii="宋体" w:hAnsi="宋体" w:cs="宋体"/>
              </w:rPr>
              <w:br w:type="textWrapping"/>
            </w:r>
            <w:r>
              <w:rPr>
                <w:rFonts w:hint="eastAsia" w:ascii="宋体" w:hAnsi="宋体" w:cs="宋体"/>
              </w:rPr>
              <w:t>4</w:t>
            </w:r>
          </w:p>
        </w:tc>
        <w:tc>
          <w:tcPr>
            <w:tcW w:w="894" w:type="pct"/>
          </w:tcPr>
          <w:p w14:paraId="0EAA3F79">
            <w:pPr>
              <w:jc w:val="left"/>
              <w:rPr>
                <w:rFonts w:ascii="宋体" w:hAnsi="宋体" w:cs="宋体"/>
              </w:rPr>
            </w:pPr>
            <w:r>
              <w:rPr>
                <w:rFonts w:hint="eastAsia" w:ascii="宋体" w:hAnsi="宋体" w:cs="宋体"/>
              </w:rPr>
              <w:t>30000</w:t>
            </w:r>
            <w:r>
              <w:rPr>
                <w:rFonts w:hint="eastAsia" w:ascii="宋体" w:hAnsi="宋体" w:cs="宋体"/>
              </w:rPr>
              <w:br w:type="textWrapping"/>
            </w:r>
            <w:r>
              <w:rPr>
                <w:rFonts w:hint="eastAsia" w:ascii="宋体" w:hAnsi="宋体" w:cs="宋体"/>
              </w:rPr>
              <w:t>40000</w:t>
            </w:r>
            <w:r>
              <w:rPr>
                <w:rFonts w:hint="eastAsia" w:ascii="宋体" w:hAnsi="宋体" w:cs="宋体"/>
              </w:rPr>
              <w:br w:type="textWrapping"/>
            </w:r>
            <w:r>
              <w:rPr>
                <w:rFonts w:hint="eastAsia" w:ascii="宋体" w:hAnsi="宋体" w:cs="宋体"/>
              </w:rPr>
              <w:t>50000</w:t>
            </w:r>
            <w:r>
              <w:rPr>
                <w:rFonts w:hint="eastAsia" w:ascii="宋体" w:hAnsi="宋体" w:cs="宋体"/>
              </w:rPr>
              <w:br w:type="textWrapping"/>
            </w:r>
            <w:r>
              <w:rPr>
                <w:rFonts w:hint="eastAsia" w:ascii="宋体" w:hAnsi="宋体" w:cs="宋体"/>
              </w:rPr>
              <w:t>35000</w:t>
            </w:r>
          </w:p>
        </w:tc>
        <w:tc>
          <w:tcPr>
            <w:tcW w:w="625" w:type="pct"/>
          </w:tcPr>
          <w:p w14:paraId="5B235819">
            <w:pPr>
              <w:jc w:val="left"/>
              <w:rPr>
                <w:rFonts w:ascii="宋体" w:hAnsi="宋体" w:cs="宋体"/>
              </w:rPr>
            </w:pPr>
            <w:r>
              <w:rPr>
                <w:rFonts w:hint="eastAsia" w:ascii="宋体" w:hAnsi="宋体" w:cs="宋体"/>
              </w:rPr>
              <w:t>0.926</w:t>
            </w:r>
            <w:r>
              <w:rPr>
                <w:rFonts w:hint="eastAsia" w:ascii="宋体" w:hAnsi="宋体" w:cs="宋体"/>
              </w:rPr>
              <w:br w:type="textWrapping"/>
            </w:r>
            <w:r>
              <w:rPr>
                <w:rFonts w:hint="eastAsia" w:ascii="宋体" w:hAnsi="宋体" w:cs="宋体"/>
              </w:rPr>
              <w:t>0.857</w:t>
            </w:r>
            <w:r>
              <w:rPr>
                <w:rFonts w:hint="eastAsia" w:ascii="宋体" w:hAnsi="宋体" w:cs="宋体"/>
              </w:rPr>
              <w:br w:type="textWrapping"/>
            </w:r>
            <w:r>
              <w:rPr>
                <w:rFonts w:hint="eastAsia" w:ascii="宋体" w:hAnsi="宋体" w:cs="宋体"/>
              </w:rPr>
              <w:t>0.794</w:t>
            </w:r>
            <w:r>
              <w:rPr>
                <w:rFonts w:hint="eastAsia" w:ascii="宋体" w:hAnsi="宋体" w:cs="宋体"/>
              </w:rPr>
              <w:br w:type="textWrapping"/>
            </w:r>
            <w:r>
              <w:rPr>
                <w:rFonts w:hint="eastAsia" w:ascii="宋体" w:hAnsi="宋体" w:cs="宋体"/>
              </w:rPr>
              <w:t>0.735</w:t>
            </w:r>
          </w:p>
        </w:tc>
        <w:tc>
          <w:tcPr>
            <w:tcW w:w="625" w:type="pct"/>
          </w:tcPr>
          <w:p w14:paraId="753FE035">
            <w:pPr>
              <w:jc w:val="left"/>
              <w:rPr>
                <w:rFonts w:ascii="宋体" w:hAnsi="宋体" w:cs="宋体"/>
              </w:rPr>
            </w:pPr>
            <w:r>
              <w:rPr>
                <w:rFonts w:hint="eastAsia" w:ascii="宋体" w:hAnsi="宋体" w:cs="宋体"/>
              </w:rPr>
              <w:t>27780</w:t>
            </w:r>
            <w:r>
              <w:rPr>
                <w:rFonts w:hint="eastAsia" w:ascii="宋体" w:hAnsi="宋体" w:cs="宋体"/>
              </w:rPr>
              <w:br w:type="textWrapping"/>
            </w:r>
            <w:r>
              <w:rPr>
                <w:rFonts w:hint="eastAsia" w:ascii="宋体" w:hAnsi="宋体" w:cs="宋体"/>
              </w:rPr>
              <w:t>34280</w:t>
            </w:r>
            <w:r>
              <w:rPr>
                <w:rFonts w:hint="eastAsia" w:ascii="宋体" w:hAnsi="宋体" w:cs="宋体"/>
              </w:rPr>
              <w:br w:type="textWrapping"/>
            </w:r>
            <w:r>
              <w:rPr>
                <w:rFonts w:hint="eastAsia" w:ascii="宋体" w:hAnsi="宋体" w:cs="宋体"/>
              </w:rPr>
              <w:t>39700</w:t>
            </w:r>
            <w:r>
              <w:rPr>
                <w:rFonts w:hint="eastAsia" w:ascii="宋体" w:hAnsi="宋体" w:cs="宋体"/>
              </w:rPr>
              <w:br w:type="textWrapping"/>
            </w:r>
            <w:r>
              <w:rPr>
                <w:rFonts w:hint="eastAsia" w:ascii="宋体" w:hAnsi="宋体" w:cs="宋体"/>
              </w:rPr>
              <w:t>25725</w:t>
            </w:r>
          </w:p>
        </w:tc>
        <w:tc>
          <w:tcPr>
            <w:tcW w:w="624" w:type="pct"/>
          </w:tcPr>
          <w:p w14:paraId="0848AEED">
            <w:pPr>
              <w:jc w:val="left"/>
              <w:rPr>
                <w:rFonts w:ascii="宋体" w:hAnsi="宋体" w:cs="宋体"/>
              </w:rPr>
            </w:pPr>
            <w:r>
              <w:rPr>
                <w:rFonts w:hint="eastAsia" w:ascii="宋体" w:hAnsi="宋体" w:cs="宋体"/>
              </w:rPr>
              <w:t>0.893</w:t>
            </w:r>
            <w:r>
              <w:rPr>
                <w:rFonts w:hint="eastAsia" w:ascii="宋体" w:hAnsi="宋体" w:cs="宋体"/>
              </w:rPr>
              <w:br w:type="textWrapping"/>
            </w:r>
            <w:r>
              <w:rPr>
                <w:rFonts w:hint="eastAsia" w:ascii="宋体" w:hAnsi="宋体" w:cs="宋体"/>
              </w:rPr>
              <w:t>0.797</w:t>
            </w:r>
            <w:r>
              <w:rPr>
                <w:rFonts w:hint="eastAsia" w:ascii="宋体" w:hAnsi="宋体" w:cs="宋体"/>
              </w:rPr>
              <w:br w:type="textWrapping"/>
            </w:r>
            <w:r>
              <w:rPr>
                <w:rFonts w:hint="eastAsia" w:ascii="宋体" w:hAnsi="宋体" w:cs="宋体"/>
              </w:rPr>
              <w:t>0.712</w:t>
            </w:r>
            <w:r>
              <w:rPr>
                <w:rFonts w:hint="eastAsia" w:ascii="宋体" w:hAnsi="宋体" w:cs="宋体"/>
              </w:rPr>
              <w:br w:type="textWrapping"/>
            </w:r>
            <w:r>
              <w:rPr>
                <w:rFonts w:hint="eastAsia" w:ascii="宋体" w:hAnsi="宋体" w:cs="宋体"/>
              </w:rPr>
              <w:t>0.636</w:t>
            </w:r>
          </w:p>
        </w:tc>
        <w:tc>
          <w:tcPr>
            <w:tcW w:w="625" w:type="pct"/>
          </w:tcPr>
          <w:p w14:paraId="16E7FF5A">
            <w:pPr>
              <w:jc w:val="left"/>
              <w:rPr>
                <w:rFonts w:ascii="宋体" w:hAnsi="宋体" w:cs="宋体"/>
              </w:rPr>
            </w:pPr>
            <w:r>
              <w:rPr>
                <w:rFonts w:hint="eastAsia" w:ascii="宋体" w:hAnsi="宋体" w:cs="宋体"/>
              </w:rPr>
              <w:t>26790</w:t>
            </w:r>
            <w:r>
              <w:rPr>
                <w:rFonts w:hint="eastAsia" w:ascii="宋体" w:hAnsi="宋体" w:cs="宋体"/>
              </w:rPr>
              <w:br w:type="textWrapping"/>
            </w:r>
            <w:r>
              <w:rPr>
                <w:rFonts w:hint="eastAsia" w:ascii="宋体" w:hAnsi="宋体" w:cs="宋体"/>
              </w:rPr>
              <w:t>31880</w:t>
            </w:r>
            <w:r>
              <w:rPr>
                <w:rFonts w:hint="eastAsia" w:ascii="宋体" w:hAnsi="宋体" w:cs="宋体"/>
              </w:rPr>
              <w:br w:type="textWrapping"/>
            </w:r>
            <w:r>
              <w:rPr>
                <w:rFonts w:hint="eastAsia" w:ascii="宋体" w:hAnsi="宋体" w:cs="宋体"/>
              </w:rPr>
              <w:t>35600</w:t>
            </w:r>
            <w:r>
              <w:rPr>
                <w:rFonts w:hint="eastAsia" w:ascii="宋体" w:hAnsi="宋体" w:cs="宋体"/>
              </w:rPr>
              <w:br w:type="textWrapping"/>
            </w:r>
            <w:r>
              <w:rPr>
                <w:rFonts w:hint="eastAsia" w:ascii="宋体" w:hAnsi="宋体" w:cs="宋体"/>
              </w:rPr>
              <w:t>22260</w:t>
            </w:r>
          </w:p>
        </w:tc>
        <w:tc>
          <w:tcPr>
            <w:tcW w:w="625" w:type="pct"/>
          </w:tcPr>
          <w:p w14:paraId="0F74AAB7">
            <w:pPr>
              <w:jc w:val="left"/>
              <w:rPr>
                <w:rFonts w:ascii="宋体" w:hAnsi="宋体" w:cs="宋体"/>
              </w:rPr>
            </w:pPr>
            <w:r>
              <w:rPr>
                <w:rFonts w:hint="eastAsia" w:ascii="宋体" w:hAnsi="宋体" w:cs="宋体"/>
              </w:rPr>
              <w:t>0.909</w:t>
            </w:r>
            <w:r>
              <w:rPr>
                <w:rFonts w:hint="eastAsia" w:ascii="宋体" w:hAnsi="宋体" w:cs="宋体"/>
              </w:rPr>
              <w:br w:type="textWrapping"/>
            </w:r>
            <w:r>
              <w:rPr>
                <w:rFonts w:hint="eastAsia" w:ascii="宋体" w:hAnsi="宋体" w:cs="宋体"/>
              </w:rPr>
              <w:t>0.826</w:t>
            </w:r>
            <w:r>
              <w:rPr>
                <w:rFonts w:hint="eastAsia" w:ascii="宋体" w:hAnsi="宋体" w:cs="宋体"/>
              </w:rPr>
              <w:br w:type="textWrapping"/>
            </w:r>
            <w:r>
              <w:rPr>
                <w:rFonts w:hint="eastAsia" w:ascii="宋体" w:hAnsi="宋体" w:cs="宋体"/>
              </w:rPr>
              <w:t>0.751</w:t>
            </w:r>
            <w:r>
              <w:rPr>
                <w:rFonts w:hint="eastAsia" w:ascii="宋体" w:hAnsi="宋体" w:cs="宋体"/>
              </w:rPr>
              <w:br w:type="textWrapping"/>
            </w:r>
            <w:r>
              <w:rPr>
                <w:rFonts w:hint="eastAsia" w:ascii="宋体" w:hAnsi="宋体" w:cs="宋体"/>
              </w:rPr>
              <w:t>0.683</w:t>
            </w:r>
          </w:p>
        </w:tc>
        <w:tc>
          <w:tcPr>
            <w:tcW w:w="626" w:type="pct"/>
          </w:tcPr>
          <w:p w14:paraId="3B9FE10A">
            <w:pPr>
              <w:jc w:val="left"/>
              <w:rPr>
                <w:rFonts w:ascii="宋体" w:hAnsi="宋体" w:cs="宋体"/>
              </w:rPr>
            </w:pPr>
            <w:r>
              <w:rPr>
                <w:rFonts w:hint="eastAsia" w:ascii="宋体" w:hAnsi="宋体" w:cs="宋体"/>
              </w:rPr>
              <w:t>27270</w:t>
            </w:r>
            <w:r>
              <w:rPr>
                <w:rFonts w:hint="eastAsia" w:ascii="宋体" w:hAnsi="宋体" w:cs="宋体"/>
              </w:rPr>
              <w:br w:type="textWrapping"/>
            </w:r>
            <w:r>
              <w:rPr>
                <w:rFonts w:hint="eastAsia" w:ascii="宋体" w:hAnsi="宋体" w:cs="宋体"/>
              </w:rPr>
              <w:t>33040</w:t>
            </w:r>
            <w:r>
              <w:rPr>
                <w:rFonts w:hint="eastAsia" w:ascii="宋体" w:hAnsi="宋体" w:cs="宋体"/>
              </w:rPr>
              <w:br w:type="textWrapping"/>
            </w:r>
            <w:r>
              <w:rPr>
                <w:rFonts w:hint="eastAsia" w:ascii="宋体" w:hAnsi="宋体" w:cs="宋体"/>
              </w:rPr>
              <w:t>37550</w:t>
            </w:r>
            <w:r>
              <w:rPr>
                <w:rFonts w:hint="eastAsia" w:ascii="宋体" w:hAnsi="宋体" w:cs="宋体"/>
              </w:rPr>
              <w:br w:type="textWrapping"/>
            </w:r>
            <w:r>
              <w:rPr>
                <w:rFonts w:hint="eastAsia" w:ascii="宋体" w:hAnsi="宋体" w:cs="宋体"/>
              </w:rPr>
              <w:t>23905</w:t>
            </w:r>
          </w:p>
        </w:tc>
      </w:tr>
      <w:tr w14:paraId="7154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pct"/>
            <w:gridSpan w:val="3"/>
          </w:tcPr>
          <w:p w14:paraId="56436718">
            <w:pPr>
              <w:jc w:val="left"/>
              <w:rPr>
                <w:rFonts w:ascii="宋体" w:hAnsi="宋体" w:cs="宋体"/>
              </w:rPr>
            </w:pPr>
            <w:r>
              <w:rPr>
                <w:rFonts w:hint="eastAsia" w:ascii="宋体" w:hAnsi="宋体" w:cs="宋体"/>
              </w:rPr>
              <w:t>未来现金净流量现值合计</w:t>
            </w:r>
          </w:p>
        </w:tc>
        <w:tc>
          <w:tcPr>
            <w:tcW w:w="625" w:type="pct"/>
          </w:tcPr>
          <w:p w14:paraId="0197CFFA">
            <w:pPr>
              <w:jc w:val="left"/>
              <w:rPr>
                <w:rFonts w:ascii="宋体" w:hAnsi="宋体" w:cs="宋体"/>
              </w:rPr>
            </w:pPr>
            <w:r>
              <w:rPr>
                <w:rFonts w:hint="eastAsia" w:ascii="宋体" w:hAnsi="宋体" w:cs="宋体"/>
              </w:rPr>
              <w:t>127485</w:t>
            </w:r>
          </w:p>
        </w:tc>
        <w:tc>
          <w:tcPr>
            <w:tcW w:w="624" w:type="pct"/>
          </w:tcPr>
          <w:p w14:paraId="5A2E5CC3">
            <w:pPr>
              <w:jc w:val="left"/>
              <w:rPr>
                <w:rFonts w:ascii="宋体" w:hAnsi="宋体" w:cs="宋体"/>
              </w:rPr>
            </w:pPr>
            <w:r>
              <w:rPr>
                <w:rFonts w:hint="eastAsia" w:ascii="宋体" w:hAnsi="宋体" w:cs="宋体"/>
              </w:rPr>
              <w:t>　</w:t>
            </w:r>
          </w:p>
        </w:tc>
        <w:tc>
          <w:tcPr>
            <w:tcW w:w="625" w:type="pct"/>
          </w:tcPr>
          <w:p w14:paraId="10DFDB5A">
            <w:pPr>
              <w:jc w:val="left"/>
              <w:rPr>
                <w:rFonts w:ascii="宋体" w:hAnsi="宋体" w:cs="宋体"/>
              </w:rPr>
            </w:pPr>
            <w:r>
              <w:rPr>
                <w:rFonts w:hint="eastAsia" w:ascii="宋体" w:hAnsi="宋体" w:cs="宋体"/>
              </w:rPr>
              <w:t>116530</w:t>
            </w:r>
          </w:p>
        </w:tc>
        <w:tc>
          <w:tcPr>
            <w:tcW w:w="625" w:type="pct"/>
          </w:tcPr>
          <w:p w14:paraId="1E93E4B2">
            <w:pPr>
              <w:jc w:val="left"/>
              <w:rPr>
                <w:rFonts w:ascii="宋体" w:hAnsi="宋体" w:cs="宋体"/>
              </w:rPr>
            </w:pPr>
            <w:r>
              <w:rPr>
                <w:rFonts w:hint="eastAsia" w:ascii="宋体" w:hAnsi="宋体" w:cs="宋体"/>
              </w:rPr>
              <w:t>　</w:t>
            </w:r>
          </w:p>
        </w:tc>
        <w:tc>
          <w:tcPr>
            <w:tcW w:w="626" w:type="pct"/>
          </w:tcPr>
          <w:p w14:paraId="38859441">
            <w:pPr>
              <w:jc w:val="left"/>
              <w:rPr>
                <w:rFonts w:ascii="宋体" w:hAnsi="宋体" w:cs="宋体"/>
              </w:rPr>
            </w:pPr>
            <w:r>
              <w:rPr>
                <w:rFonts w:hint="eastAsia" w:ascii="宋体" w:hAnsi="宋体" w:cs="宋体"/>
              </w:rPr>
              <w:t>121765</w:t>
            </w:r>
          </w:p>
        </w:tc>
      </w:tr>
      <w:tr w14:paraId="4C56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pct"/>
            <w:gridSpan w:val="3"/>
          </w:tcPr>
          <w:p w14:paraId="2A6D5BAE">
            <w:pPr>
              <w:jc w:val="left"/>
              <w:rPr>
                <w:rFonts w:ascii="宋体" w:hAnsi="宋体" w:cs="宋体"/>
              </w:rPr>
            </w:pPr>
            <w:r>
              <w:rPr>
                <w:rFonts w:hint="eastAsia" w:ascii="宋体" w:hAnsi="宋体" w:cs="宋体"/>
              </w:rPr>
              <w:t>减：投资额现值</w:t>
            </w:r>
          </w:p>
        </w:tc>
        <w:tc>
          <w:tcPr>
            <w:tcW w:w="625" w:type="pct"/>
          </w:tcPr>
          <w:p w14:paraId="61A8E8E0">
            <w:pPr>
              <w:jc w:val="left"/>
              <w:rPr>
                <w:rFonts w:ascii="宋体" w:hAnsi="宋体" w:cs="宋体"/>
              </w:rPr>
            </w:pPr>
            <w:r>
              <w:rPr>
                <w:rFonts w:hint="eastAsia" w:ascii="宋体" w:hAnsi="宋体" w:cs="宋体"/>
              </w:rPr>
              <w:t>120000</w:t>
            </w:r>
          </w:p>
        </w:tc>
        <w:tc>
          <w:tcPr>
            <w:tcW w:w="624" w:type="pct"/>
          </w:tcPr>
          <w:p w14:paraId="1A587FF5">
            <w:pPr>
              <w:jc w:val="left"/>
              <w:rPr>
                <w:rFonts w:ascii="宋体" w:hAnsi="宋体" w:cs="宋体"/>
              </w:rPr>
            </w:pPr>
            <w:r>
              <w:rPr>
                <w:rFonts w:hint="eastAsia" w:ascii="宋体" w:hAnsi="宋体" w:cs="宋体"/>
              </w:rPr>
              <w:t>　</w:t>
            </w:r>
          </w:p>
        </w:tc>
        <w:tc>
          <w:tcPr>
            <w:tcW w:w="625" w:type="pct"/>
          </w:tcPr>
          <w:p w14:paraId="19910551">
            <w:pPr>
              <w:jc w:val="left"/>
              <w:rPr>
                <w:rFonts w:ascii="宋体" w:hAnsi="宋体" w:cs="宋体"/>
              </w:rPr>
            </w:pPr>
            <w:r>
              <w:rPr>
                <w:rFonts w:hint="eastAsia" w:ascii="宋体" w:hAnsi="宋体" w:cs="宋体"/>
              </w:rPr>
              <w:t>120000</w:t>
            </w:r>
          </w:p>
        </w:tc>
        <w:tc>
          <w:tcPr>
            <w:tcW w:w="625" w:type="pct"/>
          </w:tcPr>
          <w:p w14:paraId="4E0D2EA1">
            <w:pPr>
              <w:jc w:val="left"/>
              <w:rPr>
                <w:rFonts w:ascii="宋体" w:hAnsi="宋体" w:cs="宋体"/>
              </w:rPr>
            </w:pPr>
            <w:r>
              <w:rPr>
                <w:rFonts w:hint="eastAsia" w:ascii="宋体" w:hAnsi="宋体" w:cs="宋体"/>
              </w:rPr>
              <w:t>　</w:t>
            </w:r>
          </w:p>
        </w:tc>
        <w:tc>
          <w:tcPr>
            <w:tcW w:w="626" w:type="pct"/>
          </w:tcPr>
          <w:p w14:paraId="5E33C749">
            <w:pPr>
              <w:jc w:val="left"/>
              <w:rPr>
                <w:rFonts w:ascii="宋体" w:hAnsi="宋体" w:cs="宋体"/>
              </w:rPr>
            </w:pPr>
            <w:r>
              <w:rPr>
                <w:rFonts w:hint="eastAsia" w:ascii="宋体" w:hAnsi="宋体" w:cs="宋体"/>
              </w:rPr>
              <w:t>120000</w:t>
            </w:r>
          </w:p>
        </w:tc>
      </w:tr>
      <w:tr w14:paraId="0062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4" w:type="pct"/>
            <w:gridSpan w:val="3"/>
          </w:tcPr>
          <w:p w14:paraId="4C06498A">
            <w:pPr>
              <w:jc w:val="left"/>
              <w:rPr>
                <w:rFonts w:ascii="宋体" w:hAnsi="宋体" w:cs="宋体"/>
              </w:rPr>
            </w:pPr>
            <w:r>
              <w:rPr>
                <w:rFonts w:hint="eastAsia" w:ascii="宋体" w:hAnsi="宋体" w:cs="宋体"/>
              </w:rPr>
              <w:t>净现值</w:t>
            </w:r>
          </w:p>
        </w:tc>
        <w:tc>
          <w:tcPr>
            <w:tcW w:w="625" w:type="pct"/>
          </w:tcPr>
          <w:p w14:paraId="0B3E9038">
            <w:pPr>
              <w:jc w:val="left"/>
              <w:rPr>
                <w:rFonts w:ascii="宋体" w:hAnsi="宋体" w:cs="宋体"/>
              </w:rPr>
            </w:pPr>
            <w:r>
              <w:rPr>
                <w:rFonts w:hint="eastAsia" w:ascii="宋体" w:hAnsi="宋体" w:cs="宋体"/>
              </w:rPr>
              <w:t>7485</w:t>
            </w:r>
          </w:p>
        </w:tc>
        <w:tc>
          <w:tcPr>
            <w:tcW w:w="624" w:type="pct"/>
          </w:tcPr>
          <w:p w14:paraId="5634645E">
            <w:pPr>
              <w:jc w:val="left"/>
              <w:rPr>
                <w:rFonts w:ascii="宋体" w:hAnsi="宋体" w:cs="宋体"/>
              </w:rPr>
            </w:pPr>
            <w:r>
              <w:rPr>
                <w:rFonts w:hint="eastAsia" w:ascii="宋体" w:hAnsi="宋体" w:cs="宋体"/>
              </w:rPr>
              <w:t>　</w:t>
            </w:r>
          </w:p>
        </w:tc>
        <w:tc>
          <w:tcPr>
            <w:tcW w:w="625" w:type="pct"/>
          </w:tcPr>
          <w:p w14:paraId="1AD51B19">
            <w:pPr>
              <w:jc w:val="left"/>
              <w:rPr>
                <w:rFonts w:ascii="宋体" w:hAnsi="宋体" w:cs="宋体"/>
              </w:rPr>
            </w:pPr>
            <w:r>
              <w:rPr>
                <w:rFonts w:hint="eastAsia" w:ascii="宋体" w:hAnsi="宋体" w:cs="宋体"/>
              </w:rPr>
              <w:t>（3470）</w:t>
            </w:r>
          </w:p>
        </w:tc>
        <w:tc>
          <w:tcPr>
            <w:tcW w:w="625" w:type="pct"/>
          </w:tcPr>
          <w:p w14:paraId="35968D31">
            <w:pPr>
              <w:jc w:val="left"/>
              <w:rPr>
                <w:rFonts w:ascii="宋体" w:hAnsi="宋体" w:cs="宋体"/>
              </w:rPr>
            </w:pPr>
            <w:r>
              <w:rPr>
                <w:rFonts w:hint="eastAsia" w:ascii="宋体" w:hAnsi="宋体" w:cs="宋体"/>
              </w:rPr>
              <w:t>　</w:t>
            </w:r>
          </w:p>
        </w:tc>
        <w:tc>
          <w:tcPr>
            <w:tcW w:w="626" w:type="pct"/>
          </w:tcPr>
          <w:p w14:paraId="04319DB2">
            <w:pPr>
              <w:jc w:val="left"/>
              <w:rPr>
                <w:rFonts w:ascii="宋体" w:hAnsi="宋体" w:cs="宋体"/>
              </w:rPr>
            </w:pPr>
            <w:r>
              <w:rPr>
                <w:rFonts w:hint="eastAsia" w:ascii="宋体" w:hAnsi="宋体" w:cs="宋体"/>
              </w:rPr>
              <w:t>1765</w:t>
            </w:r>
          </w:p>
        </w:tc>
      </w:tr>
    </w:tbl>
    <w:p w14:paraId="6C75B145">
      <w:pPr>
        <w:jc w:val="left"/>
        <w:rPr>
          <w:rFonts w:ascii="宋体" w:hAnsi="宋体" w:cs="宋体"/>
        </w:rPr>
      </w:pPr>
      <w:r>
        <w:rPr>
          <w:rFonts w:hint="eastAsia" w:ascii="宋体" w:hAnsi="宋体" w:cs="宋体"/>
        </w:rPr>
        <w:t>第一次测算，采用折现率8%，净现值为正数，说明方案的内含收益率高于8%。第二次测算，采用折现率12%，净现值为负数，说明方案的内含收益率低于12%。第三次测算，采用折现率10%，净现值仍为正数，但已较接近于零。因而可以估算，方案的内含收益率在10%～12%之间。进一步运用插值法，得方案的内含收益率为10.67%。</w:t>
      </w:r>
    </w:p>
    <w:p w14:paraId="1AAB29E2">
      <w:pPr>
        <w:jc w:val="left"/>
        <w:rPr>
          <w:rFonts w:ascii="宋体" w:hAnsi="宋体" w:cs="宋体"/>
        </w:rPr>
      </w:pPr>
    </w:p>
    <w:p w14:paraId="52AFC219">
      <w:pPr>
        <w:jc w:val="left"/>
        <w:rPr>
          <w:rFonts w:ascii="宋体" w:hAnsi="宋体" w:cs="宋体"/>
        </w:rPr>
      </w:pPr>
      <w:r>
        <w:rPr>
          <w:rFonts w:hint="eastAsia" w:ascii="宋体" w:hAnsi="宋体" w:cs="宋体"/>
        </w:rPr>
        <w:t>【单选题】（2020年）关于项目决策的内含收益率法，下列表述正确的是（  ）。</w:t>
      </w:r>
    </w:p>
    <w:p w14:paraId="150B6FE5">
      <w:pPr>
        <w:jc w:val="left"/>
        <w:rPr>
          <w:rFonts w:ascii="宋体" w:hAnsi="宋体" w:cs="宋体"/>
        </w:rPr>
      </w:pPr>
      <w:r>
        <w:rPr>
          <w:rFonts w:hint="eastAsia" w:ascii="宋体" w:hAnsi="宋体" w:cs="宋体"/>
        </w:rPr>
        <w:t>A.项目的内含收益率大于0，则项目可行</w:t>
      </w:r>
    </w:p>
    <w:p w14:paraId="1B7C028E">
      <w:pPr>
        <w:jc w:val="left"/>
        <w:rPr>
          <w:rFonts w:ascii="宋体" w:hAnsi="宋体" w:cs="宋体"/>
        </w:rPr>
      </w:pPr>
      <w:r>
        <w:rPr>
          <w:rFonts w:hint="eastAsia" w:ascii="宋体" w:hAnsi="宋体" w:cs="宋体"/>
        </w:rPr>
        <w:t>B.内含收益率不能反映投资项目可能达到的收益率</w:t>
      </w:r>
    </w:p>
    <w:p w14:paraId="2D6D88DE">
      <w:pPr>
        <w:jc w:val="left"/>
        <w:rPr>
          <w:rFonts w:ascii="宋体" w:hAnsi="宋体" w:cs="宋体"/>
        </w:rPr>
      </w:pPr>
      <w:r>
        <w:rPr>
          <w:rFonts w:hint="eastAsia" w:ascii="宋体" w:hAnsi="宋体" w:cs="宋体"/>
        </w:rPr>
        <w:t>C.内含收益率指标没有考虑资金时间价值因素</w:t>
      </w:r>
    </w:p>
    <w:p w14:paraId="4011542E">
      <w:pPr>
        <w:jc w:val="left"/>
        <w:rPr>
          <w:rFonts w:ascii="宋体" w:hAnsi="宋体" w:cs="宋体"/>
        </w:rPr>
      </w:pPr>
      <w:r>
        <w:rPr>
          <w:rFonts w:hint="eastAsia" w:ascii="宋体" w:hAnsi="宋体" w:cs="宋体"/>
        </w:rPr>
        <w:t>D.内含收益率指标有时无法对互斥方案做出正确决策</w:t>
      </w:r>
    </w:p>
    <w:p w14:paraId="3B9A79CA">
      <w:pPr>
        <w:jc w:val="left"/>
        <w:rPr>
          <w:rFonts w:ascii="宋体" w:hAnsi="宋体" w:cs="宋体"/>
        </w:rPr>
      </w:pPr>
      <w:r>
        <w:rPr>
          <w:rFonts w:hint="eastAsia" w:ascii="宋体" w:hAnsi="宋体" w:cs="宋体"/>
        </w:rPr>
        <w:t>答案：D</w:t>
      </w:r>
    </w:p>
    <w:p w14:paraId="4AD2C738">
      <w:pPr>
        <w:jc w:val="left"/>
        <w:rPr>
          <w:rFonts w:ascii="宋体" w:hAnsi="宋体" w:cs="宋体"/>
        </w:rPr>
      </w:pPr>
      <w:r>
        <w:rPr>
          <w:rFonts w:hint="eastAsia" w:ascii="宋体" w:hAnsi="宋体" w:cs="宋体"/>
        </w:rPr>
        <w:t>解析：项目的内含收益率大于或等于必要投资收益率，则项目可行，所以，选项A的说法不正确。内含收益率就是投资项目可能达到的收益率，所以，选项B的说法不正确。内含收益率是使净现值等于零的贴现率，所以，内含收益率指标考虑了资金时间价值因素，即选项C的说法不正确。在互斥投资方案决策时，某一方案原始投资额低，净现值小，但内含收益率可能较高；而另一方案原始投资额高，净现值大，但内含收益率可能较低，所以，选项D的说法正确。</w:t>
      </w:r>
    </w:p>
    <w:p w14:paraId="5C044D1F">
      <w:pPr>
        <w:jc w:val="left"/>
        <w:rPr>
          <w:rFonts w:ascii="宋体" w:hAnsi="宋体" w:cs="宋体"/>
        </w:rPr>
      </w:pPr>
    </w:p>
    <w:p w14:paraId="673DC24D">
      <w:pPr>
        <w:jc w:val="left"/>
        <w:rPr>
          <w:rFonts w:ascii="宋体" w:hAnsi="宋体" w:cs="宋体"/>
          <w:color w:val="FF0000"/>
        </w:rPr>
      </w:pPr>
      <w:r>
        <w:rPr>
          <w:rFonts w:hint="eastAsia" w:ascii="宋体" w:hAnsi="宋体" w:cs="宋体"/>
          <w:color w:val="FF0000"/>
        </w:rPr>
        <w:t>总结：</w:t>
      </w:r>
    </w:p>
    <w:p w14:paraId="2E33CDBF">
      <w:pPr>
        <w:jc w:val="left"/>
        <w:rPr>
          <w:rFonts w:ascii="宋体" w:hAnsi="宋体" w:cs="宋体"/>
        </w:rPr>
      </w:pPr>
      <w:r>
        <w:rPr>
          <w:rFonts w:hint="eastAsia" w:ascii="宋体" w:hAnsi="宋体" w:cs="宋体"/>
        </w:rPr>
        <w:t>净现值&gt;0时，现值指数&gt;1，内含收益率&gt;项目资本成本</w:t>
      </w:r>
    </w:p>
    <w:p w14:paraId="174381F8">
      <w:pPr>
        <w:jc w:val="left"/>
        <w:rPr>
          <w:rFonts w:ascii="宋体" w:hAnsi="宋体" w:cs="宋体"/>
        </w:rPr>
      </w:pPr>
      <w:r>
        <w:rPr>
          <w:rFonts w:hint="eastAsia" w:ascii="宋体" w:hAnsi="宋体" w:cs="宋体"/>
        </w:rPr>
        <w:t>净现值&lt;0时，现值指数&lt;1，内含收益率&lt;项目资本成本</w:t>
      </w:r>
    </w:p>
    <w:p w14:paraId="740B06C6">
      <w:pPr>
        <w:jc w:val="left"/>
        <w:rPr>
          <w:rFonts w:ascii="宋体" w:hAnsi="宋体" w:cs="宋体"/>
        </w:rPr>
      </w:pPr>
      <w:r>
        <w:rPr>
          <w:rFonts w:hint="eastAsia" w:ascii="宋体" w:hAnsi="宋体" w:cs="宋体"/>
        </w:rPr>
        <w:t>净现值=0时，现值指数=1，内含收益率=项目资本成本</w:t>
      </w:r>
    </w:p>
    <w:p w14:paraId="506F49DA">
      <w:pPr>
        <w:jc w:val="left"/>
        <w:rPr>
          <w:rFonts w:ascii="宋体" w:hAnsi="宋体" w:cs="宋体"/>
        </w:rPr>
      </w:pPr>
    </w:p>
    <w:p w14:paraId="263A2E42">
      <w:pPr>
        <w:jc w:val="left"/>
        <w:rPr>
          <w:rFonts w:ascii="宋体" w:hAnsi="宋体" w:cs="宋体"/>
        </w:rPr>
      </w:pPr>
      <w:r>
        <w:rPr>
          <w:rFonts w:hint="eastAsia" w:ascii="宋体" w:hAnsi="宋体" w:cs="宋体"/>
        </w:rPr>
        <w:t>【单选题】（2023年）在对单一投资方案进行财务评价时，能判断投资方案具有财务可行性的是（  ）。</w:t>
      </w:r>
    </w:p>
    <w:p w14:paraId="22626BA6">
      <w:pPr>
        <w:jc w:val="left"/>
        <w:rPr>
          <w:rFonts w:ascii="宋体" w:hAnsi="宋体" w:cs="宋体"/>
        </w:rPr>
      </w:pPr>
      <w:r>
        <w:rPr>
          <w:rFonts w:hint="eastAsia" w:ascii="宋体" w:hAnsi="宋体" w:cs="宋体"/>
        </w:rPr>
        <w:t>A.现值指数大于 0</w:t>
      </w:r>
    </w:p>
    <w:p w14:paraId="17D8D8EB">
      <w:pPr>
        <w:jc w:val="left"/>
        <w:rPr>
          <w:rFonts w:ascii="宋体" w:hAnsi="宋体" w:cs="宋体"/>
        </w:rPr>
      </w:pPr>
      <w:r>
        <w:rPr>
          <w:rFonts w:hint="eastAsia" w:ascii="宋体" w:hAnsi="宋体" w:cs="宋体"/>
        </w:rPr>
        <w:t>B.净现值小于 0</w:t>
      </w:r>
    </w:p>
    <w:p w14:paraId="0F941602">
      <w:pPr>
        <w:jc w:val="left"/>
        <w:rPr>
          <w:rFonts w:ascii="宋体" w:hAnsi="宋体" w:cs="宋体"/>
        </w:rPr>
      </w:pPr>
      <w:r>
        <w:rPr>
          <w:rFonts w:hint="eastAsia" w:ascii="宋体" w:hAnsi="宋体" w:cs="宋体"/>
        </w:rPr>
        <w:t>C.年金净流量大于 0</w:t>
      </w:r>
    </w:p>
    <w:p w14:paraId="5359040D">
      <w:pPr>
        <w:jc w:val="left"/>
        <w:rPr>
          <w:rFonts w:ascii="宋体" w:hAnsi="宋体" w:cs="宋体"/>
        </w:rPr>
      </w:pPr>
      <w:r>
        <w:rPr>
          <w:rFonts w:hint="eastAsia" w:ascii="宋体" w:hAnsi="宋体" w:cs="宋体"/>
        </w:rPr>
        <w:t>D.内含收益率大于 0</w:t>
      </w:r>
    </w:p>
    <w:p w14:paraId="043822F8">
      <w:pPr>
        <w:jc w:val="left"/>
        <w:rPr>
          <w:rFonts w:ascii="宋体" w:hAnsi="宋体" w:cs="宋体"/>
        </w:rPr>
      </w:pPr>
      <w:r>
        <w:rPr>
          <w:rFonts w:hint="eastAsia" w:ascii="宋体" w:hAnsi="宋体" w:cs="宋体"/>
        </w:rPr>
        <w:t>答案：C</w:t>
      </w:r>
    </w:p>
    <w:p w14:paraId="10077EFE">
      <w:pPr>
        <w:jc w:val="left"/>
        <w:rPr>
          <w:rFonts w:ascii="宋体" w:hAnsi="宋体" w:cs="宋体"/>
        </w:rPr>
      </w:pPr>
      <w:r>
        <w:rPr>
          <w:rFonts w:hint="eastAsia" w:ascii="宋体" w:hAnsi="宋体" w:cs="宋体"/>
        </w:rPr>
        <w:t>解析：当净现值大于0，现值指数大于1，年金净流量大于0，内含收益率大于资本成本时，投资方案具有财务可行性。</w:t>
      </w:r>
    </w:p>
    <w:p w14:paraId="5F10EDE5">
      <w:pPr>
        <w:jc w:val="left"/>
        <w:rPr>
          <w:rFonts w:ascii="宋体" w:hAnsi="宋体" w:cs="宋体"/>
        </w:rPr>
      </w:pPr>
    </w:p>
    <w:p w14:paraId="479A7E1D">
      <w:pPr>
        <w:jc w:val="left"/>
        <w:rPr>
          <w:rFonts w:ascii="宋体" w:hAnsi="宋体" w:cs="宋体"/>
        </w:rPr>
      </w:pPr>
      <w:r>
        <w:rPr>
          <w:rFonts w:hint="eastAsia" w:ascii="宋体" w:hAnsi="宋体" w:cs="宋体"/>
        </w:rPr>
        <w:t>【多选题】（2023年）某投资项目的寿命期为 10 年，原始投资额于项目期初一次性投入，随后每年现金净流量均为正数，若折现率为 8%，动态回收期为7年，下列表述正确的有（  ）。</w:t>
      </w:r>
    </w:p>
    <w:p w14:paraId="58E9EFAD">
      <w:pPr>
        <w:jc w:val="left"/>
        <w:rPr>
          <w:rFonts w:ascii="宋体" w:hAnsi="宋体" w:cs="宋体"/>
        </w:rPr>
      </w:pPr>
      <w:r>
        <w:rPr>
          <w:rFonts w:hint="eastAsia" w:ascii="宋体" w:hAnsi="宋体" w:cs="宋体"/>
        </w:rPr>
        <w:t>A.项目的静态回收期大于7年</w:t>
      </w:r>
    </w:p>
    <w:p w14:paraId="3CDC0BA9">
      <w:pPr>
        <w:jc w:val="left"/>
        <w:rPr>
          <w:rFonts w:ascii="宋体" w:hAnsi="宋体" w:cs="宋体"/>
        </w:rPr>
      </w:pPr>
      <w:r>
        <w:rPr>
          <w:rFonts w:hint="eastAsia" w:ascii="宋体" w:hAnsi="宋体" w:cs="宋体"/>
        </w:rPr>
        <w:t>B.项目的现值指数大于 1</w:t>
      </w:r>
    </w:p>
    <w:p w14:paraId="50FF18EF">
      <w:pPr>
        <w:jc w:val="left"/>
        <w:rPr>
          <w:rFonts w:ascii="宋体" w:hAnsi="宋体" w:cs="宋体"/>
        </w:rPr>
      </w:pPr>
      <w:r>
        <w:rPr>
          <w:rFonts w:hint="eastAsia" w:ascii="宋体" w:hAnsi="宋体" w:cs="宋体"/>
        </w:rPr>
        <w:t>C.项目的净现值大于 0</w:t>
      </w:r>
    </w:p>
    <w:p w14:paraId="3DD2810C">
      <w:pPr>
        <w:jc w:val="left"/>
        <w:rPr>
          <w:rFonts w:ascii="宋体" w:hAnsi="宋体" w:cs="宋体"/>
        </w:rPr>
      </w:pPr>
      <w:r>
        <w:rPr>
          <w:rFonts w:hint="eastAsia" w:ascii="宋体" w:hAnsi="宋体" w:cs="宋体"/>
        </w:rPr>
        <w:t>D.项目的内含收益率大于 8%</w:t>
      </w:r>
    </w:p>
    <w:p w14:paraId="04D80FC0">
      <w:pPr>
        <w:jc w:val="left"/>
        <w:rPr>
          <w:rFonts w:ascii="宋体" w:hAnsi="宋体" w:cs="宋体"/>
        </w:rPr>
      </w:pPr>
      <w:r>
        <w:rPr>
          <w:rFonts w:hint="eastAsia" w:ascii="宋体" w:hAnsi="宋体" w:cs="宋体"/>
        </w:rPr>
        <w:t>答案：BCD</w:t>
      </w:r>
    </w:p>
    <w:p w14:paraId="5DBFA592">
      <w:pPr>
        <w:jc w:val="left"/>
        <w:rPr>
          <w:rFonts w:ascii="宋体" w:hAnsi="宋体" w:cs="宋体"/>
        </w:rPr>
      </w:pPr>
      <w:r>
        <w:rPr>
          <w:rFonts w:hint="eastAsia" w:ascii="宋体" w:hAnsi="宋体" w:cs="宋体"/>
        </w:rPr>
        <w:t>解析：动态回收期7年小于项目寿命期 10 年，说明在项目寿命期内收回原始投资额之后还有剩余现金净流量现值，因此净现值大于0，进而得到现值指数大于1，内含收益率大于折现率 8%，选项 B、C、D正确。静态回收期不考虑货币时间价值，小于动态回收期选项 A 错误。</w:t>
      </w:r>
    </w:p>
    <w:p w14:paraId="55E19010">
      <w:pPr>
        <w:jc w:val="left"/>
        <w:rPr>
          <w:rFonts w:ascii="宋体" w:hAnsi="宋体" w:cs="宋体"/>
        </w:rPr>
      </w:pPr>
    </w:p>
    <w:p w14:paraId="304A1F70">
      <w:pPr>
        <w:jc w:val="left"/>
        <w:rPr>
          <w:rFonts w:ascii="宋体" w:hAnsi="宋体" w:cs="宋体"/>
        </w:rPr>
      </w:pPr>
      <w:r>
        <w:rPr>
          <w:rFonts w:hint="eastAsia" w:ascii="宋体" w:hAnsi="宋体" w:cs="宋体"/>
        </w:rPr>
        <w:t>【多选题】（2023年）某投资项目的原始投资全部于建设期初一次性投入，建设期为1年，经营期限为 10 年经营期内每年现金净流量均为正数，资本成本率为12%，若该投资项目现值指数大于1下列说法正确的有（  ）。</w:t>
      </w:r>
    </w:p>
    <w:p w14:paraId="1FF4381A">
      <w:pPr>
        <w:jc w:val="left"/>
        <w:rPr>
          <w:rFonts w:ascii="宋体" w:hAnsi="宋体" w:cs="宋体"/>
        </w:rPr>
      </w:pPr>
      <w:r>
        <w:rPr>
          <w:rFonts w:hint="eastAsia" w:ascii="宋体" w:hAnsi="宋体" w:cs="宋体"/>
        </w:rPr>
        <w:t>A.静态回收期小于 11年</w:t>
      </w:r>
    </w:p>
    <w:p w14:paraId="01F4F9C2">
      <w:pPr>
        <w:jc w:val="left"/>
        <w:rPr>
          <w:rFonts w:ascii="宋体" w:hAnsi="宋体" w:cs="宋体"/>
        </w:rPr>
      </w:pPr>
      <w:r>
        <w:rPr>
          <w:rFonts w:hint="eastAsia" w:ascii="宋体" w:hAnsi="宋体" w:cs="宋体"/>
        </w:rPr>
        <w:t>B.内含收益率大于 12%</w:t>
      </w:r>
    </w:p>
    <w:p w14:paraId="2DA652C7">
      <w:pPr>
        <w:jc w:val="left"/>
        <w:rPr>
          <w:rFonts w:ascii="宋体" w:hAnsi="宋体" w:cs="宋体"/>
        </w:rPr>
      </w:pPr>
      <w:r>
        <w:rPr>
          <w:rFonts w:hint="eastAsia" w:ascii="宋体" w:hAnsi="宋体" w:cs="宋体"/>
        </w:rPr>
        <w:t>C.净现值大于 0</w:t>
      </w:r>
    </w:p>
    <w:p w14:paraId="57DAB90B">
      <w:pPr>
        <w:jc w:val="left"/>
        <w:rPr>
          <w:rFonts w:ascii="宋体" w:hAnsi="宋体" w:cs="宋体"/>
        </w:rPr>
      </w:pPr>
      <w:r>
        <w:rPr>
          <w:rFonts w:hint="eastAsia" w:ascii="宋体" w:hAnsi="宋体" w:cs="宋体"/>
        </w:rPr>
        <w:t>D.年金净流量大于原始投资额</w:t>
      </w:r>
    </w:p>
    <w:p w14:paraId="7B5E2BB7">
      <w:pPr>
        <w:jc w:val="left"/>
        <w:rPr>
          <w:rFonts w:ascii="宋体" w:hAnsi="宋体" w:cs="宋体"/>
        </w:rPr>
      </w:pPr>
      <w:r>
        <w:rPr>
          <w:rFonts w:hint="eastAsia" w:ascii="宋体" w:hAnsi="宋体" w:cs="宋体"/>
        </w:rPr>
        <w:t>答案：ABC</w:t>
      </w:r>
    </w:p>
    <w:p w14:paraId="2ABA8CC7">
      <w:pPr>
        <w:jc w:val="left"/>
        <w:rPr>
          <w:rFonts w:hint="eastAsia" w:ascii="宋体" w:hAnsi="宋体" w:cs="宋体"/>
        </w:rPr>
      </w:pPr>
      <w:r>
        <w:rPr>
          <w:rFonts w:hint="eastAsia" w:ascii="宋体" w:hAnsi="宋体" w:cs="宋体"/>
        </w:rPr>
        <w:t>解析：单一投资项目，若现值指数大于1，则净现值大于0，年金净流量大于0，内含收益率大于资本成本率，动态回收期小于项目寿命期 11年，选项 B、C正确。因为静态回收期不考虑时间价值，所以静态回收期小于动态回收期，选项A正确。年金净流量=净现值/年金现值系数，无法判断年金净流量是否大于原始投资额，选项 D错误。</w:t>
      </w:r>
    </w:p>
    <w:p w14:paraId="6452B947">
      <w:pPr>
        <w:overflowPunct w:val="0"/>
        <w:jc w:val="center"/>
        <w:rPr>
          <w:rFonts w:ascii="宋体" w:hAnsi="宋体" w:cs="宋体"/>
          <w:b/>
          <w:bCs/>
        </w:rPr>
      </w:pPr>
      <w:r>
        <w:rPr>
          <w:rFonts w:hint="eastAsia" w:ascii="宋体" w:hAnsi="宋体" w:cs="宋体"/>
          <w:b/>
          <w:bCs/>
        </w:rPr>
        <w:t>第二节  投资项目财务评价指标</w:t>
      </w:r>
    </w:p>
    <w:p w14:paraId="1AEC39E0">
      <w:pPr>
        <w:jc w:val="left"/>
        <w:rPr>
          <w:rFonts w:ascii="宋体" w:hAnsi="宋体" w:cs="宋体"/>
          <w:color w:val="FF0000"/>
        </w:rPr>
      </w:pPr>
      <w:r>
        <w:rPr>
          <w:rFonts w:hint="eastAsia" w:ascii="宋体" w:hAnsi="宋体" w:cs="宋体"/>
          <w:color w:val="FF0000"/>
        </w:rPr>
        <w:t>【知识点6】回收期</w:t>
      </w:r>
    </w:p>
    <w:p w14:paraId="44B717DC">
      <w:pPr>
        <w:jc w:val="left"/>
        <w:rPr>
          <w:rFonts w:ascii="宋体" w:hAnsi="宋体" w:cs="宋体"/>
        </w:rPr>
      </w:pPr>
      <w:r>
        <w:rPr>
          <w:rFonts w:hint="eastAsia" w:ascii="宋体" w:hAnsi="宋体" w:cs="宋体"/>
        </w:rPr>
        <w:t>回收期是指投资引起的现金净流量累计到与原始投资额相等所需要的时间。投资者希望投入资本能以某种方式尽快的收回，收回时间越长，所担风险就越大。回收期分为静态回收期和动态回收期。</w:t>
      </w:r>
    </w:p>
    <w:p w14:paraId="72CA044E">
      <w:pPr>
        <w:jc w:val="left"/>
        <w:rPr>
          <w:rFonts w:hint="eastAsia" w:ascii="宋体" w:hAnsi="宋体" w:cs="宋体"/>
          <w:color w:val="FF0000"/>
        </w:rPr>
      </w:pPr>
      <w:r>
        <w:rPr>
          <w:rFonts w:hint="eastAsia" w:ascii="宋体" w:hAnsi="宋体" w:cs="宋体"/>
          <w:color w:val="FF0000"/>
        </w:rPr>
        <w:t>一、静态回收期</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9418"/>
      </w:tblGrid>
      <w:tr w14:paraId="3958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707FC21C">
            <w:pPr>
              <w:jc w:val="left"/>
              <w:rPr>
                <w:rFonts w:ascii="宋体" w:hAnsi="宋体" w:cs="宋体"/>
              </w:rPr>
            </w:pPr>
            <w:r>
              <w:rPr>
                <w:rFonts w:hint="eastAsia" w:ascii="宋体" w:hAnsi="宋体" w:cs="宋体"/>
              </w:rPr>
              <w:t>定义</w:t>
            </w:r>
          </w:p>
        </w:tc>
        <w:tc>
          <w:tcPr>
            <w:tcW w:w="4645" w:type="pct"/>
          </w:tcPr>
          <w:p w14:paraId="7668CAD6">
            <w:pPr>
              <w:jc w:val="left"/>
              <w:rPr>
                <w:rFonts w:ascii="宋体" w:hAnsi="宋体" w:cs="宋体"/>
              </w:rPr>
            </w:pPr>
            <w:r>
              <w:rPr>
                <w:rFonts w:hint="eastAsia" w:ascii="宋体" w:hAnsi="宋体" w:cs="宋体"/>
              </w:rPr>
              <w:t>静态回收期（不考虑货币时间价值）：投资项目的未来现金净流量与原始投资额相等时所经历的时间，即原始投资额通过未来现金流量回收所需要的时间。</w:t>
            </w:r>
          </w:p>
        </w:tc>
      </w:tr>
      <w:tr w14:paraId="6CDA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5A95BDF0">
            <w:pPr>
              <w:jc w:val="left"/>
              <w:rPr>
                <w:rFonts w:ascii="宋体" w:hAnsi="宋体" w:cs="宋体"/>
              </w:rPr>
            </w:pPr>
            <w:r>
              <w:rPr>
                <w:rFonts w:hint="eastAsia" w:ascii="宋体" w:hAnsi="宋体" w:cs="宋体"/>
              </w:rPr>
              <w:t>公式</w:t>
            </w:r>
          </w:p>
        </w:tc>
        <w:tc>
          <w:tcPr>
            <w:tcW w:w="4645" w:type="pct"/>
          </w:tcPr>
          <w:p w14:paraId="7C02C174">
            <w:pPr>
              <w:jc w:val="left"/>
              <w:rPr>
                <w:rFonts w:ascii="宋体" w:hAnsi="宋体" w:cs="宋体"/>
              </w:rPr>
            </w:pPr>
            <w:r>
              <w:rPr>
                <w:rFonts w:hint="eastAsia" w:ascii="宋体" w:hAnsi="宋体" w:cs="宋体"/>
              </w:rPr>
              <w:t>原始投资额÷每年现金净流量</w:t>
            </w:r>
          </w:p>
        </w:tc>
      </w:tr>
      <w:tr w14:paraId="49B6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7C993F7D">
            <w:pPr>
              <w:jc w:val="left"/>
              <w:rPr>
                <w:rFonts w:ascii="宋体" w:hAnsi="宋体" w:cs="宋体"/>
              </w:rPr>
            </w:pPr>
            <w:r>
              <w:rPr>
                <w:rFonts w:hint="eastAsia" w:ascii="宋体" w:hAnsi="宋体" w:cs="宋体"/>
              </w:rPr>
              <w:t>优点</w:t>
            </w:r>
          </w:p>
        </w:tc>
        <w:tc>
          <w:tcPr>
            <w:tcW w:w="4645" w:type="pct"/>
          </w:tcPr>
          <w:p w14:paraId="45CF128E">
            <w:pPr>
              <w:jc w:val="left"/>
              <w:rPr>
                <w:rFonts w:ascii="宋体" w:hAnsi="宋体" w:cs="宋体"/>
              </w:rPr>
            </w:pPr>
            <w:r>
              <w:rPr>
                <w:rFonts w:hint="eastAsia" w:ascii="宋体" w:hAnsi="宋体" w:cs="宋体"/>
              </w:rPr>
              <w:t>（1）计算简便，易于理解；</w:t>
            </w:r>
            <w:r>
              <w:rPr>
                <w:rFonts w:hint="eastAsia" w:ascii="宋体" w:hAnsi="宋体" w:cs="宋体"/>
              </w:rPr>
              <w:br w:type="textWrapping"/>
            </w:r>
            <w:r>
              <w:rPr>
                <w:rFonts w:hint="eastAsia" w:ascii="宋体" w:hAnsi="宋体" w:cs="宋体"/>
              </w:rPr>
              <w:t>（2）考虑了风险因素，是一种较为保守的方法</w:t>
            </w:r>
          </w:p>
        </w:tc>
      </w:tr>
      <w:tr w14:paraId="6A77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 w:type="pct"/>
          </w:tcPr>
          <w:p w14:paraId="735184D5">
            <w:pPr>
              <w:jc w:val="left"/>
              <w:rPr>
                <w:rFonts w:ascii="宋体" w:hAnsi="宋体" w:cs="宋体"/>
              </w:rPr>
            </w:pPr>
            <w:r>
              <w:rPr>
                <w:rFonts w:hint="eastAsia" w:ascii="宋体" w:hAnsi="宋体" w:cs="宋体"/>
              </w:rPr>
              <w:t>缺点</w:t>
            </w:r>
          </w:p>
        </w:tc>
        <w:tc>
          <w:tcPr>
            <w:tcW w:w="4645" w:type="pct"/>
          </w:tcPr>
          <w:p w14:paraId="4A167EDF">
            <w:pPr>
              <w:jc w:val="left"/>
              <w:rPr>
                <w:rFonts w:ascii="宋体" w:hAnsi="宋体" w:cs="宋体"/>
              </w:rPr>
            </w:pPr>
            <w:r>
              <w:rPr>
                <w:rFonts w:hint="eastAsia" w:ascii="宋体" w:hAnsi="宋体" w:cs="宋体"/>
              </w:rPr>
              <w:t>（1）静态回收期没有考虑货币时间价值；</w:t>
            </w:r>
            <w:r>
              <w:rPr>
                <w:rFonts w:hint="eastAsia" w:ascii="宋体" w:hAnsi="宋体" w:cs="宋体"/>
              </w:rPr>
              <w:br w:type="textWrapping"/>
            </w:r>
            <w:r>
              <w:rPr>
                <w:rFonts w:hint="eastAsia" w:ascii="宋体" w:hAnsi="宋体" w:cs="宋体"/>
              </w:rPr>
              <w:t>（2）只考虑了未来现金净流量（或现值）总和中等于原始投资额（或现值）的部分，没有考虑超过原始投资额（或现值）的部分</w:t>
            </w:r>
          </w:p>
        </w:tc>
      </w:tr>
    </w:tbl>
    <w:p w14:paraId="63E4F888">
      <w:pPr>
        <w:jc w:val="left"/>
        <w:rPr>
          <w:rFonts w:ascii="宋体" w:hAnsi="宋体" w:cs="宋体"/>
        </w:rPr>
      </w:pPr>
      <w:r>
        <w:rPr>
          <w:rFonts w:hint="eastAsia" w:ascii="宋体" w:hAnsi="宋体" w:cs="宋体"/>
        </w:rPr>
        <w:t>【例】迪力公司有一投资项目，需投资150000元，使用年限为5年，每年的现金流量不相等，资本成本率为5%。</w:t>
      </w:r>
    </w:p>
    <w:p w14:paraId="3CE6D1C1">
      <w:pPr>
        <w:jc w:val="left"/>
        <w:rPr>
          <w:rFonts w:ascii="宋体" w:hAnsi="宋体" w:cs="宋体"/>
        </w:rPr>
      </w:pPr>
      <w:r>
        <w:rPr>
          <w:rFonts w:hint="eastAsia" w:ascii="宋体" w:hAnsi="宋体" w:cs="宋体"/>
        </w:rPr>
        <w:t>要求：计算该投资项目的静态回收期。</w:t>
      </w:r>
    </w:p>
    <w:p w14:paraId="0816A7A7">
      <w:pPr>
        <w:jc w:val="center"/>
        <w:rPr>
          <w:rFonts w:ascii="宋体" w:hAnsi="宋体" w:cs="宋体"/>
        </w:rPr>
      </w:pPr>
      <w:r>
        <w:rPr>
          <w:rFonts w:hint="eastAsia" w:ascii="宋体" w:hAnsi="宋体" w:cs="宋体"/>
        </w:rPr>
        <w:t>项目现金流量表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5"/>
        <w:gridCol w:w="2025"/>
        <w:gridCol w:w="2026"/>
        <w:gridCol w:w="2030"/>
        <w:gridCol w:w="2030"/>
      </w:tblGrid>
      <w:tr w14:paraId="1125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6B87096C">
            <w:pPr>
              <w:jc w:val="center"/>
              <w:rPr>
                <w:rFonts w:ascii="宋体" w:hAnsi="宋体" w:cs="宋体"/>
              </w:rPr>
            </w:pPr>
            <w:r>
              <w:rPr>
                <w:rFonts w:hint="eastAsia" w:ascii="宋体" w:hAnsi="宋体" w:cs="宋体"/>
              </w:rPr>
              <w:t>年份</w:t>
            </w:r>
          </w:p>
        </w:tc>
        <w:tc>
          <w:tcPr>
            <w:tcW w:w="999" w:type="pct"/>
          </w:tcPr>
          <w:p w14:paraId="5BDF9FF9">
            <w:pPr>
              <w:jc w:val="center"/>
              <w:rPr>
                <w:rFonts w:ascii="宋体" w:hAnsi="宋体" w:cs="宋体"/>
              </w:rPr>
            </w:pPr>
            <w:r>
              <w:rPr>
                <w:rFonts w:hint="eastAsia" w:ascii="宋体" w:hAnsi="宋体" w:cs="宋体"/>
              </w:rPr>
              <w:t>现金净流量</w:t>
            </w:r>
          </w:p>
        </w:tc>
        <w:tc>
          <w:tcPr>
            <w:tcW w:w="999" w:type="pct"/>
          </w:tcPr>
          <w:p w14:paraId="1D391771">
            <w:pPr>
              <w:jc w:val="center"/>
              <w:rPr>
                <w:rFonts w:ascii="宋体" w:hAnsi="宋体" w:cs="宋体"/>
              </w:rPr>
            </w:pPr>
            <w:r>
              <w:rPr>
                <w:rFonts w:hint="eastAsia" w:ascii="宋体" w:hAnsi="宋体" w:cs="宋体"/>
              </w:rPr>
              <w:t>累计净流量</w:t>
            </w:r>
          </w:p>
        </w:tc>
        <w:tc>
          <w:tcPr>
            <w:tcW w:w="1001" w:type="pct"/>
          </w:tcPr>
          <w:p w14:paraId="0F14BA79">
            <w:pPr>
              <w:jc w:val="center"/>
              <w:rPr>
                <w:rFonts w:ascii="宋体" w:hAnsi="宋体" w:cs="宋体"/>
              </w:rPr>
            </w:pPr>
            <w:r>
              <w:rPr>
                <w:rFonts w:hint="eastAsia" w:ascii="宋体" w:hAnsi="宋体" w:cs="宋体"/>
              </w:rPr>
              <w:t>净流量现值</w:t>
            </w:r>
          </w:p>
        </w:tc>
        <w:tc>
          <w:tcPr>
            <w:tcW w:w="1001" w:type="pct"/>
          </w:tcPr>
          <w:p w14:paraId="38914973">
            <w:pPr>
              <w:jc w:val="center"/>
              <w:rPr>
                <w:rFonts w:ascii="宋体" w:hAnsi="宋体" w:cs="宋体"/>
              </w:rPr>
            </w:pPr>
            <w:r>
              <w:rPr>
                <w:rFonts w:hint="eastAsia" w:ascii="宋体" w:hAnsi="宋体" w:cs="宋体"/>
              </w:rPr>
              <w:t>累计现值</w:t>
            </w:r>
          </w:p>
        </w:tc>
      </w:tr>
      <w:tr w14:paraId="5868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7428AE7">
            <w:pPr>
              <w:jc w:val="center"/>
              <w:rPr>
                <w:rFonts w:ascii="宋体" w:hAnsi="宋体" w:cs="宋体"/>
              </w:rPr>
            </w:pPr>
            <w:r>
              <w:rPr>
                <w:rFonts w:hint="eastAsia" w:ascii="宋体" w:hAnsi="宋体" w:cs="宋体"/>
              </w:rPr>
              <w:t>1</w:t>
            </w:r>
            <w:r>
              <w:rPr>
                <w:rFonts w:hint="eastAsia" w:ascii="宋体" w:hAnsi="宋体" w:cs="宋体"/>
              </w:rPr>
              <w:br w:type="textWrapping"/>
            </w:r>
            <w:r>
              <w:rPr>
                <w:rFonts w:hint="eastAsia" w:ascii="宋体" w:hAnsi="宋体" w:cs="宋体"/>
              </w:rPr>
              <w:t>2</w:t>
            </w:r>
            <w:r>
              <w:rPr>
                <w:rFonts w:hint="eastAsia" w:ascii="宋体" w:hAnsi="宋体" w:cs="宋体"/>
              </w:rPr>
              <w:br w:type="textWrapping"/>
            </w:r>
            <w:r>
              <w:rPr>
                <w:rFonts w:hint="eastAsia" w:ascii="宋体" w:hAnsi="宋体" w:cs="宋体"/>
              </w:rPr>
              <w:t>3</w:t>
            </w:r>
            <w:r>
              <w:rPr>
                <w:rFonts w:hint="eastAsia" w:ascii="宋体" w:hAnsi="宋体" w:cs="宋体"/>
              </w:rPr>
              <w:br w:type="textWrapping"/>
            </w:r>
            <w:r>
              <w:rPr>
                <w:rFonts w:hint="eastAsia" w:ascii="宋体" w:hAnsi="宋体" w:cs="宋体"/>
              </w:rPr>
              <w:t>4</w:t>
            </w:r>
            <w:r>
              <w:rPr>
                <w:rFonts w:hint="eastAsia" w:ascii="宋体" w:hAnsi="宋体" w:cs="宋体"/>
              </w:rPr>
              <w:br w:type="textWrapping"/>
            </w:r>
            <w:r>
              <w:rPr>
                <w:rFonts w:hint="eastAsia" w:ascii="宋体" w:hAnsi="宋体" w:cs="宋体"/>
              </w:rPr>
              <w:t>5</w:t>
            </w:r>
          </w:p>
        </w:tc>
        <w:tc>
          <w:tcPr>
            <w:tcW w:w="999" w:type="pct"/>
          </w:tcPr>
          <w:p w14:paraId="4B4BA8A2">
            <w:pPr>
              <w:jc w:val="center"/>
              <w:rPr>
                <w:rFonts w:ascii="宋体" w:hAnsi="宋体" w:cs="宋体"/>
              </w:rPr>
            </w:pPr>
            <w:r>
              <w:rPr>
                <w:rFonts w:hint="eastAsia" w:ascii="宋体" w:hAnsi="宋体" w:cs="宋体"/>
              </w:rPr>
              <w:t>30000</w:t>
            </w:r>
            <w:r>
              <w:rPr>
                <w:rFonts w:hint="eastAsia" w:ascii="宋体" w:hAnsi="宋体" w:cs="宋体"/>
              </w:rPr>
              <w:br w:type="textWrapping"/>
            </w:r>
            <w:r>
              <w:rPr>
                <w:rFonts w:hint="eastAsia" w:ascii="宋体" w:hAnsi="宋体" w:cs="宋体"/>
              </w:rPr>
              <w:t>35000</w:t>
            </w:r>
            <w:r>
              <w:rPr>
                <w:rFonts w:hint="eastAsia" w:ascii="宋体" w:hAnsi="宋体" w:cs="宋体"/>
              </w:rPr>
              <w:br w:type="textWrapping"/>
            </w:r>
            <w:r>
              <w:rPr>
                <w:rFonts w:hint="eastAsia" w:ascii="宋体" w:hAnsi="宋体" w:cs="宋体"/>
              </w:rPr>
              <w:t>60000</w:t>
            </w:r>
            <w:r>
              <w:rPr>
                <w:rFonts w:hint="eastAsia" w:ascii="宋体" w:hAnsi="宋体" w:cs="宋体"/>
              </w:rPr>
              <w:br w:type="textWrapping"/>
            </w:r>
            <w:r>
              <w:rPr>
                <w:rFonts w:hint="eastAsia" w:ascii="宋体" w:hAnsi="宋体" w:cs="宋体"/>
              </w:rPr>
              <w:t>50000</w:t>
            </w:r>
            <w:r>
              <w:rPr>
                <w:rFonts w:hint="eastAsia" w:ascii="宋体" w:hAnsi="宋体" w:cs="宋体"/>
              </w:rPr>
              <w:br w:type="textWrapping"/>
            </w:r>
            <w:r>
              <w:rPr>
                <w:rFonts w:hint="eastAsia" w:ascii="宋体" w:hAnsi="宋体" w:cs="宋体"/>
              </w:rPr>
              <w:t>40000</w:t>
            </w:r>
          </w:p>
        </w:tc>
        <w:tc>
          <w:tcPr>
            <w:tcW w:w="999" w:type="pct"/>
          </w:tcPr>
          <w:p w14:paraId="19192917">
            <w:pPr>
              <w:jc w:val="center"/>
              <w:rPr>
                <w:rFonts w:ascii="宋体" w:hAnsi="宋体" w:cs="宋体"/>
              </w:rPr>
            </w:pPr>
            <w:r>
              <w:rPr>
                <w:rFonts w:hint="eastAsia" w:ascii="宋体" w:hAnsi="宋体" w:cs="宋体"/>
              </w:rPr>
              <w:t>30000</w:t>
            </w:r>
            <w:r>
              <w:rPr>
                <w:rFonts w:hint="eastAsia" w:ascii="宋体" w:hAnsi="宋体" w:cs="宋体"/>
              </w:rPr>
              <w:br w:type="textWrapping"/>
            </w:r>
            <w:r>
              <w:rPr>
                <w:rFonts w:hint="eastAsia" w:ascii="宋体" w:hAnsi="宋体" w:cs="宋体"/>
              </w:rPr>
              <w:t>65000</w:t>
            </w:r>
            <w:r>
              <w:rPr>
                <w:rFonts w:hint="eastAsia" w:ascii="宋体" w:hAnsi="宋体" w:cs="宋体"/>
              </w:rPr>
              <w:br w:type="textWrapping"/>
            </w:r>
            <w:r>
              <w:rPr>
                <w:rFonts w:hint="eastAsia" w:ascii="宋体" w:hAnsi="宋体" w:cs="宋体"/>
              </w:rPr>
              <w:t>125000</w:t>
            </w:r>
            <w:r>
              <w:rPr>
                <w:rFonts w:hint="eastAsia" w:ascii="宋体" w:hAnsi="宋体" w:cs="宋体"/>
              </w:rPr>
              <w:br w:type="textWrapping"/>
            </w:r>
            <w:r>
              <w:rPr>
                <w:rFonts w:hint="eastAsia" w:ascii="宋体" w:hAnsi="宋体" w:cs="宋体"/>
              </w:rPr>
              <w:t>175000</w:t>
            </w:r>
            <w:r>
              <w:rPr>
                <w:rFonts w:hint="eastAsia" w:ascii="宋体" w:hAnsi="宋体" w:cs="宋体"/>
              </w:rPr>
              <w:br w:type="textWrapping"/>
            </w:r>
            <w:r>
              <w:rPr>
                <w:rFonts w:hint="eastAsia" w:ascii="宋体" w:hAnsi="宋体" w:cs="宋体"/>
              </w:rPr>
              <w:t>215000</w:t>
            </w:r>
          </w:p>
        </w:tc>
        <w:tc>
          <w:tcPr>
            <w:tcW w:w="1001" w:type="pct"/>
          </w:tcPr>
          <w:p w14:paraId="7F380CE0">
            <w:pPr>
              <w:jc w:val="center"/>
              <w:rPr>
                <w:rFonts w:ascii="宋体" w:hAnsi="宋体" w:cs="宋体"/>
              </w:rPr>
            </w:pPr>
            <w:r>
              <w:rPr>
                <w:rFonts w:hint="eastAsia" w:ascii="宋体" w:hAnsi="宋体" w:cs="宋体"/>
              </w:rPr>
              <w:t>28560</w:t>
            </w:r>
            <w:r>
              <w:rPr>
                <w:rFonts w:hint="eastAsia" w:ascii="宋体" w:hAnsi="宋体" w:cs="宋体"/>
              </w:rPr>
              <w:br w:type="textWrapping"/>
            </w:r>
            <w:r>
              <w:rPr>
                <w:rFonts w:hint="eastAsia" w:ascii="宋体" w:hAnsi="宋体" w:cs="宋体"/>
              </w:rPr>
              <w:t>31745</w:t>
            </w:r>
            <w:r>
              <w:rPr>
                <w:rFonts w:hint="eastAsia" w:ascii="宋体" w:hAnsi="宋体" w:cs="宋体"/>
              </w:rPr>
              <w:br w:type="textWrapping"/>
            </w:r>
            <w:r>
              <w:rPr>
                <w:rFonts w:hint="eastAsia" w:ascii="宋体" w:hAnsi="宋体" w:cs="宋体"/>
              </w:rPr>
              <w:t>51840</w:t>
            </w:r>
            <w:r>
              <w:rPr>
                <w:rFonts w:hint="eastAsia" w:ascii="宋体" w:hAnsi="宋体" w:cs="宋体"/>
              </w:rPr>
              <w:br w:type="textWrapping"/>
            </w:r>
            <w:r>
              <w:rPr>
                <w:rFonts w:hint="eastAsia" w:ascii="宋体" w:hAnsi="宋体" w:cs="宋体"/>
              </w:rPr>
              <w:t>41150</w:t>
            </w:r>
            <w:r>
              <w:rPr>
                <w:rFonts w:hint="eastAsia" w:ascii="宋体" w:hAnsi="宋体" w:cs="宋体"/>
              </w:rPr>
              <w:br w:type="textWrapping"/>
            </w:r>
            <w:r>
              <w:rPr>
                <w:rFonts w:hint="eastAsia" w:ascii="宋体" w:hAnsi="宋体" w:cs="宋体"/>
              </w:rPr>
              <w:t>31360</w:t>
            </w:r>
          </w:p>
        </w:tc>
        <w:tc>
          <w:tcPr>
            <w:tcW w:w="1001" w:type="pct"/>
          </w:tcPr>
          <w:p w14:paraId="1B94C8D5">
            <w:pPr>
              <w:jc w:val="center"/>
              <w:rPr>
                <w:rFonts w:ascii="宋体" w:hAnsi="宋体" w:cs="宋体"/>
              </w:rPr>
            </w:pPr>
            <w:r>
              <w:rPr>
                <w:rFonts w:hint="eastAsia" w:ascii="宋体" w:hAnsi="宋体" w:cs="宋体"/>
              </w:rPr>
              <w:t>28560</w:t>
            </w:r>
            <w:r>
              <w:rPr>
                <w:rFonts w:hint="eastAsia" w:ascii="宋体" w:hAnsi="宋体" w:cs="宋体"/>
              </w:rPr>
              <w:br w:type="textWrapping"/>
            </w:r>
            <w:r>
              <w:rPr>
                <w:rFonts w:hint="eastAsia" w:ascii="宋体" w:hAnsi="宋体" w:cs="宋体"/>
              </w:rPr>
              <w:t>60305</w:t>
            </w:r>
            <w:r>
              <w:rPr>
                <w:rFonts w:hint="eastAsia" w:ascii="宋体" w:hAnsi="宋体" w:cs="宋体"/>
              </w:rPr>
              <w:br w:type="textWrapping"/>
            </w:r>
            <w:r>
              <w:rPr>
                <w:rFonts w:hint="eastAsia" w:ascii="宋体" w:hAnsi="宋体" w:cs="宋体"/>
              </w:rPr>
              <w:t>112145</w:t>
            </w:r>
            <w:r>
              <w:rPr>
                <w:rFonts w:hint="eastAsia" w:ascii="宋体" w:hAnsi="宋体" w:cs="宋体"/>
              </w:rPr>
              <w:br w:type="textWrapping"/>
            </w:r>
            <w:r>
              <w:rPr>
                <w:rFonts w:hint="eastAsia" w:ascii="宋体" w:hAnsi="宋体" w:cs="宋体"/>
              </w:rPr>
              <w:t>153295</w:t>
            </w:r>
            <w:r>
              <w:rPr>
                <w:rFonts w:hint="eastAsia" w:ascii="宋体" w:hAnsi="宋体" w:cs="宋体"/>
              </w:rPr>
              <w:br w:type="textWrapping"/>
            </w:r>
            <w:r>
              <w:rPr>
                <w:rFonts w:hint="eastAsia" w:ascii="宋体" w:hAnsi="宋体" w:cs="宋体"/>
              </w:rPr>
              <w:t>184655</w:t>
            </w:r>
          </w:p>
        </w:tc>
      </w:tr>
    </w:tbl>
    <w:p w14:paraId="4EB45522">
      <w:pPr>
        <w:jc w:val="left"/>
        <w:rPr>
          <w:rFonts w:hint="eastAsia" w:ascii="宋体" w:hAnsi="宋体" w:cs="宋体"/>
        </w:rPr>
      </w:pPr>
      <w:r>
        <w:rPr>
          <w:rFonts w:hint="eastAsia" w:ascii="宋体" w:hAnsi="宋体" w:cs="宋体"/>
        </w:rPr>
        <w:t>从表的累计现金净流量栏中可见，该投资项目的静态回收期在第3年与第4年之间。为了计算较为准确的静态回收期，采用以下方法计算：</w:t>
      </w:r>
    </w:p>
    <w:p w14:paraId="67902E10">
      <w:pPr>
        <w:jc w:val="left"/>
        <w:rPr>
          <w:rFonts w:ascii="宋体" w:hAnsi="宋体" w:cs="宋体"/>
        </w:rPr>
      </w:pPr>
      <w:r>
        <w:rPr>
          <w:rFonts w:hint="eastAsia" w:ascii="宋体" w:hAnsi="宋体" w:cs="宋体"/>
        </w:rPr>
        <w:drawing>
          <wp:inline distT="0" distB="0" distL="114300" distR="114300">
            <wp:extent cx="3409950" cy="384810"/>
            <wp:effectExtent l="0" t="0" r="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3498574" cy="395394"/>
                    </a:xfrm>
                    <a:prstGeom prst="rect">
                      <a:avLst/>
                    </a:prstGeom>
                    <a:noFill/>
                    <a:ln>
                      <a:noFill/>
                    </a:ln>
                  </pic:spPr>
                </pic:pic>
              </a:graphicData>
            </a:graphic>
          </wp:inline>
        </w:drawing>
      </w:r>
    </w:p>
    <w:p w14:paraId="757C10E7">
      <w:pPr>
        <w:jc w:val="left"/>
        <w:rPr>
          <w:rFonts w:ascii="宋体" w:hAnsi="宋体" w:cs="宋体"/>
          <w:color w:val="FF0000"/>
        </w:rPr>
      </w:pPr>
      <w:r>
        <w:rPr>
          <w:rFonts w:hint="eastAsia" w:ascii="宋体" w:hAnsi="宋体" w:cs="宋体"/>
          <w:color w:val="FF0000"/>
        </w:rPr>
        <w:t>二、动态回收期</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9272"/>
      </w:tblGrid>
      <w:tr w14:paraId="723A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1F1D4153">
            <w:pPr>
              <w:jc w:val="left"/>
              <w:rPr>
                <w:rFonts w:ascii="宋体" w:hAnsi="宋体" w:cs="宋体"/>
              </w:rPr>
            </w:pPr>
            <w:r>
              <w:rPr>
                <w:rFonts w:hint="eastAsia" w:ascii="宋体" w:hAnsi="宋体" w:cs="宋体"/>
              </w:rPr>
              <w:t>定义</w:t>
            </w:r>
          </w:p>
        </w:tc>
        <w:tc>
          <w:tcPr>
            <w:tcW w:w="4573" w:type="pct"/>
          </w:tcPr>
          <w:p w14:paraId="22E3ADA2">
            <w:pPr>
              <w:jc w:val="left"/>
              <w:rPr>
                <w:rFonts w:ascii="宋体" w:hAnsi="宋体" w:cs="宋体"/>
              </w:rPr>
            </w:pPr>
            <w:r>
              <w:rPr>
                <w:rFonts w:hint="eastAsia" w:ascii="宋体" w:hAnsi="宋体" w:cs="宋体"/>
              </w:rPr>
              <w:t>动态回收期需要将投资引起的未来现金净流量进行贴现，以未来现金净流量的现值等于原始投资额现值时所经历的时间</w:t>
            </w:r>
          </w:p>
        </w:tc>
      </w:tr>
      <w:tr w14:paraId="72CE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3BA12FF3">
            <w:pPr>
              <w:jc w:val="left"/>
              <w:rPr>
                <w:rFonts w:ascii="宋体" w:hAnsi="宋体" w:cs="宋体"/>
              </w:rPr>
            </w:pPr>
            <w:r>
              <w:rPr>
                <w:rFonts w:hint="eastAsia" w:ascii="宋体" w:hAnsi="宋体" w:cs="宋体"/>
              </w:rPr>
              <w:t>公式</w:t>
            </w:r>
          </w:p>
        </w:tc>
        <w:tc>
          <w:tcPr>
            <w:tcW w:w="4573" w:type="pct"/>
          </w:tcPr>
          <w:p w14:paraId="6848922F">
            <w:pPr>
              <w:jc w:val="left"/>
              <w:rPr>
                <w:rFonts w:ascii="宋体" w:hAnsi="宋体" w:cs="宋体"/>
              </w:rPr>
            </w:pPr>
            <w:r>
              <w:rPr>
                <w:rFonts w:hint="eastAsia" w:ascii="宋体" w:hAnsi="宋体" w:cs="宋体"/>
                <w:color w:val="FF0000"/>
              </w:rPr>
              <w:t>每年现金净流量×（P/A，i，n）＝原始投资额现值</w:t>
            </w:r>
          </w:p>
        </w:tc>
      </w:tr>
      <w:tr w14:paraId="2708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497818F8">
            <w:pPr>
              <w:jc w:val="left"/>
              <w:rPr>
                <w:rFonts w:ascii="宋体" w:hAnsi="宋体" w:cs="宋体"/>
              </w:rPr>
            </w:pPr>
            <w:r>
              <w:rPr>
                <w:rFonts w:hint="eastAsia" w:ascii="宋体" w:hAnsi="宋体" w:cs="宋体"/>
              </w:rPr>
              <w:t>优点</w:t>
            </w:r>
          </w:p>
        </w:tc>
        <w:tc>
          <w:tcPr>
            <w:tcW w:w="4573" w:type="pct"/>
          </w:tcPr>
          <w:p w14:paraId="50B4707C">
            <w:pPr>
              <w:jc w:val="left"/>
              <w:rPr>
                <w:rFonts w:ascii="宋体" w:hAnsi="宋体" w:cs="宋体"/>
              </w:rPr>
            </w:pPr>
            <w:r>
              <w:rPr>
                <w:rFonts w:hint="eastAsia" w:ascii="宋体" w:hAnsi="宋体" w:cs="宋体"/>
              </w:rPr>
              <w:t>（1）计算简便，易于理解；</w:t>
            </w:r>
            <w:r>
              <w:rPr>
                <w:rFonts w:hint="eastAsia" w:ascii="宋体" w:hAnsi="宋体" w:cs="宋体"/>
              </w:rPr>
              <w:br w:type="textWrapping"/>
            </w:r>
            <w:r>
              <w:rPr>
                <w:rFonts w:hint="eastAsia" w:ascii="宋体" w:hAnsi="宋体" w:cs="宋体"/>
              </w:rPr>
              <w:t>（2）考虑了风险因素，是一种较为</w:t>
            </w:r>
            <w:r>
              <w:rPr>
                <w:rFonts w:hint="eastAsia" w:ascii="宋体" w:hAnsi="宋体" w:cs="宋体"/>
                <w:color w:val="FF0000"/>
              </w:rPr>
              <w:t>保守的方法</w:t>
            </w:r>
          </w:p>
        </w:tc>
      </w:tr>
      <w:tr w14:paraId="103F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Pr>
          <w:p w14:paraId="7D279F07">
            <w:pPr>
              <w:jc w:val="left"/>
              <w:rPr>
                <w:rFonts w:ascii="宋体" w:hAnsi="宋体" w:cs="宋体"/>
              </w:rPr>
            </w:pPr>
            <w:r>
              <w:rPr>
                <w:rFonts w:hint="eastAsia" w:ascii="宋体" w:hAnsi="宋体" w:cs="宋体"/>
              </w:rPr>
              <w:t>缺点</w:t>
            </w:r>
          </w:p>
        </w:tc>
        <w:tc>
          <w:tcPr>
            <w:tcW w:w="4573" w:type="pct"/>
          </w:tcPr>
          <w:p w14:paraId="13CAEAFD">
            <w:pPr>
              <w:jc w:val="left"/>
              <w:rPr>
                <w:rFonts w:ascii="宋体" w:hAnsi="宋体" w:cs="宋体"/>
              </w:rPr>
            </w:pPr>
            <w:r>
              <w:rPr>
                <w:rFonts w:hint="eastAsia" w:ascii="宋体" w:hAnsi="宋体" w:cs="宋体"/>
              </w:rPr>
              <w:t>只考虑了未来现金净流量（或现值）总和中等于原始投资额（或现值）的部分，</w:t>
            </w:r>
            <w:r>
              <w:rPr>
                <w:rFonts w:hint="eastAsia" w:ascii="宋体" w:hAnsi="宋体" w:cs="宋体"/>
                <w:color w:val="FF0000"/>
              </w:rPr>
              <w:t>没有考虑超过原始投资额（或现值）的部分</w:t>
            </w:r>
          </w:p>
        </w:tc>
      </w:tr>
    </w:tbl>
    <w:p w14:paraId="331A2BC9">
      <w:pPr>
        <w:jc w:val="left"/>
        <w:rPr>
          <w:rFonts w:ascii="宋体" w:hAnsi="宋体" w:cs="宋体"/>
        </w:rPr>
      </w:pPr>
      <w:r>
        <w:rPr>
          <w:rFonts w:hint="eastAsia" w:ascii="宋体" w:hAnsi="宋体" w:cs="宋体"/>
        </w:rPr>
        <w:t>【例】迪力公司有一投资项目，需投资150000元，使用年限为5年，每年的现金流量不相等，资本成本率为5%。</w:t>
      </w:r>
    </w:p>
    <w:p w14:paraId="71F8EC2B">
      <w:pPr>
        <w:jc w:val="left"/>
        <w:rPr>
          <w:rFonts w:ascii="宋体" w:hAnsi="宋体" w:cs="宋体"/>
        </w:rPr>
      </w:pPr>
      <w:r>
        <w:rPr>
          <w:rFonts w:hint="eastAsia" w:ascii="宋体" w:hAnsi="宋体" w:cs="宋体"/>
        </w:rPr>
        <w:t>要求：计算该投资项目的动态回收期。</w:t>
      </w:r>
    </w:p>
    <w:p w14:paraId="366F2B6A">
      <w:pPr>
        <w:jc w:val="center"/>
        <w:rPr>
          <w:rFonts w:ascii="宋体" w:hAnsi="宋体" w:cs="宋体"/>
        </w:rPr>
      </w:pPr>
      <w:r>
        <w:rPr>
          <w:rFonts w:hint="eastAsia" w:ascii="宋体" w:hAnsi="宋体" w:cs="宋体"/>
        </w:rPr>
        <w:t>项目现金流量表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2026"/>
        <w:gridCol w:w="2026"/>
        <w:gridCol w:w="2029"/>
        <w:gridCol w:w="2029"/>
      </w:tblGrid>
      <w:tr w14:paraId="5456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ADBD7FD">
            <w:pPr>
              <w:jc w:val="center"/>
              <w:rPr>
                <w:rFonts w:ascii="宋体" w:hAnsi="宋体" w:cs="宋体"/>
              </w:rPr>
            </w:pPr>
            <w:r>
              <w:rPr>
                <w:rFonts w:hint="eastAsia" w:ascii="宋体" w:hAnsi="宋体" w:cs="宋体"/>
              </w:rPr>
              <w:t>年份</w:t>
            </w:r>
          </w:p>
        </w:tc>
        <w:tc>
          <w:tcPr>
            <w:tcW w:w="999" w:type="pct"/>
          </w:tcPr>
          <w:p w14:paraId="79CAC484">
            <w:pPr>
              <w:jc w:val="center"/>
              <w:rPr>
                <w:rFonts w:ascii="宋体" w:hAnsi="宋体" w:cs="宋体"/>
              </w:rPr>
            </w:pPr>
            <w:r>
              <w:rPr>
                <w:rFonts w:hint="eastAsia" w:ascii="宋体" w:hAnsi="宋体" w:cs="宋体"/>
              </w:rPr>
              <w:t>现金净流量</w:t>
            </w:r>
          </w:p>
        </w:tc>
        <w:tc>
          <w:tcPr>
            <w:tcW w:w="999" w:type="pct"/>
          </w:tcPr>
          <w:p w14:paraId="0EFE82F2">
            <w:pPr>
              <w:jc w:val="center"/>
              <w:rPr>
                <w:rFonts w:ascii="宋体" w:hAnsi="宋体" w:cs="宋体"/>
              </w:rPr>
            </w:pPr>
            <w:r>
              <w:rPr>
                <w:rFonts w:hint="eastAsia" w:ascii="宋体" w:hAnsi="宋体" w:cs="宋体"/>
              </w:rPr>
              <w:t>累计净流量</w:t>
            </w:r>
          </w:p>
        </w:tc>
        <w:tc>
          <w:tcPr>
            <w:tcW w:w="1000" w:type="pct"/>
          </w:tcPr>
          <w:p w14:paraId="7166396E">
            <w:pPr>
              <w:jc w:val="center"/>
              <w:rPr>
                <w:rFonts w:ascii="宋体" w:hAnsi="宋体" w:cs="宋体"/>
              </w:rPr>
            </w:pPr>
            <w:r>
              <w:rPr>
                <w:rFonts w:hint="eastAsia" w:ascii="宋体" w:hAnsi="宋体" w:cs="宋体"/>
              </w:rPr>
              <w:t>净流量现值</w:t>
            </w:r>
          </w:p>
        </w:tc>
        <w:tc>
          <w:tcPr>
            <w:tcW w:w="1000" w:type="pct"/>
          </w:tcPr>
          <w:p w14:paraId="629864E8">
            <w:pPr>
              <w:jc w:val="center"/>
              <w:rPr>
                <w:rFonts w:ascii="宋体" w:hAnsi="宋体" w:cs="宋体"/>
              </w:rPr>
            </w:pPr>
            <w:r>
              <w:rPr>
                <w:rFonts w:hint="eastAsia" w:ascii="宋体" w:hAnsi="宋体" w:cs="宋体"/>
              </w:rPr>
              <w:t>累计现值</w:t>
            </w:r>
          </w:p>
        </w:tc>
      </w:tr>
      <w:tr w14:paraId="6814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8E78B78">
            <w:pPr>
              <w:jc w:val="center"/>
              <w:rPr>
                <w:rFonts w:ascii="宋体" w:hAnsi="宋体" w:cs="宋体"/>
              </w:rPr>
            </w:pPr>
            <w:r>
              <w:rPr>
                <w:rFonts w:hint="eastAsia" w:ascii="宋体" w:hAnsi="宋体" w:cs="宋体"/>
              </w:rPr>
              <w:t>1</w:t>
            </w:r>
            <w:r>
              <w:rPr>
                <w:rFonts w:hint="eastAsia" w:ascii="宋体" w:hAnsi="宋体" w:cs="宋体"/>
              </w:rPr>
              <w:br w:type="textWrapping"/>
            </w:r>
            <w:r>
              <w:rPr>
                <w:rFonts w:hint="eastAsia" w:ascii="宋体" w:hAnsi="宋体" w:cs="宋体"/>
              </w:rPr>
              <w:t>2</w:t>
            </w:r>
            <w:r>
              <w:rPr>
                <w:rFonts w:hint="eastAsia" w:ascii="宋体" w:hAnsi="宋体" w:cs="宋体"/>
              </w:rPr>
              <w:br w:type="textWrapping"/>
            </w:r>
            <w:r>
              <w:rPr>
                <w:rFonts w:hint="eastAsia" w:ascii="宋体" w:hAnsi="宋体" w:cs="宋体"/>
              </w:rPr>
              <w:t>3</w:t>
            </w:r>
            <w:r>
              <w:rPr>
                <w:rFonts w:hint="eastAsia" w:ascii="宋体" w:hAnsi="宋体" w:cs="宋体"/>
              </w:rPr>
              <w:br w:type="textWrapping"/>
            </w:r>
            <w:r>
              <w:rPr>
                <w:rFonts w:hint="eastAsia" w:ascii="宋体" w:hAnsi="宋体" w:cs="宋体"/>
              </w:rPr>
              <w:t>4</w:t>
            </w:r>
            <w:r>
              <w:rPr>
                <w:rFonts w:hint="eastAsia" w:ascii="宋体" w:hAnsi="宋体" w:cs="宋体"/>
              </w:rPr>
              <w:br w:type="textWrapping"/>
            </w:r>
            <w:r>
              <w:rPr>
                <w:rFonts w:hint="eastAsia" w:ascii="宋体" w:hAnsi="宋体" w:cs="宋体"/>
              </w:rPr>
              <w:t>5</w:t>
            </w:r>
          </w:p>
        </w:tc>
        <w:tc>
          <w:tcPr>
            <w:tcW w:w="999" w:type="pct"/>
          </w:tcPr>
          <w:p w14:paraId="5F7E304B">
            <w:pPr>
              <w:jc w:val="center"/>
              <w:rPr>
                <w:rFonts w:ascii="宋体" w:hAnsi="宋体" w:cs="宋体"/>
              </w:rPr>
            </w:pPr>
            <w:r>
              <w:rPr>
                <w:rFonts w:hint="eastAsia" w:ascii="宋体" w:hAnsi="宋体" w:cs="宋体"/>
              </w:rPr>
              <w:t>30000</w:t>
            </w:r>
            <w:r>
              <w:rPr>
                <w:rFonts w:hint="eastAsia" w:ascii="宋体" w:hAnsi="宋体" w:cs="宋体"/>
              </w:rPr>
              <w:br w:type="textWrapping"/>
            </w:r>
            <w:r>
              <w:rPr>
                <w:rFonts w:hint="eastAsia" w:ascii="宋体" w:hAnsi="宋体" w:cs="宋体"/>
              </w:rPr>
              <w:t>35000</w:t>
            </w:r>
            <w:r>
              <w:rPr>
                <w:rFonts w:hint="eastAsia" w:ascii="宋体" w:hAnsi="宋体" w:cs="宋体"/>
              </w:rPr>
              <w:br w:type="textWrapping"/>
            </w:r>
            <w:r>
              <w:rPr>
                <w:rFonts w:hint="eastAsia" w:ascii="宋体" w:hAnsi="宋体" w:cs="宋体"/>
              </w:rPr>
              <w:t>60000</w:t>
            </w:r>
            <w:r>
              <w:rPr>
                <w:rFonts w:hint="eastAsia" w:ascii="宋体" w:hAnsi="宋体" w:cs="宋体"/>
              </w:rPr>
              <w:br w:type="textWrapping"/>
            </w:r>
            <w:r>
              <w:rPr>
                <w:rFonts w:hint="eastAsia" w:ascii="宋体" w:hAnsi="宋体" w:cs="宋体"/>
              </w:rPr>
              <w:t>50000</w:t>
            </w:r>
            <w:r>
              <w:rPr>
                <w:rFonts w:hint="eastAsia" w:ascii="宋体" w:hAnsi="宋体" w:cs="宋体"/>
              </w:rPr>
              <w:br w:type="textWrapping"/>
            </w:r>
            <w:r>
              <w:rPr>
                <w:rFonts w:hint="eastAsia" w:ascii="宋体" w:hAnsi="宋体" w:cs="宋体"/>
              </w:rPr>
              <w:t>40000</w:t>
            </w:r>
          </w:p>
        </w:tc>
        <w:tc>
          <w:tcPr>
            <w:tcW w:w="999" w:type="pct"/>
          </w:tcPr>
          <w:p w14:paraId="7B2571BD">
            <w:pPr>
              <w:jc w:val="center"/>
              <w:rPr>
                <w:rFonts w:ascii="宋体" w:hAnsi="宋体" w:cs="宋体"/>
              </w:rPr>
            </w:pPr>
            <w:r>
              <w:rPr>
                <w:rFonts w:hint="eastAsia" w:ascii="宋体" w:hAnsi="宋体" w:cs="宋体"/>
              </w:rPr>
              <w:t>30000</w:t>
            </w:r>
            <w:r>
              <w:rPr>
                <w:rFonts w:hint="eastAsia" w:ascii="宋体" w:hAnsi="宋体" w:cs="宋体"/>
              </w:rPr>
              <w:br w:type="textWrapping"/>
            </w:r>
            <w:r>
              <w:rPr>
                <w:rFonts w:hint="eastAsia" w:ascii="宋体" w:hAnsi="宋体" w:cs="宋体"/>
              </w:rPr>
              <w:t>65000</w:t>
            </w:r>
            <w:r>
              <w:rPr>
                <w:rFonts w:hint="eastAsia" w:ascii="宋体" w:hAnsi="宋体" w:cs="宋体"/>
              </w:rPr>
              <w:br w:type="textWrapping"/>
            </w:r>
            <w:r>
              <w:rPr>
                <w:rFonts w:hint="eastAsia" w:ascii="宋体" w:hAnsi="宋体" w:cs="宋体"/>
              </w:rPr>
              <w:t>125000</w:t>
            </w:r>
            <w:r>
              <w:rPr>
                <w:rFonts w:hint="eastAsia" w:ascii="宋体" w:hAnsi="宋体" w:cs="宋体"/>
              </w:rPr>
              <w:br w:type="textWrapping"/>
            </w:r>
            <w:r>
              <w:rPr>
                <w:rFonts w:hint="eastAsia" w:ascii="宋体" w:hAnsi="宋体" w:cs="宋体"/>
              </w:rPr>
              <w:t>175000</w:t>
            </w:r>
            <w:r>
              <w:rPr>
                <w:rFonts w:hint="eastAsia" w:ascii="宋体" w:hAnsi="宋体" w:cs="宋体"/>
              </w:rPr>
              <w:br w:type="textWrapping"/>
            </w:r>
            <w:r>
              <w:rPr>
                <w:rFonts w:hint="eastAsia" w:ascii="宋体" w:hAnsi="宋体" w:cs="宋体"/>
              </w:rPr>
              <w:t>215000</w:t>
            </w:r>
          </w:p>
        </w:tc>
        <w:tc>
          <w:tcPr>
            <w:tcW w:w="1000" w:type="pct"/>
          </w:tcPr>
          <w:p w14:paraId="4739760C">
            <w:pPr>
              <w:jc w:val="center"/>
              <w:rPr>
                <w:rFonts w:ascii="宋体" w:hAnsi="宋体" w:cs="宋体"/>
              </w:rPr>
            </w:pPr>
            <w:r>
              <w:rPr>
                <w:rFonts w:hint="eastAsia" w:ascii="宋体" w:hAnsi="宋体" w:cs="宋体"/>
              </w:rPr>
              <w:t>28560</w:t>
            </w:r>
            <w:r>
              <w:rPr>
                <w:rFonts w:hint="eastAsia" w:ascii="宋体" w:hAnsi="宋体" w:cs="宋体"/>
              </w:rPr>
              <w:br w:type="textWrapping"/>
            </w:r>
            <w:r>
              <w:rPr>
                <w:rFonts w:hint="eastAsia" w:ascii="宋体" w:hAnsi="宋体" w:cs="宋体"/>
              </w:rPr>
              <w:t>31745</w:t>
            </w:r>
            <w:r>
              <w:rPr>
                <w:rFonts w:hint="eastAsia" w:ascii="宋体" w:hAnsi="宋体" w:cs="宋体"/>
              </w:rPr>
              <w:br w:type="textWrapping"/>
            </w:r>
            <w:r>
              <w:rPr>
                <w:rFonts w:hint="eastAsia" w:ascii="宋体" w:hAnsi="宋体" w:cs="宋体"/>
              </w:rPr>
              <w:t>51840</w:t>
            </w:r>
            <w:r>
              <w:rPr>
                <w:rFonts w:hint="eastAsia" w:ascii="宋体" w:hAnsi="宋体" w:cs="宋体"/>
              </w:rPr>
              <w:br w:type="textWrapping"/>
            </w:r>
            <w:r>
              <w:rPr>
                <w:rFonts w:hint="eastAsia" w:ascii="宋体" w:hAnsi="宋体" w:cs="宋体"/>
              </w:rPr>
              <w:t>41150</w:t>
            </w:r>
            <w:r>
              <w:rPr>
                <w:rFonts w:hint="eastAsia" w:ascii="宋体" w:hAnsi="宋体" w:cs="宋体"/>
              </w:rPr>
              <w:br w:type="textWrapping"/>
            </w:r>
            <w:r>
              <w:rPr>
                <w:rFonts w:hint="eastAsia" w:ascii="宋体" w:hAnsi="宋体" w:cs="宋体"/>
              </w:rPr>
              <w:t>31360</w:t>
            </w:r>
          </w:p>
        </w:tc>
        <w:tc>
          <w:tcPr>
            <w:tcW w:w="1000" w:type="pct"/>
          </w:tcPr>
          <w:p w14:paraId="5545416A">
            <w:pPr>
              <w:jc w:val="center"/>
              <w:rPr>
                <w:rFonts w:ascii="宋体" w:hAnsi="宋体" w:cs="宋体"/>
              </w:rPr>
            </w:pPr>
            <w:r>
              <w:rPr>
                <w:rFonts w:hint="eastAsia" w:ascii="宋体" w:hAnsi="宋体" w:cs="宋体"/>
              </w:rPr>
              <w:t>28560</w:t>
            </w:r>
            <w:r>
              <w:rPr>
                <w:rFonts w:hint="eastAsia" w:ascii="宋体" w:hAnsi="宋体" w:cs="宋体"/>
              </w:rPr>
              <w:br w:type="textWrapping"/>
            </w:r>
            <w:r>
              <w:rPr>
                <w:rFonts w:hint="eastAsia" w:ascii="宋体" w:hAnsi="宋体" w:cs="宋体"/>
              </w:rPr>
              <w:t>60305</w:t>
            </w:r>
            <w:r>
              <w:rPr>
                <w:rFonts w:hint="eastAsia" w:ascii="宋体" w:hAnsi="宋体" w:cs="宋体"/>
              </w:rPr>
              <w:br w:type="textWrapping"/>
            </w:r>
            <w:r>
              <w:rPr>
                <w:rFonts w:hint="eastAsia" w:ascii="宋体" w:hAnsi="宋体" w:cs="宋体"/>
              </w:rPr>
              <w:t>112145</w:t>
            </w:r>
            <w:r>
              <w:rPr>
                <w:rFonts w:hint="eastAsia" w:ascii="宋体" w:hAnsi="宋体" w:cs="宋体"/>
              </w:rPr>
              <w:br w:type="textWrapping"/>
            </w:r>
            <w:r>
              <w:rPr>
                <w:rFonts w:hint="eastAsia" w:ascii="宋体" w:hAnsi="宋体" w:cs="宋体"/>
              </w:rPr>
              <w:t>153295</w:t>
            </w:r>
            <w:r>
              <w:rPr>
                <w:rFonts w:hint="eastAsia" w:ascii="宋体" w:hAnsi="宋体" w:cs="宋体"/>
              </w:rPr>
              <w:br w:type="textWrapping"/>
            </w:r>
            <w:r>
              <w:rPr>
                <w:rFonts w:hint="eastAsia" w:ascii="宋体" w:hAnsi="宋体" w:cs="宋体"/>
              </w:rPr>
              <w:t>184655</w:t>
            </w:r>
          </w:p>
        </w:tc>
      </w:tr>
    </w:tbl>
    <w:p w14:paraId="2931A6E9">
      <w:pPr>
        <w:jc w:val="left"/>
        <w:rPr>
          <w:rFonts w:ascii="宋体" w:hAnsi="宋体" w:cs="宋体"/>
        </w:rPr>
      </w:pPr>
      <w:r>
        <w:rPr>
          <w:rFonts w:hint="eastAsia" w:ascii="宋体" w:hAnsi="宋体" w:cs="宋体"/>
        </w:rPr>
        <w:t>从表的累计现金净流量栏中可见，该投资项目的动态回收期也在第3年与第4年之间。为了计算较为准确的动态回收期，采用以下方法计算：</w:t>
      </w:r>
    </w:p>
    <w:p w14:paraId="127BB90A">
      <w:pPr>
        <w:jc w:val="left"/>
        <w:rPr>
          <w:rFonts w:ascii="宋体" w:hAnsi="宋体" w:cs="宋体"/>
        </w:rPr>
      </w:pPr>
      <w:r>
        <w:rPr>
          <w:rFonts w:hint="eastAsia" w:ascii="宋体" w:hAnsi="宋体" w:cs="宋体"/>
        </w:rPr>
        <w:t>项目回收期＝3＋（150000－112145）/41150＝3.92（年）</w:t>
      </w:r>
    </w:p>
    <w:p w14:paraId="6790FB86">
      <w:pPr>
        <w:jc w:val="left"/>
        <w:rPr>
          <w:rFonts w:ascii="宋体" w:hAnsi="宋体" w:cs="宋体"/>
        </w:rPr>
      </w:pPr>
    </w:p>
    <w:p w14:paraId="5C906573">
      <w:pPr>
        <w:jc w:val="left"/>
        <w:rPr>
          <w:rFonts w:ascii="宋体" w:hAnsi="宋体" w:cs="宋体"/>
        </w:rPr>
      </w:pPr>
      <w:r>
        <w:rPr>
          <w:rFonts w:hint="eastAsia" w:ascii="宋体" w:hAnsi="宋体" w:cs="宋体"/>
        </w:rPr>
        <w:t>【单选题】（2020年）采用静态回收期法进行项目评价时，下列表述错误的是（  ）。</w:t>
      </w:r>
    </w:p>
    <w:p w14:paraId="1CFE89C5">
      <w:pPr>
        <w:jc w:val="left"/>
        <w:rPr>
          <w:rFonts w:ascii="宋体" w:hAnsi="宋体" w:cs="宋体"/>
        </w:rPr>
      </w:pPr>
      <w:r>
        <w:rPr>
          <w:rFonts w:hint="eastAsia" w:ascii="宋体" w:hAnsi="宋体" w:cs="宋体"/>
        </w:rPr>
        <w:t>A.若每年现金净流量相等，则静态回收期等于原始投资额除以每年现金净流量</w:t>
      </w:r>
    </w:p>
    <w:p w14:paraId="3CCC401D">
      <w:pPr>
        <w:jc w:val="left"/>
        <w:rPr>
          <w:rFonts w:ascii="宋体" w:hAnsi="宋体" w:cs="宋体"/>
        </w:rPr>
      </w:pPr>
      <w:r>
        <w:rPr>
          <w:rFonts w:hint="eastAsia" w:ascii="宋体" w:hAnsi="宋体" w:cs="宋体"/>
        </w:rPr>
        <w:t>B.静态回收期法没有考虑资金时间价值</w:t>
      </w:r>
    </w:p>
    <w:p w14:paraId="51053B68">
      <w:pPr>
        <w:jc w:val="left"/>
        <w:rPr>
          <w:rFonts w:ascii="宋体" w:hAnsi="宋体" w:cs="宋体"/>
        </w:rPr>
      </w:pPr>
      <w:r>
        <w:rPr>
          <w:rFonts w:hint="eastAsia" w:ascii="宋体" w:hAnsi="宋体" w:cs="宋体"/>
        </w:rPr>
        <w:t>C.若每年现金净流量不相等，则无法计算静态回收期</w:t>
      </w:r>
    </w:p>
    <w:p w14:paraId="3B51309A">
      <w:pPr>
        <w:jc w:val="left"/>
        <w:rPr>
          <w:rFonts w:ascii="宋体" w:hAnsi="宋体" w:cs="宋体"/>
        </w:rPr>
      </w:pPr>
      <w:r>
        <w:rPr>
          <w:rFonts w:hint="eastAsia" w:ascii="宋体" w:hAnsi="宋体" w:cs="宋体"/>
        </w:rPr>
        <w:t>D.静态回收期法没有考虑回收期后的现金流量</w:t>
      </w:r>
    </w:p>
    <w:p w14:paraId="69601AC6">
      <w:pPr>
        <w:jc w:val="left"/>
        <w:rPr>
          <w:rFonts w:ascii="宋体" w:hAnsi="宋体" w:cs="宋体"/>
        </w:rPr>
      </w:pPr>
      <w:r>
        <w:rPr>
          <w:rFonts w:hint="eastAsia" w:ascii="宋体" w:hAnsi="宋体" w:cs="宋体"/>
        </w:rPr>
        <w:t>答案：C</w:t>
      </w:r>
    </w:p>
    <w:p w14:paraId="08CE64B2">
      <w:pPr>
        <w:jc w:val="left"/>
        <w:rPr>
          <w:rFonts w:ascii="宋体" w:hAnsi="宋体" w:cs="宋体"/>
        </w:rPr>
      </w:pPr>
      <w:r>
        <w:rPr>
          <w:rFonts w:hint="eastAsia" w:ascii="宋体" w:hAnsi="宋体" w:cs="宋体"/>
        </w:rPr>
        <w:t>解析：每年现金净流量不相等的静态回收期可以计算出来，在每年现金净流量不相等的前提下，设M是收回原始投资额的前一年，则静态回收期＝M＋第M年的尚未回收额／第（M＋1）年的现金净流量，所以选项C的表述错误。</w:t>
      </w:r>
    </w:p>
    <w:p w14:paraId="662A6A9D">
      <w:pPr>
        <w:overflowPunct w:val="0"/>
        <w:jc w:val="left"/>
        <w:rPr>
          <w:rFonts w:ascii="宋体" w:hAnsi="宋体" w:cs="宋体"/>
        </w:rPr>
      </w:pPr>
    </w:p>
    <w:p w14:paraId="2F83D69C">
      <w:pPr>
        <w:overflowPunct w:val="0"/>
        <w:jc w:val="left"/>
        <w:rPr>
          <w:rFonts w:hint="eastAsia" w:ascii="宋体" w:hAnsi="宋体" w:cs="宋体"/>
        </w:rPr>
      </w:pPr>
      <w:r>
        <w:rPr>
          <w:rFonts w:hint="eastAsia" w:ascii="宋体" w:hAnsi="宋体" w:cs="宋体"/>
        </w:rPr>
        <w:drawing>
          <wp:inline distT="0" distB="0" distL="114300" distR="114300">
            <wp:extent cx="5207000" cy="3548380"/>
            <wp:effectExtent l="0" t="0" r="12700" b="139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07000" cy="3548380"/>
                    </a:xfrm>
                    <a:prstGeom prst="rect">
                      <a:avLst/>
                    </a:prstGeom>
                    <a:noFill/>
                    <a:ln>
                      <a:noFill/>
                    </a:ln>
                  </pic:spPr>
                </pic:pic>
              </a:graphicData>
            </a:graphic>
          </wp:inline>
        </w:drawing>
      </w:r>
    </w:p>
    <w:p w14:paraId="363AFD77">
      <w:pPr>
        <w:overflowPunct w:val="0"/>
        <w:jc w:val="center"/>
        <w:rPr>
          <w:rFonts w:ascii="宋体" w:hAnsi="宋体" w:cs="宋体"/>
          <w:b/>
          <w:bCs/>
        </w:rPr>
      </w:pPr>
      <w:r>
        <w:rPr>
          <w:rFonts w:hint="eastAsia" w:ascii="宋体" w:hAnsi="宋体" w:cs="宋体"/>
          <w:b/>
          <w:bCs/>
        </w:rPr>
        <w:t>第三节  项目投资管理</w:t>
      </w:r>
    </w:p>
    <w:p w14:paraId="138C55FA">
      <w:pPr>
        <w:jc w:val="left"/>
        <w:rPr>
          <w:rFonts w:ascii="宋体" w:hAnsi="宋体" w:cs="宋体"/>
          <w:color w:val="FF0000"/>
        </w:rPr>
      </w:pPr>
      <w:r>
        <w:rPr>
          <w:rFonts w:hint="eastAsia" w:ascii="宋体" w:hAnsi="宋体" w:cs="宋体"/>
          <w:color w:val="FF0000"/>
        </w:rPr>
        <w:t>【知识点1】独立投资方案的决策</w:t>
      </w:r>
    </w:p>
    <w:p w14:paraId="6886086F">
      <w:pPr>
        <w:jc w:val="left"/>
        <w:rPr>
          <w:rFonts w:ascii="宋体" w:hAnsi="宋体" w:cs="宋体"/>
        </w:rPr>
      </w:pPr>
      <w:r>
        <w:rPr>
          <w:rFonts w:hint="eastAsia" w:ascii="宋体" w:hAnsi="宋体" w:cs="宋体"/>
        </w:rPr>
        <w:t>独立投资方案，是指两个或两个以上项目互不依赖，可以同时存在，各方案的决策是独立的。独立投资方案的决策属于筛分决策，评价各方案本身是否可行，即方案本身是否达到某种要求的可行性标准。</w:t>
      </w:r>
    </w:p>
    <w:p w14:paraId="3A2F01FD">
      <w:pPr>
        <w:jc w:val="left"/>
        <w:rPr>
          <w:rFonts w:ascii="宋体" w:hAnsi="宋体" w:cs="宋体"/>
        </w:rPr>
      </w:pPr>
      <w:r>
        <w:rPr>
          <w:rFonts w:hint="eastAsia" w:ascii="宋体" w:hAnsi="宋体" w:cs="宋体"/>
        </w:rPr>
        <w:t>决策标准：排序分析时，以各独立方案的获利程度作为评价标准，一般采用内含收益率进行比较决策。</w:t>
      </w:r>
    </w:p>
    <w:p w14:paraId="0664F9E6">
      <w:pPr>
        <w:jc w:val="left"/>
        <w:rPr>
          <w:rFonts w:ascii="宋体" w:hAnsi="宋体" w:cs="宋体"/>
        </w:rPr>
      </w:pPr>
      <w:r>
        <w:rPr>
          <w:rFonts w:hint="eastAsia" w:ascii="宋体" w:hAnsi="宋体" w:cs="宋体"/>
        </w:rPr>
        <w:t xml:space="preserve">【例】某企业有足够的资金准备投资于三个独立投资项目。A项目投资额10000元，期限5年；B项目原始投资额18000元，期限5年；C项目原始投资额18000元，期限8年。贴现率为10%，其他有关资料如表所示。问：如何安排投资顺序？ </w:t>
      </w:r>
    </w:p>
    <w:p w14:paraId="7E86999A">
      <w:pPr>
        <w:jc w:val="center"/>
        <w:rPr>
          <w:rFonts w:hint="eastAsia" w:ascii="宋体" w:hAnsi="宋体" w:cs="宋体"/>
        </w:rPr>
      </w:pPr>
      <w:r>
        <w:rPr>
          <w:rFonts w:hint="eastAsia" w:ascii="宋体" w:hAnsi="宋体" w:cs="宋体"/>
        </w:rPr>
        <w:t>独立投资方案的可行性指标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33"/>
        <w:gridCol w:w="2533"/>
        <w:gridCol w:w="2535"/>
        <w:gridCol w:w="2535"/>
      </w:tblGrid>
      <w:tr w14:paraId="2885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0B69906">
            <w:pPr>
              <w:jc w:val="left"/>
              <w:rPr>
                <w:rFonts w:ascii="宋体" w:hAnsi="宋体" w:cs="宋体"/>
              </w:rPr>
            </w:pPr>
            <w:r>
              <w:rPr>
                <w:rFonts w:hint="eastAsia" w:ascii="宋体" w:hAnsi="宋体" w:cs="宋体"/>
              </w:rPr>
              <w:t>项目</w:t>
            </w:r>
          </w:p>
        </w:tc>
        <w:tc>
          <w:tcPr>
            <w:tcW w:w="1249" w:type="pct"/>
          </w:tcPr>
          <w:p w14:paraId="5C09875A">
            <w:pPr>
              <w:jc w:val="left"/>
              <w:rPr>
                <w:rFonts w:ascii="宋体" w:hAnsi="宋体" w:cs="宋体"/>
              </w:rPr>
            </w:pPr>
            <w:r>
              <w:rPr>
                <w:rFonts w:hint="eastAsia" w:ascii="宋体" w:hAnsi="宋体" w:cs="宋体"/>
              </w:rPr>
              <w:t>Ａ项目</w:t>
            </w:r>
          </w:p>
        </w:tc>
        <w:tc>
          <w:tcPr>
            <w:tcW w:w="1250" w:type="pct"/>
          </w:tcPr>
          <w:p w14:paraId="06253567">
            <w:pPr>
              <w:jc w:val="left"/>
              <w:rPr>
                <w:rFonts w:ascii="宋体" w:hAnsi="宋体" w:cs="宋体"/>
              </w:rPr>
            </w:pPr>
            <w:r>
              <w:rPr>
                <w:rFonts w:hint="eastAsia" w:ascii="宋体" w:hAnsi="宋体" w:cs="宋体"/>
              </w:rPr>
              <w:t>Ｂ项目</w:t>
            </w:r>
          </w:p>
        </w:tc>
        <w:tc>
          <w:tcPr>
            <w:tcW w:w="1250" w:type="pct"/>
          </w:tcPr>
          <w:p w14:paraId="387756EB">
            <w:pPr>
              <w:jc w:val="left"/>
              <w:rPr>
                <w:rFonts w:ascii="宋体" w:hAnsi="宋体" w:cs="宋体"/>
              </w:rPr>
            </w:pPr>
            <w:r>
              <w:rPr>
                <w:rFonts w:hint="eastAsia" w:ascii="宋体" w:hAnsi="宋体" w:cs="宋体"/>
              </w:rPr>
              <w:t>Ｃ项目</w:t>
            </w:r>
          </w:p>
        </w:tc>
      </w:tr>
      <w:tr w14:paraId="6A76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67ABBAA">
            <w:pPr>
              <w:jc w:val="left"/>
              <w:rPr>
                <w:rFonts w:ascii="宋体" w:hAnsi="宋体" w:cs="宋体"/>
              </w:rPr>
            </w:pPr>
            <w:r>
              <w:rPr>
                <w:rFonts w:hint="eastAsia" w:ascii="宋体" w:hAnsi="宋体" w:cs="宋体"/>
              </w:rPr>
              <w:t>原始投资额现值</w:t>
            </w:r>
          </w:p>
        </w:tc>
        <w:tc>
          <w:tcPr>
            <w:tcW w:w="1249" w:type="pct"/>
          </w:tcPr>
          <w:p w14:paraId="52AEEF8E">
            <w:pPr>
              <w:jc w:val="left"/>
              <w:rPr>
                <w:rFonts w:ascii="宋体" w:hAnsi="宋体" w:cs="宋体"/>
              </w:rPr>
            </w:pPr>
            <w:r>
              <w:rPr>
                <w:rFonts w:hint="eastAsia" w:ascii="宋体" w:hAnsi="宋体" w:cs="宋体"/>
              </w:rPr>
              <w:t>（10000）</w:t>
            </w:r>
          </w:p>
        </w:tc>
        <w:tc>
          <w:tcPr>
            <w:tcW w:w="1250" w:type="pct"/>
          </w:tcPr>
          <w:p w14:paraId="14921E0D">
            <w:pPr>
              <w:jc w:val="left"/>
              <w:rPr>
                <w:rFonts w:ascii="宋体" w:hAnsi="宋体" w:cs="宋体"/>
              </w:rPr>
            </w:pPr>
            <w:r>
              <w:rPr>
                <w:rFonts w:hint="eastAsia" w:ascii="宋体" w:hAnsi="宋体" w:cs="宋体"/>
              </w:rPr>
              <w:t>（18000）</w:t>
            </w:r>
          </w:p>
        </w:tc>
        <w:tc>
          <w:tcPr>
            <w:tcW w:w="1250" w:type="pct"/>
          </w:tcPr>
          <w:p w14:paraId="63B841CA">
            <w:pPr>
              <w:jc w:val="left"/>
              <w:rPr>
                <w:rFonts w:ascii="宋体" w:hAnsi="宋体" w:cs="宋体"/>
              </w:rPr>
            </w:pPr>
            <w:r>
              <w:rPr>
                <w:rFonts w:hint="eastAsia" w:ascii="宋体" w:hAnsi="宋体" w:cs="宋体"/>
              </w:rPr>
              <w:t>（18000）</w:t>
            </w:r>
          </w:p>
        </w:tc>
      </w:tr>
      <w:tr w14:paraId="43E7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212325A9">
            <w:pPr>
              <w:jc w:val="left"/>
              <w:rPr>
                <w:rFonts w:ascii="宋体" w:hAnsi="宋体" w:cs="宋体"/>
              </w:rPr>
            </w:pPr>
            <w:r>
              <w:rPr>
                <w:rFonts w:hint="eastAsia" w:ascii="宋体" w:hAnsi="宋体" w:cs="宋体"/>
              </w:rPr>
              <w:t>每年NCF</w:t>
            </w:r>
          </w:p>
        </w:tc>
        <w:tc>
          <w:tcPr>
            <w:tcW w:w="1249" w:type="pct"/>
          </w:tcPr>
          <w:p w14:paraId="738C3485">
            <w:pPr>
              <w:jc w:val="left"/>
              <w:rPr>
                <w:rFonts w:ascii="宋体" w:hAnsi="宋体" w:cs="宋体"/>
              </w:rPr>
            </w:pPr>
            <w:r>
              <w:rPr>
                <w:rFonts w:hint="eastAsia" w:ascii="宋体" w:hAnsi="宋体" w:cs="宋体"/>
              </w:rPr>
              <w:t>4000</w:t>
            </w:r>
          </w:p>
        </w:tc>
        <w:tc>
          <w:tcPr>
            <w:tcW w:w="1250" w:type="pct"/>
          </w:tcPr>
          <w:p w14:paraId="29C2352D">
            <w:pPr>
              <w:jc w:val="left"/>
              <w:rPr>
                <w:rFonts w:ascii="宋体" w:hAnsi="宋体" w:cs="宋体"/>
              </w:rPr>
            </w:pPr>
            <w:r>
              <w:rPr>
                <w:rFonts w:hint="eastAsia" w:ascii="宋体" w:hAnsi="宋体" w:cs="宋体"/>
              </w:rPr>
              <w:t>6500</w:t>
            </w:r>
          </w:p>
        </w:tc>
        <w:tc>
          <w:tcPr>
            <w:tcW w:w="1250" w:type="pct"/>
          </w:tcPr>
          <w:p w14:paraId="5F0B04DC">
            <w:pPr>
              <w:jc w:val="left"/>
              <w:rPr>
                <w:rFonts w:ascii="宋体" w:hAnsi="宋体" w:cs="宋体"/>
              </w:rPr>
            </w:pPr>
            <w:r>
              <w:rPr>
                <w:rFonts w:hint="eastAsia" w:ascii="宋体" w:hAnsi="宋体" w:cs="宋体"/>
              </w:rPr>
              <w:t>5000</w:t>
            </w:r>
          </w:p>
        </w:tc>
      </w:tr>
      <w:tr w14:paraId="01B7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3871E1E1">
            <w:pPr>
              <w:jc w:val="left"/>
              <w:rPr>
                <w:rFonts w:ascii="宋体" w:hAnsi="宋体" w:cs="宋体"/>
              </w:rPr>
            </w:pPr>
            <w:r>
              <w:rPr>
                <w:rFonts w:hint="eastAsia" w:ascii="宋体" w:hAnsi="宋体" w:cs="宋体"/>
              </w:rPr>
              <w:t>期限</w:t>
            </w:r>
          </w:p>
        </w:tc>
        <w:tc>
          <w:tcPr>
            <w:tcW w:w="1249" w:type="pct"/>
          </w:tcPr>
          <w:p w14:paraId="10A2A3DD">
            <w:pPr>
              <w:jc w:val="left"/>
              <w:rPr>
                <w:rFonts w:ascii="宋体" w:hAnsi="宋体" w:cs="宋体"/>
              </w:rPr>
            </w:pPr>
            <w:r>
              <w:rPr>
                <w:rFonts w:hint="eastAsia" w:ascii="宋体" w:hAnsi="宋体" w:cs="宋体"/>
              </w:rPr>
              <w:t>5年</w:t>
            </w:r>
          </w:p>
        </w:tc>
        <w:tc>
          <w:tcPr>
            <w:tcW w:w="1250" w:type="pct"/>
          </w:tcPr>
          <w:p w14:paraId="1138D642">
            <w:pPr>
              <w:jc w:val="left"/>
              <w:rPr>
                <w:rFonts w:ascii="宋体" w:hAnsi="宋体" w:cs="宋体"/>
              </w:rPr>
            </w:pPr>
            <w:r>
              <w:rPr>
                <w:rFonts w:hint="eastAsia" w:ascii="宋体" w:hAnsi="宋体" w:cs="宋体"/>
              </w:rPr>
              <w:t>5年</w:t>
            </w:r>
          </w:p>
        </w:tc>
        <w:tc>
          <w:tcPr>
            <w:tcW w:w="1250" w:type="pct"/>
          </w:tcPr>
          <w:p w14:paraId="3B979B92">
            <w:pPr>
              <w:jc w:val="left"/>
              <w:rPr>
                <w:rFonts w:ascii="宋体" w:hAnsi="宋体" w:cs="宋体"/>
              </w:rPr>
            </w:pPr>
            <w:r>
              <w:rPr>
                <w:rFonts w:hint="eastAsia" w:ascii="宋体" w:hAnsi="宋体" w:cs="宋体"/>
              </w:rPr>
              <w:t>8年</w:t>
            </w:r>
          </w:p>
        </w:tc>
      </w:tr>
      <w:tr w14:paraId="716A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2CECA410">
            <w:pPr>
              <w:jc w:val="left"/>
              <w:rPr>
                <w:rFonts w:ascii="宋体" w:hAnsi="宋体" w:cs="宋体"/>
              </w:rPr>
            </w:pPr>
            <w:r>
              <w:rPr>
                <w:rFonts w:hint="eastAsia" w:ascii="宋体" w:hAnsi="宋体" w:cs="宋体"/>
              </w:rPr>
              <w:t>净现值（NPV）</w:t>
            </w:r>
          </w:p>
        </w:tc>
        <w:tc>
          <w:tcPr>
            <w:tcW w:w="1249" w:type="pct"/>
          </w:tcPr>
          <w:p w14:paraId="55000C00">
            <w:pPr>
              <w:jc w:val="left"/>
              <w:rPr>
                <w:rFonts w:ascii="宋体" w:hAnsi="宋体" w:cs="宋体"/>
              </w:rPr>
            </w:pPr>
            <w:r>
              <w:rPr>
                <w:rFonts w:hint="eastAsia" w:ascii="宋体" w:hAnsi="宋体" w:cs="宋体"/>
              </w:rPr>
              <w:t>+5164</w:t>
            </w:r>
          </w:p>
        </w:tc>
        <w:tc>
          <w:tcPr>
            <w:tcW w:w="1250" w:type="pct"/>
          </w:tcPr>
          <w:p w14:paraId="27C1AAD4">
            <w:pPr>
              <w:jc w:val="left"/>
              <w:rPr>
                <w:rFonts w:ascii="宋体" w:hAnsi="宋体" w:cs="宋体"/>
              </w:rPr>
            </w:pPr>
            <w:r>
              <w:rPr>
                <w:rFonts w:hint="eastAsia" w:ascii="宋体" w:hAnsi="宋体" w:cs="宋体"/>
              </w:rPr>
              <w:t>+6642</w:t>
            </w:r>
          </w:p>
        </w:tc>
        <w:tc>
          <w:tcPr>
            <w:tcW w:w="1250" w:type="pct"/>
          </w:tcPr>
          <w:p w14:paraId="56BB9B6D">
            <w:pPr>
              <w:jc w:val="left"/>
              <w:rPr>
                <w:rFonts w:ascii="宋体" w:hAnsi="宋体" w:cs="宋体"/>
              </w:rPr>
            </w:pPr>
            <w:r>
              <w:rPr>
                <w:rFonts w:hint="eastAsia" w:ascii="宋体" w:hAnsi="宋体" w:cs="宋体"/>
              </w:rPr>
              <w:t>+8675</w:t>
            </w:r>
          </w:p>
        </w:tc>
      </w:tr>
      <w:tr w14:paraId="50BC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68B7D10">
            <w:pPr>
              <w:jc w:val="left"/>
              <w:rPr>
                <w:rFonts w:ascii="宋体" w:hAnsi="宋体" w:cs="宋体"/>
              </w:rPr>
            </w:pPr>
            <w:r>
              <w:rPr>
                <w:rFonts w:hint="eastAsia" w:ascii="宋体" w:hAnsi="宋体" w:cs="宋体"/>
              </w:rPr>
              <w:t>现值指数（PVI）</w:t>
            </w:r>
          </w:p>
        </w:tc>
        <w:tc>
          <w:tcPr>
            <w:tcW w:w="1249" w:type="pct"/>
          </w:tcPr>
          <w:p w14:paraId="5C84033D">
            <w:pPr>
              <w:jc w:val="left"/>
              <w:rPr>
                <w:rFonts w:ascii="宋体" w:hAnsi="宋体" w:cs="宋体"/>
              </w:rPr>
            </w:pPr>
            <w:r>
              <w:rPr>
                <w:rFonts w:hint="eastAsia" w:ascii="宋体" w:hAnsi="宋体" w:cs="宋体"/>
              </w:rPr>
              <w:t>1.52</w:t>
            </w:r>
          </w:p>
        </w:tc>
        <w:tc>
          <w:tcPr>
            <w:tcW w:w="1250" w:type="pct"/>
          </w:tcPr>
          <w:p w14:paraId="77E40E99">
            <w:pPr>
              <w:jc w:val="left"/>
              <w:rPr>
                <w:rFonts w:ascii="宋体" w:hAnsi="宋体" w:cs="宋体"/>
              </w:rPr>
            </w:pPr>
            <w:r>
              <w:rPr>
                <w:rFonts w:hint="eastAsia" w:ascii="宋体" w:hAnsi="宋体" w:cs="宋体"/>
              </w:rPr>
              <w:t>1.37</w:t>
            </w:r>
          </w:p>
        </w:tc>
        <w:tc>
          <w:tcPr>
            <w:tcW w:w="1250" w:type="pct"/>
          </w:tcPr>
          <w:p w14:paraId="7F4E4CE2">
            <w:pPr>
              <w:jc w:val="left"/>
              <w:rPr>
                <w:rFonts w:ascii="宋体" w:hAnsi="宋体" w:cs="宋体"/>
              </w:rPr>
            </w:pPr>
            <w:r>
              <w:rPr>
                <w:rFonts w:hint="eastAsia" w:ascii="宋体" w:hAnsi="宋体" w:cs="宋体"/>
              </w:rPr>
              <w:t>1.48</w:t>
            </w:r>
          </w:p>
        </w:tc>
      </w:tr>
      <w:tr w14:paraId="69B1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08322A44">
            <w:pPr>
              <w:jc w:val="left"/>
              <w:rPr>
                <w:rFonts w:ascii="宋体" w:hAnsi="宋体" w:cs="宋体"/>
              </w:rPr>
            </w:pPr>
            <w:r>
              <w:rPr>
                <w:rFonts w:hint="eastAsia" w:ascii="宋体" w:hAnsi="宋体" w:cs="宋体"/>
              </w:rPr>
              <w:t>内含收益率（IRR）</w:t>
            </w:r>
          </w:p>
        </w:tc>
        <w:tc>
          <w:tcPr>
            <w:tcW w:w="1249" w:type="pct"/>
          </w:tcPr>
          <w:p w14:paraId="5DA61E1D">
            <w:pPr>
              <w:jc w:val="left"/>
              <w:rPr>
                <w:rFonts w:ascii="宋体" w:hAnsi="宋体" w:cs="宋体"/>
              </w:rPr>
            </w:pPr>
            <w:r>
              <w:rPr>
                <w:rFonts w:hint="eastAsia" w:ascii="宋体" w:hAnsi="宋体" w:cs="宋体"/>
              </w:rPr>
              <w:t>28.68%</w:t>
            </w:r>
          </w:p>
        </w:tc>
        <w:tc>
          <w:tcPr>
            <w:tcW w:w="1250" w:type="pct"/>
          </w:tcPr>
          <w:p w14:paraId="1A15964A">
            <w:pPr>
              <w:jc w:val="left"/>
              <w:rPr>
                <w:rFonts w:ascii="宋体" w:hAnsi="宋体" w:cs="宋体"/>
              </w:rPr>
            </w:pPr>
            <w:r>
              <w:rPr>
                <w:rFonts w:hint="eastAsia" w:ascii="宋体" w:hAnsi="宋体" w:cs="宋体"/>
              </w:rPr>
              <w:t>23.61%</w:t>
            </w:r>
          </w:p>
        </w:tc>
        <w:tc>
          <w:tcPr>
            <w:tcW w:w="1250" w:type="pct"/>
          </w:tcPr>
          <w:p w14:paraId="0AF5C677">
            <w:pPr>
              <w:jc w:val="left"/>
              <w:rPr>
                <w:rFonts w:ascii="宋体" w:hAnsi="宋体" w:cs="宋体"/>
              </w:rPr>
            </w:pPr>
            <w:r>
              <w:rPr>
                <w:rFonts w:hint="eastAsia" w:ascii="宋体" w:hAnsi="宋体" w:cs="宋体"/>
              </w:rPr>
              <w:t>22.28%</w:t>
            </w:r>
          </w:p>
        </w:tc>
      </w:tr>
      <w:tr w14:paraId="4025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tcPr>
          <w:p w14:paraId="45212D82">
            <w:pPr>
              <w:jc w:val="left"/>
              <w:rPr>
                <w:rFonts w:ascii="宋体" w:hAnsi="宋体" w:cs="宋体"/>
              </w:rPr>
            </w:pPr>
            <w:r>
              <w:rPr>
                <w:rFonts w:hint="eastAsia" w:ascii="宋体" w:hAnsi="宋体" w:cs="宋体"/>
              </w:rPr>
              <w:t>年金净流量（ANCF）</w:t>
            </w:r>
          </w:p>
        </w:tc>
        <w:tc>
          <w:tcPr>
            <w:tcW w:w="1249" w:type="pct"/>
          </w:tcPr>
          <w:p w14:paraId="2CACE781">
            <w:pPr>
              <w:jc w:val="left"/>
              <w:rPr>
                <w:rFonts w:ascii="宋体" w:hAnsi="宋体" w:cs="宋体"/>
              </w:rPr>
            </w:pPr>
            <w:r>
              <w:rPr>
                <w:rFonts w:hint="eastAsia" w:ascii="宋体" w:hAnsi="宋体" w:cs="宋体"/>
              </w:rPr>
              <w:t>+1362</w:t>
            </w:r>
          </w:p>
        </w:tc>
        <w:tc>
          <w:tcPr>
            <w:tcW w:w="1250" w:type="pct"/>
          </w:tcPr>
          <w:p w14:paraId="226C775D">
            <w:pPr>
              <w:jc w:val="left"/>
              <w:rPr>
                <w:rFonts w:ascii="宋体" w:hAnsi="宋体" w:cs="宋体"/>
              </w:rPr>
            </w:pPr>
            <w:r>
              <w:rPr>
                <w:rFonts w:hint="eastAsia" w:ascii="宋体" w:hAnsi="宋体" w:cs="宋体"/>
              </w:rPr>
              <w:t>+1752</w:t>
            </w:r>
          </w:p>
        </w:tc>
        <w:tc>
          <w:tcPr>
            <w:tcW w:w="1250" w:type="pct"/>
          </w:tcPr>
          <w:p w14:paraId="2672E6CE">
            <w:pPr>
              <w:jc w:val="left"/>
              <w:rPr>
                <w:rFonts w:ascii="宋体" w:hAnsi="宋体" w:cs="宋体"/>
              </w:rPr>
            </w:pPr>
            <w:r>
              <w:rPr>
                <w:rFonts w:hint="eastAsia" w:ascii="宋体" w:hAnsi="宋体" w:cs="宋体"/>
              </w:rPr>
              <w:t>+1626</w:t>
            </w:r>
          </w:p>
        </w:tc>
      </w:tr>
    </w:tbl>
    <w:p w14:paraId="545DFFFA">
      <w:pPr>
        <w:jc w:val="left"/>
        <w:rPr>
          <w:rFonts w:ascii="宋体" w:hAnsi="宋体" w:cs="宋体"/>
        </w:rPr>
      </w:pPr>
      <w:r>
        <w:rPr>
          <w:rFonts w:hint="eastAsia" w:ascii="宋体" w:hAnsi="宋体" w:cs="宋体"/>
        </w:rPr>
        <w:t>独立投资方案的比较决策</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16E8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CF83A30">
            <w:pPr>
              <w:rPr>
                <w:rFonts w:ascii="宋体" w:hAnsi="宋体" w:cs="宋体"/>
              </w:rPr>
            </w:pPr>
            <w:r>
              <w:rPr>
                <w:rFonts w:hint="eastAsia" w:ascii="宋体" w:hAnsi="宋体" w:cs="宋体"/>
              </w:rPr>
              <w:t>净现值（NPV）</w:t>
            </w:r>
          </w:p>
        </w:tc>
        <w:tc>
          <w:tcPr>
            <w:tcW w:w="2500" w:type="pct"/>
          </w:tcPr>
          <w:p w14:paraId="187482A7">
            <w:pPr>
              <w:jc w:val="center"/>
              <w:rPr>
                <w:rFonts w:ascii="宋体" w:hAnsi="宋体" w:cs="宋体"/>
              </w:rPr>
            </w:pPr>
            <w:r>
              <w:rPr>
                <w:rFonts w:hint="eastAsia" w:ascii="宋体" w:hAnsi="宋体" w:cs="宋体"/>
              </w:rPr>
              <w:t>C＞B＞A</w:t>
            </w:r>
          </w:p>
        </w:tc>
      </w:tr>
      <w:tr w14:paraId="0F3E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6C656024">
            <w:pPr>
              <w:rPr>
                <w:rFonts w:ascii="宋体" w:hAnsi="宋体" w:cs="宋体"/>
              </w:rPr>
            </w:pPr>
            <w:r>
              <w:rPr>
                <w:rFonts w:hint="eastAsia" w:ascii="宋体" w:hAnsi="宋体" w:cs="宋体"/>
              </w:rPr>
              <w:t>现值指数（PVI）</w:t>
            </w:r>
          </w:p>
        </w:tc>
        <w:tc>
          <w:tcPr>
            <w:tcW w:w="2500" w:type="pct"/>
          </w:tcPr>
          <w:p w14:paraId="55B5F9A7">
            <w:pPr>
              <w:jc w:val="center"/>
              <w:rPr>
                <w:rFonts w:ascii="宋体" w:hAnsi="宋体" w:cs="宋体"/>
              </w:rPr>
            </w:pPr>
            <w:r>
              <w:rPr>
                <w:rFonts w:hint="eastAsia" w:ascii="宋体" w:hAnsi="宋体" w:cs="宋体"/>
              </w:rPr>
              <w:t>A＞C＞B</w:t>
            </w:r>
          </w:p>
        </w:tc>
      </w:tr>
      <w:tr w14:paraId="01C4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39735489">
            <w:pPr>
              <w:rPr>
                <w:rFonts w:ascii="宋体" w:hAnsi="宋体" w:cs="宋体"/>
              </w:rPr>
            </w:pPr>
            <w:r>
              <w:rPr>
                <w:rFonts w:hint="eastAsia" w:ascii="宋体" w:hAnsi="宋体" w:cs="宋体"/>
              </w:rPr>
              <w:t>内含收益率（IRR）</w:t>
            </w:r>
          </w:p>
        </w:tc>
        <w:tc>
          <w:tcPr>
            <w:tcW w:w="2500" w:type="pct"/>
          </w:tcPr>
          <w:p w14:paraId="062F77AC">
            <w:pPr>
              <w:jc w:val="center"/>
              <w:rPr>
                <w:rFonts w:ascii="宋体" w:hAnsi="宋体" w:cs="宋体"/>
              </w:rPr>
            </w:pPr>
            <w:r>
              <w:rPr>
                <w:rFonts w:hint="eastAsia" w:ascii="宋体" w:hAnsi="宋体" w:cs="宋体"/>
              </w:rPr>
              <w:t>A＞B＞C</w:t>
            </w:r>
          </w:p>
        </w:tc>
      </w:tr>
      <w:tr w14:paraId="73215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614B16E3">
            <w:pPr>
              <w:rPr>
                <w:rFonts w:ascii="宋体" w:hAnsi="宋体" w:cs="宋体"/>
              </w:rPr>
            </w:pPr>
            <w:r>
              <w:rPr>
                <w:rFonts w:hint="eastAsia" w:ascii="宋体" w:hAnsi="宋体" w:cs="宋体"/>
              </w:rPr>
              <w:t>年金净流量（ANCF）</w:t>
            </w:r>
          </w:p>
        </w:tc>
        <w:tc>
          <w:tcPr>
            <w:tcW w:w="2500" w:type="pct"/>
          </w:tcPr>
          <w:p w14:paraId="38834114">
            <w:pPr>
              <w:jc w:val="center"/>
              <w:rPr>
                <w:rFonts w:ascii="宋体" w:hAnsi="宋体" w:cs="宋体"/>
              </w:rPr>
            </w:pPr>
            <w:r>
              <w:rPr>
                <w:rFonts w:hint="eastAsia" w:ascii="宋体" w:hAnsi="宋体" w:cs="宋体"/>
              </w:rPr>
              <w:t>B＞C＞A</w:t>
            </w:r>
          </w:p>
        </w:tc>
      </w:tr>
    </w:tbl>
    <w:p w14:paraId="19397A99">
      <w:pPr>
        <w:jc w:val="left"/>
        <w:rPr>
          <w:rFonts w:ascii="宋体" w:hAnsi="宋体" w:cs="宋体"/>
        </w:rPr>
      </w:pPr>
      <w:r>
        <w:rPr>
          <w:rFonts w:hint="eastAsia" w:ascii="宋体" w:hAnsi="宋体" w:cs="宋体"/>
        </w:rPr>
        <w:t>综上所述，在独立投资方案比较性决策时，内含收益率指标综合反映了各方案的获利程度，在各种情况下的决策结论都是正确的。原始投资额的大小并不影响决策结论。</w:t>
      </w:r>
    </w:p>
    <w:p w14:paraId="674B0BED">
      <w:pPr>
        <w:jc w:val="left"/>
        <w:rPr>
          <w:rFonts w:ascii="宋体" w:hAnsi="宋体" w:cs="宋体"/>
          <w:color w:val="FF0000"/>
        </w:rPr>
      </w:pPr>
      <w:r>
        <w:rPr>
          <w:rFonts w:hint="eastAsia" w:ascii="宋体" w:hAnsi="宋体" w:cs="宋体"/>
          <w:color w:val="FF0000"/>
        </w:rPr>
        <w:t>【知识点2】互斥投资方案的决策</w:t>
      </w:r>
    </w:p>
    <w:p w14:paraId="5D47226F">
      <w:pPr>
        <w:jc w:val="left"/>
        <w:rPr>
          <w:rFonts w:ascii="宋体" w:hAnsi="宋体" w:cs="宋体"/>
        </w:rPr>
      </w:pPr>
      <w:r>
        <w:rPr>
          <w:rFonts w:hint="eastAsia" w:ascii="宋体" w:hAnsi="宋体" w:cs="宋体"/>
        </w:rPr>
        <w:t>互斥投资方案，方案之间互相排斥，不能并存，因此，决策的实质在于选择最优方案，属于选择决策。从选定经济效益最大的要求出发，互斥决策以方案的获利数额作为评价标准。</w:t>
      </w:r>
    </w:p>
    <w:p w14:paraId="77F4E7CA">
      <w:pPr>
        <w:jc w:val="left"/>
        <w:rPr>
          <w:rFonts w:ascii="宋体" w:hAnsi="宋体" w:cs="宋体"/>
        </w:rPr>
      </w:pPr>
      <w:r>
        <w:rPr>
          <w:rFonts w:hint="eastAsia" w:ascii="宋体" w:hAnsi="宋体" w:cs="宋体"/>
        </w:rPr>
        <w:t>思考题：企业持有100万元打算投资，现有A项目和B项目，假设投资项目都可获利。</w:t>
      </w:r>
    </w:p>
    <w:p w14:paraId="09F5C4E2">
      <w:pPr>
        <w:jc w:val="left"/>
        <w:rPr>
          <w:rFonts w:ascii="宋体" w:hAnsi="宋体" w:cs="宋体"/>
        </w:rPr>
      </w:pPr>
      <w:r>
        <w:rPr>
          <w:rFonts w:hint="eastAsia" w:ascii="宋体" w:hAnsi="宋体" w:cs="宋体"/>
        </w:rPr>
        <w:t>问题1：A项目需要50万，B项目也需要50万，请问企业如何选择投资？</w:t>
      </w:r>
    </w:p>
    <w:p w14:paraId="346BEB40">
      <w:pPr>
        <w:jc w:val="left"/>
        <w:rPr>
          <w:rFonts w:ascii="宋体" w:hAnsi="宋体" w:cs="宋体"/>
        </w:rPr>
      </w:pPr>
      <w:r>
        <w:rPr>
          <w:rFonts w:hint="eastAsia" w:ascii="宋体" w:hAnsi="宋体" w:cs="宋体"/>
        </w:rPr>
        <w:t>问题2：若A项目需要80万，B项目也需要80万，请问企业如何选择投资？</w:t>
      </w:r>
    </w:p>
    <w:p w14:paraId="1BAC1539">
      <w:pPr>
        <w:jc w:val="left"/>
        <w:rPr>
          <w:rFonts w:ascii="宋体" w:hAnsi="宋体" w:cs="宋体"/>
          <w:color w:val="FF0000"/>
        </w:rPr>
      </w:pPr>
      <w:r>
        <w:rPr>
          <w:rFonts w:hint="eastAsia" w:ascii="宋体" w:hAnsi="宋体" w:cs="宋体"/>
          <w:color w:val="FF0000"/>
        </w:rPr>
        <w:t>答案：</w:t>
      </w:r>
    </w:p>
    <w:p w14:paraId="2C4DE5D8">
      <w:pPr>
        <w:jc w:val="left"/>
        <w:rPr>
          <w:rFonts w:ascii="宋体" w:hAnsi="宋体" w:cs="宋体"/>
        </w:rPr>
      </w:pPr>
      <w:r>
        <w:rPr>
          <w:rFonts w:hint="eastAsia" w:ascii="宋体" w:hAnsi="宋体" w:cs="宋体"/>
        </w:rPr>
        <w:t>问题1：企业可以同时选择两个项目进行投资</w:t>
      </w:r>
    </w:p>
    <w:p w14:paraId="63B0C59E">
      <w:pPr>
        <w:jc w:val="left"/>
        <w:rPr>
          <w:rFonts w:ascii="宋体" w:hAnsi="宋体" w:cs="宋体"/>
        </w:rPr>
      </w:pPr>
      <w:r>
        <w:rPr>
          <w:rFonts w:hint="eastAsia" w:ascii="宋体" w:hAnsi="宋体" w:cs="宋体"/>
        </w:rPr>
        <w:t>问题2：企业只能在两个项目中选择一个进行投资，或A或B。</w:t>
      </w:r>
    </w:p>
    <w:p w14:paraId="2FD71E5E">
      <w:pPr>
        <w:jc w:val="left"/>
        <w:rPr>
          <w:rFonts w:hint="eastAsia" w:ascii="宋体" w:hAnsi="宋体" w:cs="宋体"/>
        </w:rPr>
      </w:pPr>
      <w:r>
        <w:rPr>
          <w:rFonts w:hint="eastAsia" w:ascii="宋体" w:hAnsi="宋体" w:cs="宋体"/>
        </w:rPr>
        <w:drawing>
          <wp:inline distT="0" distB="0" distL="114300" distR="114300">
            <wp:extent cx="3617595" cy="1444625"/>
            <wp:effectExtent l="0" t="0" r="190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3678634" cy="1469210"/>
                    </a:xfrm>
                    <a:prstGeom prst="rect">
                      <a:avLst/>
                    </a:prstGeom>
                    <a:noFill/>
                    <a:ln>
                      <a:noFill/>
                    </a:ln>
                  </pic:spPr>
                </pic:pic>
              </a:graphicData>
            </a:graphic>
          </wp:inline>
        </w:drawing>
      </w:r>
    </w:p>
    <w:p w14:paraId="0E7B74BE">
      <w:pPr>
        <w:jc w:val="left"/>
        <w:rPr>
          <w:rFonts w:ascii="宋体" w:hAnsi="宋体" w:cs="宋体"/>
        </w:rPr>
      </w:pPr>
      <w:r>
        <w:rPr>
          <w:rFonts w:hint="eastAsia" w:ascii="宋体" w:hAnsi="宋体" w:cs="宋体"/>
        </w:rPr>
        <w:t>因此，年金净流量法是互斥方案最恰当的决策方法</w:t>
      </w:r>
    </w:p>
    <w:p w14:paraId="57DE1A8D">
      <w:pPr>
        <w:jc w:val="left"/>
        <w:rPr>
          <w:rFonts w:ascii="宋体" w:hAnsi="宋体" w:cs="宋体"/>
        </w:rPr>
      </w:pPr>
    </w:p>
    <w:p w14:paraId="7F4B7AEE">
      <w:pPr>
        <w:jc w:val="left"/>
        <w:rPr>
          <w:rFonts w:ascii="宋体" w:hAnsi="宋体" w:cs="宋体"/>
        </w:rPr>
      </w:pPr>
      <w:r>
        <w:rPr>
          <w:rFonts w:hint="eastAsia" w:ascii="宋体" w:hAnsi="宋体" w:cs="宋体"/>
        </w:rPr>
        <w:t>【判断题】（2023年）在进行互斥投资方案决策时，若各方案的原始投资额现值不相等，采用内含收益率法可能无法做出正确选择。（  ）</w:t>
      </w:r>
    </w:p>
    <w:p w14:paraId="328D5023">
      <w:pPr>
        <w:jc w:val="left"/>
        <w:rPr>
          <w:rFonts w:ascii="宋体" w:hAnsi="宋体" w:cs="宋体"/>
        </w:rPr>
      </w:pPr>
      <w:r>
        <w:rPr>
          <w:rFonts w:hint="eastAsia" w:ascii="宋体" w:hAnsi="宋体" w:cs="宋体"/>
        </w:rPr>
        <w:t>答案：√</w:t>
      </w:r>
    </w:p>
    <w:p w14:paraId="19401C84">
      <w:pPr>
        <w:jc w:val="left"/>
        <w:rPr>
          <w:rFonts w:ascii="宋体" w:hAnsi="宋体" w:cs="宋体"/>
        </w:rPr>
      </w:pPr>
      <w:r>
        <w:rPr>
          <w:rFonts w:hint="eastAsia" w:ascii="宋体" w:hAnsi="宋体" w:cs="宋体"/>
        </w:rPr>
        <w:t>解析：互斥投资不考虑原始投资额的大小，因此各方案的原始投资额现值不相等，采用内含收益率法可能无法做出正确选择。</w:t>
      </w:r>
    </w:p>
    <w:p w14:paraId="4C6388B2">
      <w:pPr>
        <w:jc w:val="left"/>
        <w:rPr>
          <w:rFonts w:ascii="宋体" w:hAnsi="宋体" w:cs="宋体"/>
        </w:rPr>
      </w:pPr>
    </w:p>
    <w:p w14:paraId="7B5DD6E1">
      <w:pPr>
        <w:jc w:val="left"/>
        <w:rPr>
          <w:rFonts w:ascii="宋体" w:hAnsi="宋体" w:cs="宋体"/>
        </w:rPr>
      </w:pPr>
      <w:r>
        <w:rPr>
          <w:rFonts w:hint="eastAsia" w:ascii="宋体" w:hAnsi="宋体" w:cs="宋体"/>
        </w:rPr>
        <w:t>【单选题】（2023年）关于互斥投资方案的决策，假设两个方案的折现率相同，下列表述错误的是（  ）。</w:t>
      </w:r>
    </w:p>
    <w:p w14:paraId="3D9291F8">
      <w:pPr>
        <w:jc w:val="left"/>
        <w:rPr>
          <w:rFonts w:ascii="宋体" w:hAnsi="宋体" w:cs="宋体"/>
        </w:rPr>
      </w:pPr>
      <w:r>
        <w:rPr>
          <w:rFonts w:hint="eastAsia" w:ascii="宋体" w:hAnsi="宋体" w:cs="宋体"/>
        </w:rPr>
        <w:t>A.两方案寿命期相等，而原始投资额不等，应选择净现值较大的方案</w:t>
      </w:r>
    </w:p>
    <w:p w14:paraId="5A442B59">
      <w:pPr>
        <w:jc w:val="left"/>
        <w:rPr>
          <w:rFonts w:ascii="宋体" w:hAnsi="宋体" w:cs="宋体"/>
        </w:rPr>
      </w:pPr>
      <w:r>
        <w:rPr>
          <w:rFonts w:hint="eastAsia" w:ascii="宋体" w:hAnsi="宋体" w:cs="宋体"/>
        </w:rPr>
        <w:t>B.两方案寿命期相等，而原始投资额不等，应选择年金净流量较大的方案</w:t>
      </w:r>
    </w:p>
    <w:p w14:paraId="52A1D832">
      <w:pPr>
        <w:jc w:val="left"/>
        <w:rPr>
          <w:rFonts w:ascii="宋体" w:hAnsi="宋体" w:cs="宋体"/>
        </w:rPr>
      </w:pPr>
      <w:r>
        <w:rPr>
          <w:rFonts w:hint="eastAsia" w:ascii="宋体" w:hAnsi="宋体" w:cs="宋体"/>
        </w:rPr>
        <w:t>C.两方案寿命期不等，而原始投资额相等，应选择净现值较大的方案</w:t>
      </w:r>
    </w:p>
    <w:p w14:paraId="0487039A">
      <w:pPr>
        <w:jc w:val="left"/>
        <w:rPr>
          <w:rFonts w:ascii="宋体" w:hAnsi="宋体" w:cs="宋体"/>
        </w:rPr>
      </w:pPr>
      <w:r>
        <w:rPr>
          <w:rFonts w:hint="eastAsia" w:ascii="宋体" w:hAnsi="宋体" w:cs="宋体"/>
        </w:rPr>
        <w:t>D.两方案寿命期不等，而原始投资额相等，应选择年金净流量较大的方案</w:t>
      </w:r>
    </w:p>
    <w:p w14:paraId="07398E8C">
      <w:pPr>
        <w:jc w:val="left"/>
        <w:rPr>
          <w:rFonts w:ascii="宋体" w:hAnsi="宋体" w:cs="宋体"/>
        </w:rPr>
      </w:pPr>
      <w:r>
        <w:rPr>
          <w:rFonts w:hint="eastAsia" w:ascii="宋体" w:hAnsi="宋体" w:cs="宋体"/>
        </w:rPr>
        <w:t>答案：C</w:t>
      </w:r>
    </w:p>
    <w:p w14:paraId="66B4B72C">
      <w:pPr>
        <w:jc w:val="left"/>
        <w:rPr>
          <w:rFonts w:ascii="宋体" w:hAnsi="宋体" w:cs="宋体"/>
        </w:rPr>
      </w:pPr>
      <w:r>
        <w:rPr>
          <w:rFonts w:hint="eastAsia" w:ascii="宋体" w:hAnsi="宋体" w:cs="宋体"/>
        </w:rPr>
        <w:t>解析：在两个方案的折现率相同的情况下，关于互斥投资方案的决策，不考虑原始投资额的大小，若寿命期相等，应选择净现值或年金净流量较大的方案，若寿命期不相等，应选择年金净流量较大的方案。</w:t>
      </w:r>
    </w:p>
    <w:p w14:paraId="3A6AACA7">
      <w:pPr>
        <w:jc w:val="left"/>
        <w:rPr>
          <w:rFonts w:ascii="宋体" w:hAnsi="宋体" w:cs="宋体"/>
        </w:rPr>
      </w:pPr>
    </w:p>
    <w:p w14:paraId="54B79F87">
      <w:pPr>
        <w:jc w:val="left"/>
        <w:rPr>
          <w:rFonts w:ascii="宋体" w:hAnsi="宋体" w:cs="宋体"/>
          <w:color w:val="FF0000"/>
        </w:rPr>
      </w:pPr>
      <w:r>
        <w:rPr>
          <w:rFonts w:hint="eastAsia" w:ascii="宋体" w:hAnsi="宋体" w:cs="宋体"/>
          <w:color w:val="FF0000"/>
        </w:rPr>
        <w:t>一、项目的寿命期相等时</w:t>
      </w:r>
    </w:p>
    <w:p w14:paraId="1B12CC92">
      <w:pPr>
        <w:jc w:val="left"/>
        <w:rPr>
          <w:rFonts w:ascii="宋体" w:hAnsi="宋体" w:cs="宋体"/>
        </w:rPr>
      </w:pPr>
      <w:r>
        <w:rPr>
          <w:rFonts w:hint="eastAsia" w:ascii="宋体" w:hAnsi="宋体" w:cs="宋体"/>
        </w:rPr>
        <w:t>不论方案的原始投资额大小如何，能够获得更大的获利数额即净现值的，即为最优方案。</w:t>
      </w:r>
    </w:p>
    <w:p w14:paraId="06D960CD">
      <w:pPr>
        <w:jc w:val="left"/>
        <w:rPr>
          <w:rFonts w:ascii="宋体" w:hAnsi="宋体" w:cs="宋体"/>
          <w:color w:val="FF0000"/>
        </w:rPr>
      </w:pPr>
      <w:r>
        <w:rPr>
          <w:rFonts w:hint="eastAsia" w:ascii="宋体" w:hAnsi="宋体" w:cs="宋体"/>
          <w:color w:val="FF0000"/>
        </w:rPr>
        <w:t>二、项目的寿命期不相等时</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739"/>
        <w:gridCol w:w="6662"/>
      </w:tblGrid>
      <w:tr w14:paraId="0F65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Pr>
          <w:p w14:paraId="27058563">
            <w:pPr>
              <w:jc w:val="left"/>
              <w:rPr>
                <w:rFonts w:ascii="宋体" w:hAnsi="宋体" w:cs="宋体"/>
              </w:rPr>
            </w:pPr>
            <w:r>
              <w:rPr>
                <w:rFonts w:hint="eastAsia" w:ascii="宋体" w:hAnsi="宋体" w:cs="宋体"/>
              </w:rPr>
              <w:t>共同年限法</w:t>
            </w:r>
          </w:p>
        </w:tc>
        <w:tc>
          <w:tcPr>
            <w:tcW w:w="4144" w:type="pct"/>
            <w:gridSpan w:val="2"/>
          </w:tcPr>
          <w:p w14:paraId="3D54C4A2">
            <w:pPr>
              <w:jc w:val="left"/>
              <w:rPr>
                <w:rFonts w:ascii="宋体" w:hAnsi="宋体" w:cs="宋体"/>
              </w:rPr>
            </w:pPr>
            <w:r>
              <w:rPr>
                <w:rFonts w:hint="eastAsia" w:ascii="宋体" w:hAnsi="宋体" w:cs="宋体"/>
              </w:rPr>
              <w:t>将两项目转化成同样的投资期限，才具有可比性，可以找出各项目寿命期的最小公倍期数，作为共同的有效寿命期。</w:t>
            </w:r>
          </w:p>
        </w:tc>
      </w:tr>
      <w:tr w14:paraId="0A77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526FAD9D">
            <w:pPr>
              <w:jc w:val="left"/>
              <w:rPr>
                <w:rFonts w:ascii="宋体" w:hAnsi="宋体" w:cs="宋体"/>
              </w:rPr>
            </w:pPr>
            <w:r>
              <w:rPr>
                <w:rFonts w:hint="eastAsia" w:ascii="宋体" w:hAnsi="宋体" w:cs="宋体"/>
              </w:rPr>
              <w:t>年金净流量法</w:t>
            </w:r>
          </w:p>
        </w:tc>
        <w:tc>
          <w:tcPr>
            <w:tcW w:w="858" w:type="pct"/>
          </w:tcPr>
          <w:p w14:paraId="0AC813F0">
            <w:pPr>
              <w:jc w:val="left"/>
              <w:rPr>
                <w:rFonts w:ascii="宋体" w:hAnsi="宋体" w:cs="宋体"/>
              </w:rPr>
            </w:pPr>
            <w:r>
              <w:rPr>
                <w:rFonts w:hint="eastAsia" w:ascii="宋体" w:hAnsi="宋体" w:cs="宋体"/>
              </w:rPr>
              <w:t>资本成本相同</w:t>
            </w:r>
          </w:p>
        </w:tc>
        <w:tc>
          <w:tcPr>
            <w:tcW w:w="3286" w:type="pct"/>
          </w:tcPr>
          <w:p w14:paraId="53845123">
            <w:pPr>
              <w:jc w:val="left"/>
              <w:rPr>
                <w:rFonts w:ascii="宋体" w:hAnsi="宋体" w:cs="宋体"/>
              </w:rPr>
            </w:pPr>
            <w:r>
              <w:rPr>
                <w:rFonts w:hint="eastAsia" w:ascii="宋体" w:hAnsi="宋体" w:cs="宋体"/>
              </w:rPr>
              <w:t>净现值除以对应的年金现值系数，优先选取年金净流量较大者；</w:t>
            </w:r>
          </w:p>
        </w:tc>
      </w:tr>
      <w:tr w14:paraId="77B3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491C32C1">
            <w:pPr>
              <w:jc w:val="left"/>
              <w:rPr>
                <w:rFonts w:ascii="宋体" w:hAnsi="宋体" w:cs="宋体"/>
              </w:rPr>
            </w:pPr>
          </w:p>
        </w:tc>
        <w:tc>
          <w:tcPr>
            <w:tcW w:w="858" w:type="pct"/>
          </w:tcPr>
          <w:p w14:paraId="2E5FD64A">
            <w:pPr>
              <w:jc w:val="left"/>
              <w:rPr>
                <w:rFonts w:ascii="宋体" w:hAnsi="宋体" w:cs="宋体"/>
              </w:rPr>
            </w:pPr>
            <w:r>
              <w:rPr>
                <w:rFonts w:hint="eastAsia" w:ascii="宋体" w:hAnsi="宋体" w:cs="宋体"/>
              </w:rPr>
              <w:t>资本成本不同</w:t>
            </w:r>
          </w:p>
        </w:tc>
        <w:tc>
          <w:tcPr>
            <w:tcW w:w="3286" w:type="pct"/>
          </w:tcPr>
          <w:p w14:paraId="7760783C">
            <w:pPr>
              <w:jc w:val="left"/>
              <w:rPr>
                <w:rFonts w:ascii="宋体" w:hAnsi="宋体" w:cs="宋体"/>
              </w:rPr>
            </w:pPr>
            <w:r>
              <w:rPr>
                <w:rFonts w:hint="eastAsia" w:ascii="宋体" w:hAnsi="宋体" w:cs="宋体"/>
              </w:rPr>
              <w:t>进一步计算永续净现值，</w:t>
            </w:r>
            <w:r>
              <w:rPr>
                <w:rFonts w:hint="eastAsia" w:ascii="宋体" w:hAnsi="宋体" w:cs="宋体"/>
                <w:color w:val="FF0000"/>
              </w:rPr>
              <w:t>年金净流量/各自对应的资本成本</w:t>
            </w:r>
          </w:p>
        </w:tc>
      </w:tr>
    </w:tbl>
    <w:p w14:paraId="4F81A7B5">
      <w:pPr>
        <w:overflowPunct w:val="0"/>
        <w:jc w:val="left"/>
        <w:rPr>
          <w:rFonts w:hint="eastAsia" w:ascii="宋体" w:hAnsi="宋体" w:cs="宋体"/>
        </w:rPr>
      </w:pPr>
    </w:p>
    <w:p w14:paraId="6C5334F8">
      <w:pPr>
        <w:overflowPunct w:val="0"/>
        <w:jc w:val="center"/>
        <w:rPr>
          <w:rFonts w:ascii="宋体" w:hAnsi="宋体" w:cs="宋体"/>
          <w:b/>
          <w:bCs/>
        </w:rPr>
      </w:pPr>
      <w:r>
        <w:rPr>
          <w:rFonts w:hint="eastAsia" w:ascii="宋体" w:hAnsi="宋体" w:cs="宋体"/>
          <w:b/>
          <w:bCs/>
        </w:rPr>
        <w:t>第三节  项目投资管理</w:t>
      </w:r>
    </w:p>
    <w:p w14:paraId="2C96F3E1">
      <w:pPr>
        <w:jc w:val="left"/>
        <w:rPr>
          <w:rFonts w:ascii="宋体" w:hAnsi="宋体" w:cs="宋体"/>
        </w:rPr>
      </w:pPr>
      <w:r>
        <w:rPr>
          <w:rFonts w:hint="eastAsia" w:ascii="宋体" w:hAnsi="宋体" w:cs="宋体"/>
        </w:rPr>
        <w:t>【例】现有甲、乙两个机床购置方案，所要求的最低投资收益率为10%。甲机床投资额10000元，可用2年，无残值，每年产生8000元现金净流量。乙机床投资额20000元，可用3年，无残值，每年产生10000元现金净流量。问：两方案何者为优？</w:t>
      </w:r>
    </w:p>
    <w:p w14:paraId="2AAA5695">
      <w:pPr>
        <w:jc w:val="left"/>
        <w:rPr>
          <w:rFonts w:ascii="宋体" w:hAnsi="宋体" w:cs="宋体"/>
        </w:rPr>
      </w:pPr>
      <w:r>
        <w:rPr>
          <w:rFonts w:hint="eastAsia" w:ascii="宋体" w:hAnsi="宋体" w:cs="宋体"/>
          <w:color w:val="FF0000"/>
        </w:rPr>
        <w:t>答案：</w:t>
      </w:r>
      <w:r>
        <w:rPr>
          <w:rFonts w:hint="eastAsia" w:ascii="宋体" w:hAnsi="宋体" w:cs="宋体"/>
        </w:rPr>
        <w:t>将两方案的期限调整为最小公倍年数6年，即甲机床6年内周转3次，乙机床6年内周转2次。未调整之前，两方案的相关评价指标见下表。</w:t>
      </w:r>
    </w:p>
    <w:p w14:paraId="4B17C64C">
      <w:pPr>
        <w:jc w:val="center"/>
        <w:rPr>
          <w:rFonts w:hint="eastAsia" w:ascii="宋体" w:hAnsi="宋体" w:cs="宋体"/>
        </w:rPr>
      </w:pPr>
      <w:r>
        <w:rPr>
          <w:rFonts w:hint="eastAsia" w:ascii="宋体" w:hAnsi="宋体" w:cs="宋体"/>
        </w:rPr>
        <w:t>互斥投资方案的选优决策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78"/>
        <w:gridCol w:w="3380"/>
      </w:tblGrid>
      <w:tr w14:paraId="2807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666" w:type="pct"/>
          </w:tcPr>
          <w:p w14:paraId="2F21717A">
            <w:pPr>
              <w:jc w:val="left"/>
              <w:rPr>
                <w:rFonts w:ascii="宋体" w:hAnsi="宋体" w:cs="宋体"/>
              </w:rPr>
            </w:pPr>
            <w:r>
              <w:rPr>
                <w:rFonts w:hint="eastAsia" w:ascii="宋体" w:hAnsi="宋体" w:cs="宋体"/>
              </w:rPr>
              <w:t>项目</w:t>
            </w:r>
          </w:p>
        </w:tc>
        <w:tc>
          <w:tcPr>
            <w:tcW w:w="1666" w:type="pct"/>
          </w:tcPr>
          <w:p w14:paraId="45B25787">
            <w:pPr>
              <w:jc w:val="left"/>
              <w:rPr>
                <w:rFonts w:ascii="宋体" w:hAnsi="宋体" w:cs="宋体"/>
              </w:rPr>
            </w:pPr>
            <w:r>
              <w:rPr>
                <w:rFonts w:hint="eastAsia" w:ascii="宋体" w:hAnsi="宋体" w:cs="宋体"/>
              </w:rPr>
              <w:t>甲机床</w:t>
            </w:r>
          </w:p>
        </w:tc>
        <w:tc>
          <w:tcPr>
            <w:tcW w:w="1667" w:type="pct"/>
          </w:tcPr>
          <w:p w14:paraId="2C5ACA7D">
            <w:pPr>
              <w:jc w:val="left"/>
              <w:rPr>
                <w:rFonts w:ascii="宋体" w:hAnsi="宋体" w:cs="宋体"/>
              </w:rPr>
            </w:pPr>
            <w:r>
              <w:rPr>
                <w:rFonts w:hint="eastAsia" w:ascii="宋体" w:hAnsi="宋体" w:cs="宋体"/>
              </w:rPr>
              <w:t>乙机床</w:t>
            </w:r>
          </w:p>
        </w:tc>
      </w:tr>
      <w:tr w14:paraId="3ED30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BA5CE57">
            <w:pPr>
              <w:jc w:val="left"/>
              <w:rPr>
                <w:rFonts w:ascii="宋体" w:hAnsi="宋体" w:cs="宋体"/>
              </w:rPr>
            </w:pPr>
            <w:r>
              <w:rPr>
                <w:rFonts w:hint="eastAsia" w:ascii="宋体" w:hAnsi="宋体" w:cs="宋体"/>
              </w:rPr>
              <w:t>净现值（NPV）</w:t>
            </w:r>
          </w:p>
        </w:tc>
        <w:tc>
          <w:tcPr>
            <w:tcW w:w="1666" w:type="pct"/>
          </w:tcPr>
          <w:p w14:paraId="1752A222">
            <w:pPr>
              <w:jc w:val="left"/>
              <w:rPr>
                <w:rFonts w:ascii="宋体" w:hAnsi="宋体" w:cs="宋体"/>
              </w:rPr>
            </w:pPr>
            <w:r>
              <w:rPr>
                <w:rFonts w:hint="eastAsia" w:ascii="宋体" w:hAnsi="宋体" w:cs="宋体"/>
              </w:rPr>
              <w:t>3888</w:t>
            </w:r>
          </w:p>
        </w:tc>
        <w:tc>
          <w:tcPr>
            <w:tcW w:w="1667" w:type="pct"/>
          </w:tcPr>
          <w:p w14:paraId="45B16882">
            <w:pPr>
              <w:jc w:val="left"/>
              <w:rPr>
                <w:rFonts w:ascii="宋体" w:hAnsi="宋体" w:cs="宋体"/>
              </w:rPr>
            </w:pPr>
            <w:r>
              <w:rPr>
                <w:rFonts w:hint="eastAsia" w:ascii="宋体" w:hAnsi="宋体" w:cs="宋体"/>
              </w:rPr>
              <w:t>4870</w:t>
            </w:r>
          </w:p>
        </w:tc>
      </w:tr>
      <w:tr w14:paraId="0FB3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BF83DE5">
            <w:pPr>
              <w:jc w:val="left"/>
              <w:rPr>
                <w:rFonts w:ascii="宋体" w:hAnsi="宋体" w:cs="宋体"/>
              </w:rPr>
            </w:pPr>
            <w:r>
              <w:rPr>
                <w:rFonts w:hint="eastAsia" w:ascii="宋体" w:hAnsi="宋体" w:cs="宋体"/>
              </w:rPr>
              <w:t>年金净流量（ANCF）</w:t>
            </w:r>
          </w:p>
        </w:tc>
        <w:tc>
          <w:tcPr>
            <w:tcW w:w="1666" w:type="pct"/>
          </w:tcPr>
          <w:p w14:paraId="3604CC7A">
            <w:pPr>
              <w:jc w:val="left"/>
              <w:rPr>
                <w:rFonts w:ascii="宋体" w:hAnsi="宋体" w:cs="宋体"/>
              </w:rPr>
            </w:pPr>
            <w:r>
              <w:rPr>
                <w:rFonts w:hint="eastAsia" w:ascii="宋体" w:hAnsi="宋体" w:cs="宋体"/>
              </w:rPr>
              <w:t>2238</w:t>
            </w:r>
          </w:p>
        </w:tc>
        <w:tc>
          <w:tcPr>
            <w:tcW w:w="1667" w:type="pct"/>
          </w:tcPr>
          <w:p w14:paraId="3C0658FC">
            <w:pPr>
              <w:jc w:val="left"/>
              <w:rPr>
                <w:rFonts w:ascii="宋体" w:hAnsi="宋体" w:cs="宋体"/>
              </w:rPr>
            </w:pPr>
            <w:r>
              <w:rPr>
                <w:rFonts w:hint="eastAsia" w:ascii="宋体" w:hAnsi="宋体" w:cs="宋体"/>
              </w:rPr>
              <w:t>1958</w:t>
            </w:r>
          </w:p>
        </w:tc>
      </w:tr>
      <w:tr w14:paraId="6DC6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19B4EC0">
            <w:pPr>
              <w:jc w:val="left"/>
              <w:rPr>
                <w:rFonts w:ascii="宋体" w:hAnsi="宋体" w:cs="宋体"/>
              </w:rPr>
            </w:pPr>
            <w:r>
              <w:rPr>
                <w:rFonts w:hint="eastAsia" w:ascii="宋体" w:hAnsi="宋体" w:cs="宋体"/>
              </w:rPr>
              <w:t>内含收益率（IRR）</w:t>
            </w:r>
          </w:p>
        </w:tc>
        <w:tc>
          <w:tcPr>
            <w:tcW w:w="1666" w:type="pct"/>
          </w:tcPr>
          <w:p w14:paraId="3200D915">
            <w:pPr>
              <w:jc w:val="left"/>
              <w:rPr>
                <w:rFonts w:ascii="宋体" w:hAnsi="宋体" w:cs="宋体"/>
              </w:rPr>
            </w:pPr>
            <w:r>
              <w:rPr>
                <w:rFonts w:hint="eastAsia" w:ascii="宋体" w:hAnsi="宋体" w:cs="宋体"/>
              </w:rPr>
              <w:t>38%</w:t>
            </w:r>
          </w:p>
        </w:tc>
        <w:tc>
          <w:tcPr>
            <w:tcW w:w="1667" w:type="pct"/>
          </w:tcPr>
          <w:p w14:paraId="4589103D">
            <w:pPr>
              <w:jc w:val="left"/>
              <w:rPr>
                <w:rFonts w:ascii="宋体" w:hAnsi="宋体" w:cs="宋体"/>
              </w:rPr>
            </w:pPr>
            <w:r>
              <w:rPr>
                <w:rFonts w:hint="eastAsia" w:ascii="宋体" w:hAnsi="宋体" w:cs="宋体"/>
              </w:rPr>
              <w:t>23.39%</w:t>
            </w:r>
          </w:p>
        </w:tc>
      </w:tr>
    </w:tbl>
    <w:p w14:paraId="6435A5D3">
      <w:pPr>
        <w:jc w:val="left"/>
        <w:rPr>
          <w:rFonts w:hint="eastAsia" w:ascii="宋体" w:hAnsi="宋体" w:cs="宋体"/>
        </w:rPr>
      </w:pPr>
      <w:r>
        <w:rPr>
          <w:rFonts w:hint="eastAsia" w:ascii="宋体" w:hAnsi="宋体" w:cs="宋体"/>
        </w:rPr>
        <w:drawing>
          <wp:inline distT="0" distB="0" distL="114300" distR="114300">
            <wp:extent cx="3863975" cy="1595755"/>
            <wp:effectExtent l="0" t="0" r="317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882273" cy="1603568"/>
                    </a:xfrm>
                    <a:prstGeom prst="rect">
                      <a:avLst/>
                    </a:prstGeom>
                    <a:noFill/>
                    <a:ln>
                      <a:noFill/>
                    </a:ln>
                  </pic:spPr>
                </pic:pic>
              </a:graphicData>
            </a:graphic>
          </wp:inline>
        </w:drawing>
      </w:r>
    </w:p>
    <w:p w14:paraId="59755933">
      <w:pPr>
        <w:jc w:val="left"/>
        <w:rPr>
          <w:rFonts w:ascii="宋体" w:hAnsi="宋体" w:cs="宋体"/>
        </w:rPr>
      </w:pPr>
      <w:r>
        <w:rPr>
          <w:rFonts w:hint="eastAsia" w:ascii="宋体" w:hAnsi="宋体" w:cs="宋体"/>
        </w:rPr>
        <w:t>方案一：共同年限法　　</w:t>
      </w:r>
    </w:p>
    <w:p w14:paraId="17BFD3B3">
      <w:pPr>
        <w:jc w:val="left"/>
        <w:rPr>
          <w:rFonts w:ascii="宋体" w:hAnsi="宋体" w:cs="宋体"/>
        </w:rPr>
      </w:pPr>
      <w:r>
        <w:rPr>
          <w:rFonts w:hint="eastAsia" w:ascii="宋体" w:hAnsi="宋体" w:cs="宋体"/>
        </w:rPr>
        <w:t>（1）甲方案净现值＝8000×4.3553－10000×0.6830－10000×0.8264－10000＝9748（元）</w:t>
      </w:r>
    </w:p>
    <w:p w14:paraId="67C7B452">
      <w:pPr>
        <w:jc w:val="left"/>
        <w:rPr>
          <w:rFonts w:ascii="宋体" w:hAnsi="宋体" w:cs="宋体"/>
        </w:rPr>
      </w:pPr>
      <w:r>
        <w:rPr>
          <w:rFonts w:hint="eastAsia" w:ascii="宋体" w:hAnsi="宋体" w:cs="宋体"/>
        </w:rPr>
        <w:t>（2）乙方案净现值＝10000×4.3553－20000×0.7513－20000＝8527（元）</w:t>
      </w:r>
    </w:p>
    <w:p w14:paraId="19AFB1DC">
      <w:pPr>
        <w:jc w:val="left"/>
        <w:rPr>
          <w:rFonts w:ascii="宋体" w:hAnsi="宋体" w:cs="宋体"/>
        </w:rPr>
      </w:pPr>
      <w:r>
        <w:rPr>
          <w:rFonts w:hint="eastAsia" w:ascii="宋体" w:hAnsi="宋体" w:cs="宋体"/>
        </w:rPr>
        <w:t>上述计算说明，延长寿命期后，两方案投资期限相等，甲方案净现值9748元高于乙方案净现值8527元，故甲方案优于乙方案。</w:t>
      </w:r>
    </w:p>
    <w:p w14:paraId="0BDF042C">
      <w:pPr>
        <w:jc w:val="left"/>
        <w:rPr>
          <w:rFonts w:ascii="宋体" w:hAnsi="宋体" w:cs="宋体"/>
        </w:rPr>
      </w:pPr>
      <w:r>
        <w:rPr>
          <w:rFonts w:hint="eastAsia" w:ascii="宋体" w:hAnsi="宋体" w:cs="宋体"/>
        </w:rPr>
        <w:t>方案二：年金净流量法</w:t>
      </w:r>
    </w:p>
    <w:p w14:paraId="4C17366A">
      <w:pPr>
        <w:jc w:val="left"/>
        <w:rPr>
          <w:rFonts w:ascii="宋体" w:hAnsi="宋体" w:cs="宋体"/>
        </w:rPr>
      </w:pPr>
      <w:r>
        <w:rPr>
          <w:rFonts w:hint="eastAsia" w:ascii="宋体" w:hAnsi="宋体" w:cs="宋体"/>
        </w:rPr>
        <w:t>（1）甲方案年金净流量=2238元</w:t>
      </w:r>
    </w:p>
    <w:p w14:paraId="30E37BD1">
      <w:pPr>
        <w:jc w:val="left"/>
        <w:rPr>
          <w:rFonts w:ascii="宋体" w:hAnsi="宋体" w:cs="宋体"/>
        </w:rPr>
      </w:pPr>
      <w:r>
        <w:rPr>
          <w:rFonts w:hint="eastAsia" w:ascii="宋体" w:hAnsi="宋体" w:cs="宋体"/>
        </w:rPr>
        <w:t>（2）乙方案年金净流量=1958元</w:t>
      </w:r>
    </w:p>
    <w:p w14:paraId="456E4FC9">
      <w:pPr>
        <w:jc w:val="left"/>
        <w:rPr>
          <w:rFonts w:ascii="宋体" w:hAnsi="宋体" w:cs="宋体"/>
        </w:rPr>
      </w:pPr>
      <w:r>
        <w:rPr>
          <w:rFonts w:hint="eastAsia" w:ascii="宋体" w:hAnsi="宋体" w:cs="宋体"/>
        </w:rPr>
        <w:t>甲方案年金净流量2238元大于乙方案年金净流量1958元，因此甲方案优于乙方案。</w:t>
      </w:r>
    </w:p>
    <w:p w14:paraId="4E132C3E">
      <w:pPr>
        <w:jc w:val="left"/>
        <w:rPr>
          <w:rFonts w:ascii="宋体" w:hAnsi="宋体" w:cs="宋体"/>
        </w:rPr>
      </w:pPr>
      <w:r>
        <w:rPr>
          <w:rFonts w:hint="eastAsia" w:ascii="宋体" w:hAnsi="宋体" w:cs="宋体"/>
          <w:color w:val="FF0000"/>
        </w:rPr>
        <w:t>【结论】</w:t>
      </w:r>
      <w:r>
        <w:rPr>
          <w:rFonts w:hint="eastAsia" w:ascii="宋体" w:hAnsi="宋体" w:cs="宋体"/>
        </w:rPr>
        <w:t>如果寿命期不同，则选择年金净流量大的项目。</w:t>
      </w:r>
    </w:p>
    <w:p w14:paraId="354E0D4D">
      <w:pPr>
        <w:jc w:val="left"/>
        <w:rPr>
          <w:rFonts w:ascii="宋体" w:hAnsi="宋体" w:cs="宋体"/>
          <w:color w:val="FF0000"/>
        </w:rPr>
      </w:pPr>
      <w:r>
        <w:rPr>
          <w:rFonts w:hint="eastAsia" w:ascii="宋体" w:hAnsi="宋体" w:cs="宋体"/>
          <w:color w:val="FF0000"/>
        </w:rPr>
        <w:t>各财务评价指标的适应性总结</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741A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665D1DAB">
            <w:pPr>
              <w:jc w:val="left"/>
              <w:rPr>
                <w:rFonts w:ascii="宋体" w:hAnsi="宋体" w:cs="宋体"/>
              </w:rPr>
            </w:pPr>
            <w:r>
              <w:rPr>
                <w:rFonts w:hint="eastAsia" w:ascii="宋体" w:hAnsi="宋体" w:cs="宋体"/>
              </w:rPr>
              <w:t>项目</w:t>
            </w:r>
          </w:p>
        </w:tc>
        <w:tc>
          <w:tcPr>
            <w:tcW w:w="2500" w:type="pct"/>
          </w:tcPr>
          <w:p w14:paraId="23852F58">
            <w:pPr>
              <w:jc w:val="left"/>
              <w:rPr>
                <w:rFonts w:ascii="宋体" w:hAnsi="宋体" w:cs="宋体"/>
              </w:rPr>
            </w:pPr>
            <w:r>
              <w:rPr>
                <w:rFonts w:hint="eastAsia" w:ascii="宋体" w:hAnsi="宋体" w:cs="宋体"/>
              </w:rPr>
              <w:t>适用</w:t>
            </w:r>
          </w:p>
        </w:tc>
      </w:tr>
      <w:tr w14:paraId="03AF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205AB7C5">
            <w:pPr>
              <w:jc w:val="left"/>
              <w:rPr>
                <w:rFonts w:ascii="宋体" w:hAnsi="宋体" w:cs="宋体"/>
              </w:rPr>
            </w:pPr>
            <w:r>
              <w:rPr>
                <w:rFonts w:hint="eastAsia" w:ascii="宋体" w:hAnsi="宋体" w:cs="宋体"/>
              </w:rPr>
              <w:t>净现值</w:t>
            </w:r>
          </w:p>
        </w:tc>
        <w:tc>
          <w:tcPr>
            <w:tcW w:w="2500" w:type="pct"/>
          </w:tcPr>
          <w:p w14:paraId="75F4AD97">
            <w:pPr>
              <w:jc w:val="left"/>
              <w:rPr>
                <w:rFonts w:ascii="宋体" w:hAnsi="宋体" w:cs="宋体"/>
              </w:rPr>
            </w:pPr>
            <w:r>
              <w:rPr>
                <w:rFonts w:hint="eastAsia" w:ascii="宋体" w:hAnsi="宋体" w:cs="宋体"/>
              </w:rPr>
              <w:t>年限相同互斥投资方案决策</w:t>
            </w:r>
          </w:p>
        </w:tc>
      </w:tr>
      <w:tr w14:paraId="279D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7C609FD5">
            <w:pPr>
              <w:jc w:val="left"/>
              <w:rPr>
                <w:rFonts w:ascii="宋体" w:hAnsi="宋体" w:cs="宋体"/>
              </w:rPr>
            </w:pPr>
            <w:r>
              <w:rPr>
                <w:rFonts w:hint="eastAsia" w:ascii="宋体" w:hAnsi="宋体" w:cs="宋体"/>
              </w:rPr>
              <w:t>年金净流量</w:t>
            </w:r>
          </w:p>
        </w:tc>
        <w:tc>
          <w:tcPr>
            <w:tcW w:w="2500" w:type="pct"/>
          </w:tcPr>
          <w:p w14:paraId="26156B75">
            <w:pPr>
              <w:jc w:val="left"/>
              <w:rPr>
                <w:rFonts w:ascii="宋体" w:hAnsi="宋体" w:cs="宋体"/>
              </w:rPr>
            </w:pPr>
            <w:r>
              <w:rPr>
                <w:rFonts w:hint="eastAsia" w:ascii="宋体" w:hAnsi="宋体" w:cs="宋体"/>
              </w:rPr>
              <w:t>期限不同互斥投资方案决策</w:t>
            </w:r>
          </w:p>
        </w:tc>
      </w:tr>
      <w:tr w14:paraId="1960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3762F54D">
            <w:pPr>
              <w:jc w:val="left"/>
              <w:rPr>
                <w:rFonts w:ascii="宋体" w:hAnsi="宋体" w:cs="宋体"/>
              </w:rPr>
            </w:pPr>
            <w:r>
              <w:rPr>
                <w:rFonts w:hint="eastAsia" w:ascii="宋体" w:hAnsi="宋体" w:cs="宋体"/>
              </w:rPr>
              <w:t>内含收益率</w:t>
            </w:r>
          </w:p>
        </w:tc>
        <w:tc>
          <w:tcPr>
            <w:tcW w:w="2500" w:type="pct"/>
          </w:tcPr>
          <w:p w14:paraId="24491FF8">
            <w:pPr>
              <w:jc w:val="left"/>
              <w:rPr>
                <w:rFonts w:ascii="宋体" w:hAnsi="宋体" w:cs="宋体"/>
              </w:rPr>
            </w:pPr>
            <w:r>
              <w:rPr>
                <w:rFonts w:hint="eastAsia" w:ascii="宋体" w:hAnsi="宋体" w:cs="宋体"/>
              </w:rPr>
              <w:t>独立投资方案的比较决策</w:t>
            </w:r>
          </w:p>
        </w:tc>
      </w:tr>
    </w:tbl>
    <w:p w14:paraId="4FE0C82C">
      <w:pPr>
        <w:jc w:val="left"/>
        <w:rPr>
          <w:rFonts w:ascii="宋体" w:hAnsi="宋体" w:cs="宋体"/>
        </w:rPr>
      </w:pPr>
    </w:p>
    <w:p w14:paraId="09A75010">
      <w:pPr>
        <w:jc w:val="left"/>
        <w:rPr>
          <w:rFonts w:ascii="宋体" w:hAnsi="宋体" w:cs="宋体"/>
        </w:rPr>
      </w:pPr>
      <w:r>
        <w:rPr>
          <w:rFonts w:hint="eastAsia" w:ascii="宋体" w:hAnsi="宋体" w:cs="宋体"/>
        </w:rPr>
        <w:t>【单选题】（2021年）对于寿命期不同的互斥投资方案，最适用的投资决策指标是（  ）。</w:t>
      </w:r>
    </w:p>
    <w:p w14:paraId="2B80CA93">
      <w:pPr>
        <w:jc w:val="left"/>
        <w:rPr>
          <w:rFonts w:ascii="宋体" w:hAnsi="宋体" w:cs="宋体"/>
        </w:rPr>
      </w:pPr>
      <w:r>
        <w:rPr>
          <w:rFonts w:hint="eastAsia" w:ascii="宋体" w:hAnsi="宋体" w:cs="宋体"/>
        </w:rPr>
        <w:t>A.内含收益率</w:t>
      </w:r>
    </w:p>
    <w:p w14:paraId="2671D610">
      <w:pPr>
        <w:jc w:val="left"/>
        <w:rPr>
          <w:rFonts w:ascii="宋体" w:hAnsi="宋体" w:cs="宋体"/>
        </w:rPr>
      </w:pPr>
      <w:r>
        <w:rPr>
          <w:rFonts w:hint="eastAsia" w:ascii="宋体" w:hAnsi="宋体" w:cs="宋体"/>
        </w:rPr>
        <w:t>B.动态回收期</w:t>
      </w:r>
    </w:p>
    <w:p w14:paraId="3661590A">
      <w:pPr>
        <w:jc w:val="left"/>
        <w:rPr>
          <w:rFonts w:ascii="宋体" w:hAnsi="宋体" w:cs="宋体"/>
        </w:rPr>
      </w:pPr>
      <w:r>
        <w:rPr>
          <w:rFonts w:hint="eastAsia" w:ascii="宋体" w:hAnsi="宋体" w:cs="宋体"/>
        </w:rPr>
        <w:t>C.年金净流量</w:t>
      </w:r>
    </w:p>
    <w:p w14:paraId="476024A8">
      <w:pPr>
        <w:jc w:val="left"/>
        <w:rPr>
          <w:rFonts w:ascii="宋体" w:hAnsi="宋体" w:cs="宋体"/>
        </w:rPr>
      </w:pPr>
      <w:r>
        <w:rPr>
          <w:rFonts w:hint="eastAsia" w:ascii="宋体" w:hAnsi="宋体" w:cs="宋体"/>
        </w:rPr>
        <w:t>D.净现值</w:t>
      </w:r>
    </w:p>
    <w:p w14:paraId="5E70E5BC">
      <w:pPr>
        <w:jc w:val="left"/>
        <w:rPr>
          <w:rFonts w:ascii="宋体" w:hAnsi="宋体" w:cs="宋体"/>
        </w:rPr>
      </w:pPr>
      <w:r>
        <w:rPr>
          <w:rFonts w:hint="eastAsia" w:ascii="宋体" w:hAnsi="宋体" w:cs="宋体"/>
        </w:rPr>
        <w:t>答案：C</w:t>
      </w:r>
    </w:p>
    <w:p w14:paraId="703DB587">
      <w:pPr>
        <w:jc w:val="left"/>
        <w:rPr>
          <w:rFonts w:ascii="宋体" w:hAnsi="宋体" w:cs="宋体"/>
        </w:rPr>
      </w:pPr>
      <w:r>
        <w:rPr>
          <w:rFonts w:hint="eastAsia" w:ascii="宋体" w:hAnsi="宋体" w:cs="宋体"/>
        </w:rPr>
        <w:t>解析：对于寿命期不同的互斥投资方案，年金净流量法是最恰当的决策方法。</w:t>
      </w:r>
    </w:p>
    <w:p w14:paraId="67E23584">
      <w:pPr>
        <w:jc w:val="left"/>
        <w:rPr>
          <w:rFonts w:ascii="宋体" w:hAnsi="宋体" w:cs="宋体"/>
        </w:rPr>
      </w:pPr>
    </w:p>
    <w:p w14:paraId="3ABC1F37">
      <w:pPr>
        <w:jc w:val="left"/>
        <w:rPr>
          <w:rFonts w:ascii="宋体" w:hAnsi="宋体" w:cs="宋体"/>
        </w:rPr>
      </w:pPr>
      <w:r>
        <w:rPr>
          <w:rFonts w:hint="eastAsia" w:ascii="宋体" w:hAnsi="宋体" w:cs="宋体"/>
        </w:rPr>
        <w:t>【综合题】（2021年）甲公司计划在2021年初构建一条新生产线，现有A、B两个互斥投资方案，有关资料如下：</w:t>
      </w:r>
    </w:p>
    <w:p w14:paraId="36A5EE58">
      <w:pPr>
        <w:jc w:val="left"/>
        <w:rPr>
          <w:rFonts w:ascii="宋体" w:hAnsi="宋体" w:cs="宋体"/>
        </w:rPr>
      </w:pPr>
      <w:r>
        <w:rPr>
          <w:rFonts w:hint="eastAsia" w:ascii="宋体" w:hAnsi="宋体" w:cs="宋体"/>
        </w:rPr>
        <w:t>资料一：A方案需要一次性投资30000000元，建设期为0，该生产线可用3年，按直线法计提折旧，净残值为0，第1年可取得税后营业利润10000000元，以后每年递增20%。</w:t>
      </w:r>
    </w:p>
    <w:p w14:paraId="75BA78BB">
      <w:pPr>
        <w:jc w:val="left"/>
        <w:rPr>
          <w:rFonts w:ascii="宋体" w:hAnsi="宋体" w:cs="宋体"/>
        </w:rPr>
      </w:pPr>
      <w:r>
        <w:rPr>
          <w:rFonts w:hint="eastAsia" w:ascii="宋体" w:hAnsi="宋体" w:cs="宋体"/>
        </w:rPr>
        <w:t>资料二：B方案需要一次性投资50000000元，建设期为0，该生产线可用5年，按直线法计提折旧，净残值为0，投产后每年可获得营业收入35000000元，每年付现成本为8000000元。在投产期初需垫支营运资金5000000元，并于营业期满时一次性收回。</w:t>
      </w:r>
    </w:p>
    <w:p w14:paraId="4F7EBDCD">
      <w:pPr>
        <w:jc w:val="left"/>
        <w:rPr>
          <w:rFonts w:ascii="宋体" w:hAnsi="宋体" w:cs="宋体"/>
        </w:rPr>
      </w:pPr>
      <w:r>
        <w:rPr>
          <w:rFonts w:hint="eastAsia" w:ascii="宋体" w:hAnsi="宋体" w:cs="宋体"/>
        </w:rPr>
        <w:t>资料三：企业适用的所得税税率是25%，项目折现率为8%，</w:t>
      </w:r>
    </w:p>
    <w:p w14:paraId="748FE743">
      <w:pPr>
        <w:jc w:val="left"/>
        <w:rPr>
          <w:rFonts w:ascii="宋体" w:hAnsi="宋体" w:cs="宋体"/>
        </w:rPr>
      </w:pPr>
      <w:r>
        <w:rPr>
          <w:rFonts w:hint="eastAsia" w:ascii="宋体" w:hAnsi="宋体" w:cs="宋体"/>
        </w:rPr>
        <w:t>已知：（P/F，8%，3）＝0.7938，（P/F，8%，4）＝0.7350，（P/F，8%，5）＝0.6860;（P/A，8%，3）＝2.5771，（P/A，8%，4）＝3.3121，（P/A，8%，5）＝3.9927。</w:t>
      </w:r>
    </w:p>
    <w:p w14:paraId="2A6B5D09">
      <w:pPr>
        <w:jc w:val="left"/>
        <w:rPr>
          <w:rFonts w:ascii="宋体" w:hAnsi="宋体" w:cs="宋体"/>
        </w:rPr>
      </w:pPr>
      <w:r>
        <w:rPr>
          <w:rFonts w:hint="eastAsia" w:ascii="宋体" w:hAnsi="宋体" w:cs="宋体"/>
        </w:rPr>
        <w:t>资料四：为筹集投资所需资金，甲公司在2021年1月1日按面值发行可转换债券，每张面值100元，票面利率为1%，按年计息，每年年末支付一次利息，一年后可以转换为公司股票，转换价格为每股20元。如果按面值发行相同期限、相同付息方式的普通债券，票面利率需要设定为5%。</w:t>
      </w:r>
    </w:p>
    <w:p w14:paraId="16D5F3E1">
      <w:pPr>
        <w:jc w:val="left"/>
        <w:rPr>
          <w:rFonts w:ascii="宋体" w:hAnsi="宋体" w:cs="宋体"/>
        </w:rPr>
      </w:pPr>
      <w:r>
        <w:rPr>
          <w:rFonts w:hint="eastAsia" w:ascii="宋体" w:hAnsi="宋体" w:cs="宋体"/>
        </w:rPr>
        <w:t>要求：（1）计算A方案每年的营业现金流量、净现值、现值指数。</w:t>
      </w:r>
    </w:p>
    <w:p w14:paraId="43657018">
      <w:pPr>
        <w:jc w:val="left"/>
        <w:rPr>
          <w:rFonts w:ascii="宋体" w:hAnsi="宋体" w:cs="宋体"/>
        </w:rPr>
      </w:pPr>
      <w:r>
        <w:rPr>
          <w:rFonts w:hint="eastAsia" w:ascii="宋体" w:hAnsi="宋体" w:cs="宋体"/>
        </w:rPr>
        <w:t>（2）计算B方案原始投资额、第一到第四年的现金净流量、第五年的现金净流量、净现值。</w:t>
      </w:r>
    </w:p>
    <w:p w14:paraId="144EEA95">
      <w:pPr>
        <w:jc w:val="left"/>
        <w:rPr>
          <w:rFonts w:ascii="宋体" w:hAnsi="宋体" w:cs="宋体"/>
        </w:rPr>
      </w:pPr>
      <w:r>
        <w:rPr>
          <w:rFonts w:hint="eastAsia" w:ascii="宋体" w:hAnsi="宋体" w:cs="宋体"/>
        </w:rPr>
        <w:t>（3）分别计算两个方案的年金净流量，判断选择哪个方案。</w:t>
      </w:r>
    </w:p>
    <w:p w14:paraId="537C805F">
      <w:pPr>
        <w:jc w:val="left"/>
        <w:rPr>
          <w:rFonts w:ascii="宋体" w:hAnsi="宋体" w:cs="宋体"/>
        </w:rPr>
      </w:pPr>
      <w:r>
        <w:rPr>
          <w:rFonts w:hint="eastAsia" w:ascii="宋体" w:hAnsi="宋体" w:cs="宋体"/>
        </w:rPr>
        <w:t>（4）根据计算（3）的结果选择的方案，计算可转换债券在发行当年比一般债券节约的利息支出、可转换债券的转换比率。</w:t>
      </w:r>
    </w:p>
    <w:p w14:paraId="4CD87085">
      <w:pPr>
        <w:jc w:val="left"/>
        <w:rPr>
          <w:rFonts w:ascii="宋体" w:hAnsi="宋体" w:cs="宋体"/>
        </w:rPr>
      </w:pPr>
      <w:r>
        <w:rPr>
          <w:rFonts w:hint="eastAsia" w:ascii="宋体" w:hAnsi="宋体" w:cs="宋体"/>
        </w:rPr>
        <w:t>答案：（1）年折旧＝3000/3＝1000（万元）</w:t>
      </w:r>
    </w:p>
    <w:p w14:paraId="1DBE6FB8">
      <w:pPr>
        <w:jc w:val="left"/>
        <w:rPr>
          <w:rFonts w:ascii="宋体" w:hAnsi="宋体" w:cs="宋体"/>
        </w:rPr>
      </w:pPr>
      <w:r>
        <w:rPr>
          <w:rFonts w:hint="eastAsia" w:ascii="宋体" w:hAnsi="宋体" w:cs="宋体"/>
        </w:rPr>
        <w:t>第1年营业现金流量＝1000＋1000＝2000（万元）</w:t>
      </w:r>
    </w:p>
    <w:p w14:paraId="7DC109EC">
      <w:pPr>
        <w:jc w:val="left"/>
        <w:rPr>
          <w:rFonts w:ascii="宋体" w:hAnsi="宋体" w:cs="宋体"/>
        </w:rPr>
      </w:pPr>
      <w:r>
        <w:rPr>
          <w:rFonts w:hint="eastAsia" w:ascii="宋体" w:hAnsi="宋体" w:cs="宋体"/>
        </w:rPr>
        <w:t>第2年营业现金流量＝1000×（1＋20%）＋1000＝2200（万元）</w:t>
      </w:r>
    </w:p>
    <w:p w14:paraId="5E42712C">
      <w:pPr>
        <w:jc w:val="left"/>
        <w:rPr>
          <w:rFonts w:ascii="宋体" w:hAnsi="宋体" w:cs="宋体"/>
        </w:rPr>
      </w:pPr>
      <w:r>
        <w:rPr>
          <w:rFonts w:hint="eastAsia" w:ascii="宋体" w:hAnsi="宋体" w:cs="宋体"/>
        </w:rPr>
        <w:t>第3年营业现金流量＝1000×（1＋20%）2＋1000＝2440（万元）</w:t>
      </w:r>
    </w:p>
    <w:p w14:paraId="070D01E8">
      <w:pPr>
        <w:jc w:val="left"/>
        <w:rPr>
          <w:rFonts w:ascii="宋体" w:hAnsi="宋体" w:cs="宋体"/>
        </w:rPr>
      </w:pPr>
      <w:r>
        <w:rPr>
          <w:rFonts w:hint="eastAsia" w:ascii="宋体" w:hAnsi="宋体" w:cs="宋体"/>
        </w:rPr>
        <w:t>净现值＝2000/（1＋8%）＋2200/（1＋8%）2＋2440×（P/F，8%，3）－3000 ＝2000/（1＋8%）＋2200/（1＋8%）2＋2440× 0.7938－3000 ＝2674.87（万元）</w:t>
      </w:r>
    </w:p>
    <w:p w14:paraId="6D465724">
      <w:pPr>
        <w:jc w:val="left"/>
        <w:rPr>
          <w:rFonts w:ascii="宋体" w:hAnsi="宋体" w:cs="宋体"/>
        </w:rPr>
      </w:pPr>
      <w:r>
        <w:rPr>
          <w:rFonts w:hint="eastAsia" w:ascii="宋体" w:hAnsi="宋体" w:cs="宋体"/>
        </w:rPr>
        <w:t>现值指数＝1＋2674.87/3000＝1.89</w:t>
      </w:r>
    </w:p>
    <w:p w14:paraId="739ADE75">
      <w:pPr>
        <w:jc w:val="left"/>
        <w:rPr>
          <w:rFonts w:ascii="宋体" w:hAnsi="宋体" w:cs="宋体"/>
        </w:rPr>
      </w:pPr>
      <w:r>
        <w:rPr>
          <w:rFonts w:hint="eastAsia" w:ascii="宋体" w:hAnsi="宋体" w:cs="宋体"/>
        </w:rPr>
        <w:t>（2）原始投资额＝5000＋500＝5500（万元）</w:t>
      </w:r>
    </w:p>
    <w:p w14:paraId="3E3BF1E8">
      <w:pPr>
        <w:jc w:val="left"/>
        <w:rPr>
          <w:rFonts w:ascii="宋体" w:hAnsi="宋体" w:cs="宋体"/>
        </w:rPr>
      </w:pPr>
      <w:r>
        <w:rPr>
          <w:rFonts w:hint="eastAsia" w:ascii="宋体" w:hAnsi="宋体" w:cs="宋体"/>
        </w:rPr>
        <w:t>年折旧额＝5000/5＝1000（万元）</w:t>
      </w:r>
    </w:p>
    <w:p w14:paraId="39A49A23">
      <w:pPr>
        <w:jc w:val="left"/>
        <w:rPr>
          <w:rFonts w:ascii="宋体" w:hAnsi="宋体" w:cs="宋体"/>
        </w:rPr>
      </w:pPr>
      <w:r>
        <w:rPr>
          <w:rFonts w:hint="eastAsia" w:ascii="宋体" w:hAnsi="宋体" w:cs="宋体"/>
        </w:rPr>
        <w:t>NCF1－4＝（3500－800－1000）×（1－25%）＋1000＝2275（万元）</w:t>
      </w:r>
    </w:p>
    <w:p w14:paraId="4C59A2F8">
      <w:pPr>
        <w:jc w:val="left"/>
        <w:rPr>
          <w:rFonts w:ascii="宋体" w:hAnsi="宋体" w:cs="宋体"/>
        </w:rPr>
      </w:pPr>
      <w:r>
        <w:rPr>
          <w:rFonts w:hint="eastAsia" w:ascii="宋体" w:hAnsi="宋体" w:cs="宋体"/>
        </w:rPr>
        <w:t>或者：NCF1－4＝3500×（1－25%）－800×（1－25%）＋1000×25%＝2275（万元）</w:t>
      </w:r>
    </w:p>
    <w:p w14:paraId="7BE630C0">
      <w:pPr>
        <w:jc w:val="left"/>
        <w:rPr>
          <w:rFonts w:ascii="宋体" w:hAnsi="宋体" w:cs="宋体"/>
        </w:rPr>
      </w:pPr>
      <w:r>
        <w:rPr>
          <w:rFonts w:hint="eastAsia" w:ascii="宋体" w:hAnsi="宋体" w:cs="宋体"/>
        </w:rPr>
        <w:t>NCF5＝2275＋500＝2775（万元）</w:t>
      </w:r>
    </w:p>
    <w:p w14:paraId="1D5215AD">
      <w:pPr>
        <w:jc w:val="left"/>
        <w:rPr>
          <w:rFonts w:ascii="宋体" w:hAnsi="宋体" w:cs="宋体"/>
        </w:rPr>
      </w:pPr>
      <w:r>
        <w:rPr>
          <w:rFonts w:hint="eastAsia" w:ascii="宋体" w:hAnsi="宋体" w:cs="宋体"/>
        </w:rPr>
        <w:t>净现值＝2275×（P/A，8%，4）＋2775×（P/F，8%，5）－5500</w:t>
      </w:r>
    </w:p>
    <w:p w14:paraId="71948379">
      <w:pPr>
        <w:jc w:val="left"/>
        <w:rPr>
          <w:rFonts w:ascii="宋体" w:hAnsi="宋体" w:cs="宋体"/>
        </w:rPr>
      </w:pPr>
      <w:r>
        <w:rPr>
          <w:rFonts w:hint="eastAsia" w:ascii="宋体" w:hAnsi="宋体" w:cs="宋体"/>
        </w:rPr>
        <w:t>＝2275×3.3121＋2775×0.6860－5500＝3938.68（万元）</w:t>
      </w:r>
    </w:p>
    <w:p w14:paraId="56A5D9B8">
      <w:pPr>
        <w:jc w:val="left"/>
        <w:rPr>
          <w:rFonts w:ascii="宋体" w:hAnsi="宋体" w:cs="宋体"/>
        </w:rPr>
      </w:pPr>
      <w:r>
        <w:rPr>
          <w:rFonts w:hint="eastAsia" w:ascii="宋体" w:hAnsi="宋体" w:cs="宋体"/>
        </w:rPr>
        <w:t>或者：净现值＝2275×（P/A，8%，5）＋500×（P/F，8%，5）－5500</w:t>
      </w:r>
    </w:p>
    <w:p w14:paraId="6EDFA617">
      <w:pPr>
        <w:jc w:val="left"/>
        <w:rPr>
          <w:rFonts w:ascii="宋体" w:hAnsi="宋体" w:cs="宋体"/>
        </w:rPr>
      </w:pPr>
      <w:r>
        <w:rPr>
          <w:rFonts w:hint="eastAsia" w:ascii="宋体" w:hAnsi="宋体" w:cs="宋体"/>
        </w:rPr>
        <w:t>＝2275×3.9927＋500×0.6860－5500＝3926.39（万元）</w:t>
      </w:r>
    </w:p>
    <w:p w14:paraId="3D552AD8">
      <w:pPr>
        <w:jc w:val="left"/>
        <w:rPr>
          <w:rFonts w:ascii="宋体" w:hAnsi="宋体" w:cs="宋体"/>
        </w:rPr>
      </w:pPr>
      <w:r>
        <w:rPr>
          <w:rFonts w:hint="eastAsia" w:ascii="宋体" w:hAnsi="宋体" w:cs="宋体"/>
        </w:rPr>
        <w:t>说明：两种方法计算结果的差异是系数值不同造成的尾差，都属于正确答案。</w:t>
      </w:r>
    </w:p>
    <w:p w14:paraId="2D344C36">
      <w:pPr>
        <w:jc w:val="left"/>
        <w:rPr>
          <w:rFonts w:ascii="宋体" w:hAnsi="宋体" w:cs="宋体"/>
        </w:rPr>
      </w:pPr>
      <w:r>
        <w:rPr>
          <w:rFonts w:hint="eastAsia" w:ascii="宋体" w:hAnsi="宋体" w:cs="宋体"/>
        </w:rPr>
        <w:t>（3）A方案年金净流量＝2674.87/（P/A，8%，3）＝2674.87/2.5771＝1037.94（万元）</w:t>
      </w:r>
    </w:p>
    <w:p w14:paraId="1B74FDE4">
      <w:pPr>
        <w:jc w:val="left"/>
        <w:rPr>
          <w:rFonts w:ascii="宋体" w:hAnsi="宋体" w:cs="宋体"/>
        </w:rPr>
      </w:pPr>
      <w:r>
        <w:rPr>
          <w:rFonts w:hint="eastAsia" w:ascii="宋体" w:hAnsi="宋体" w:cs="宋体"/>
        </w:rPr>
        <w:t>B方案年金净流量＝3938.68/（P/A，8%，5）＝3938.68/3.9927＝986.47（万元）</w:t>
      </w:r>
    </w:p>
    <w:p w14:paraId="336C1428">
      <w:pPr>
        <w:jc w:val="left"/>
        <w:rPr>
          <w:rFonts w:ascii="宋体" w:hAnsi="宋体" w:cs="宋体"/>
        </w:rPr>
      </w:pPr>
      <w:r>
        <w:rPr>
          <w:rFonts w:hint="eastAsia" w:ascii="宋体" w:hAnsi="宋体" w:cs="宋体"/>
        </w:rPr>
        <w:t>A方案年金净流量大于B方案，应该选择A方案。</w:t>
      </w:r>
    </w:p>
    <w:p w14:paraId="056B4CB0">
      <w:pPr>
        <w:jc w:val="left"/>
        <w:rPr>
          <w:rFonts w:ascii="宋体" w:hAnsi="宋体" w:cs="宋体"/>
        </w:rPr>
      </w:pPr>
      <w:r>
        <w:rPr>
          <w:rFonts w:hint="eastAsia" w:ascii="宋体" w:hAnsi="宋体" w:cs="宋体"/>
        </w:rPr>
        <w:t>（5）节省的利息＝3000×（5%－1%）＝120（万元）</w:t>
      </w:r>
    </w:p>
    <w:p w14:paraId="6F0A3E10">
      <w:pPr>
        <w:jc w:val="left"/>
        <w:rPr>
          <w:rFonts w:hint="eastAsia" w:ascii="宋体" w:hAnsi="宋体" w:cs="宋体"/>
        </w:rPr>
      </w:pPr>
      <w:r>
        <w:rPr>
          <w:rFonts w:hint="eastAsia" w:ascii="宋体" w:hAnsi="宋体" w:cs="宋体"/>
        </w:rPr>
        <w:t>转换比率＝100/20＝5</w:t>
      </w:r>
    </w:p>
    <w:p w14:paraId="5C1AD0B6">
      <w:pPr>
        <w:overflowPunct w:val="0"/>
        <w:jc w:val="center"/>
        <w:rPr>
          <w:rFonts w:ascii="宋体" w:hAnsi="宋体" w:cs="宋体"/>
          <w:b/>
          <w:bCs/>
        </w:rPr>
      </w:pPr>
      <w:r>
        <w:rPr>
          <w:rFonts w:hint="eastAsia" w:ascii="宋体" w:hAnsi="宋体" w:cs="宋体"/>
          <w:b/>
          <w:bCs/>
        </w:rPr>
        <w:t>第三节  项目投资管理</w:t>
      </w:r>
    </w:p>
    <w:p w14:paraId="066D3C66">
      <w:pPr>
        <w:jc w:val="left"/>
        <w:rPr>
          <w:rFonts w:ascii="宋体" w:hAnsi="宋体" w:cs="宋体"/>
          <w:color w:val="FF0000"/>
        </w:rPr>
      </w:pPr>
      <w:r>
        <w:rPr>
          <w:rFonts w:hint="eastAsia" w:ascii="宋体" w:hAnsi="宋体" w:cs="宋体"/>
          <w:color w:val="FF0000"/>
        </w:rPr>
        <w:t>【知识点3】固定资产更新决策</w:t>
      </w:r>
    </w:p>
    <w:p w14:paraId="3C3C8071">
      <w:pPr>
        <w:jc w:val="left"/>
        <w:rPr>
          <w:rFonts w:ascii="宋体" w:hAnsi="宋体" w:cs="宋体"/>
        </w:rPr>
      </w:pPr>
      <w:r>
        <w:rPr>
          <w:rFonts w:hint="eastAsia" w:ascii="宋体" w:hAnsi="宋体" w:cs="宋体"/>
        </w:rPr>
        <w:t>固定资产更新决策属于互斥投资方案的决策类型，即新旧设备选择决策。因此，固定资产更新决策所采用的决策方法时净现值法和年金净流量法，一般不采用内含收益率法。</w:t>
      </w:r>
    </w:p>
    <w:p w14:paraId="3BC5BF33">
      <w:pPr>
        <w:jc w:val="left"/>
        <w:rPr>
          <w:rFonts w:ascii="宋体" w:hAnsi="宋体" w:cs="宋体"/>
        </w:rPr>
      </w:pPr>
      <w:r>
        <w:rPr>
          <w:rFonts w:hint="eastAsia" w:ascii="宋体" w:hAnsi="宋体" w:cs="宋体"/>
          <w:color w:val="FF0000"/>
        </w:rPr>
        <w:t>【提示1】</w:t>
      </w:r>
      <w:r>
        <w:rPr>
          <w:rFonts w:hint="eastAsia" w:ascii="宋体" w:hAnsi="宋体" w:cs="宋体"/>
        </w:rPr>
        <w:t>如果没有做特殊说明，默认为新旧设备的生产能力是一致的，由此引起的销售收入等都相等，属于决策的无关因素，不予考虑。故主要考虑的是成本（主要是现金流出及现金流出的抵减项目）因素。</w:t>
      </w:r>
    </w:p>
    <w:p w14:paraId="60986330">
      <w:pPr>
        <w:jc w:val="left"/>
        <w:rPr>
          <w:rFonts w:ascii="宋体" w:hAnsi="宋体" w:cs="宋体"/>
        </w:rPr>
      </w:pPr>
      <w:r>
        <w:rPr>
          <w:rFonts w:hint="eastAsia" w:ascii="宋体" w:hAnsi="宋体" w:cs="宋体"/>
          <w:color w:val="FF0000"/>
        </w:rPr>
        <w:t>【提示2】</w:t>
      </w:r>
      <w:r>
        <w:rPr>
          <w:rFonts w:hint="eastAsia" w:ascii="宋体" w:hAnsi="宋体" w:cs="宋体"/>
        </w:rPr>
        <w:t>固定资产更新决策是互斥方案，即继续使用旧设备或买入新设备并不相关。</w:t>
      </w:r>
    </w:p>
    <w:p w14:paraId="44DA91A1">
      <w:pPr>
        <w:jc w:val="left"/>
        <w:rPr>
          <w:rFonts w:hint="eastAsia" w:ascii="宋体" w:hAnsi="宋体" w:cs="宋体"/>
        </w:rPr>
      </w:pPr>
      <w:r>
        <w:rPr>
          <w:rFonts w:hint="eastAsia" w:ascii="宋体" w:hAnsi="宋体" w:cs="宋体"/>
        </w:rPr>
        <w:drawing>
          <wp:inline distT="0" distB="0" distL="114300" distR="114300">
            <wp:extent cx="3808095" cy="1287145"/>
            <wp:effectExtent l="0" t="0" r="1905"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3822738" cy="1292265"/>
                    </a:xfrm>
                    <a:prstGeom prst="rect">
                      <a:avLst/>
                    </a:prstGeom>
                    <a:noFill/>
                    <a:ln>
                      <a:noFill/>
                    </a:ln>
                  </pic:spPr>
                </pic:pic>
              </a:graphicData>
            </a:graphic>
          </wp:inline>
        </w:drawing>
      </w:r>
    </w:p>
    <w:p w14:paraId="5B770B6C">
      <w:pPr>
        <w:jc w:val="left"/>
        <w:rPr>
          <w:rFonts w:hint="eastAsia" w:ascii="宋体" w:hAnsi="宋体" w:cs="宋体"/>
          <w:color w:val="FF0000"/>
        </w:rPr>
      </w:pPr>
      <w:r>
        <w:rPr>
          <w:rFonts w:hint="eastAsia" w:ascii="宋体" w:hAnsi="宋体" w:cs="宋体"/>
          <w:color w:val="FF0000"/>
        </w:rPr>
        <w:t>寿命期不同的设备重置决策.决策标准：比较年金成本，选择数值最小的方案。</w:t>
      </w:r>
    </w:p>
    <w:p w14:paraId="19D3E695">
      <w:pPr>
        <w:jc w:val="left"/>
        <w:rPr>
          <w:rFonts w:ascii="宋体" w:hAnsi="宋体" w:cs="宋体"/>
        </w:rPr>
      </w:pPr>
      <w:r>
        <w:rPr>
          <w:rFonts w:hint="eastAsia" w:ascii="宋体" w:hAnsi="宋体" w:cs="宋体"/>
        </w:rPr>
        <w:drawing>
          <wp:inline distT="0" distB="0" distL="114300" distR="114300">
            <wp:extent cx="5211445" cy="798195"/>
            <wp:effectExtent l="0" t="0" r="8255"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211445" cy="798195"/>
                    </a:xfrm>
                    <a:prstGeom prst="rect">
                      <a:avLst/>
                    </a:prstGeom>
                    <a:noFill/>
                    <a:ln>
                      <a:noFill/>
                    </a:ln>
                  </pic:spPr>
                </pic:pic>
              </a:graphicData>
            </a:graphic>
          </wp:inline>
        </w:drawing>
      </w:r>
    </w:p>
    <w:p w14:paraId="60C04FFB">
      <w:pPr>
        <w:jc w:val="left"/>
        <w:rPr>
          <w:rFonts w:ascii="宋体" w:hAnsi="宋体" w:cs="宋体"/>
        </w:rPr>
      </w:pPr>
      <w:r>
        <w:rPr>
          <w:rFonts w:hint="eastAsia" w:ascii="宋体" w:hAnsi="宋体" w:cs="宋体"/>
        </w:rPr>
        <w:t>重置方案运用年金成本方式决策时，应考虑的现金流量主要有：</w:t>
      </w:r>
    </w:p>
    <w:p w14:paraId="7C56A9F6">
      <w:pPr>
        <w:jc w:val="left"/>
        <w:rPr>
          <w:rFonts w:ascii="宋体" w:hAnsi="宋体" w:cs="宋体"/>
        </w:rPr>
      </w:pPr>
      <w:r>
        <w:rPr>
          <w:rFonts w:hint="eastAsia" w:ascii="宋体" w:hAnsi="宋体" w:cs="宋体"/>
        </w:rPr>
        <w:t>1.新旧设备目前市场价值。对于新设备而言，目前市场价格就是新设备的购价，即原始投资额；对于旧设备而言，目前市场价值就是旧设备的重置成本或变现价值</w:t>
      </w:r>
    </w:p>
    <w:p w14:paraId="7CEC7116">
      <w:pPr>
        <w:jc w:val="left"/>
        <w:rPr>
          <w:rFonts w:ascii="宋体" w:hAnsi="宋体" w:cs="宋体"/>
        </w:rPr>
      </w:pPr>
      <w:r>
        <w:rPr>
          <w:rFonts w:hint="eastAsia" w:ascii="宋体" w:hAnsi="宋体" w:cs="宋体"/>
        </w:rPr>
        <w:t>2.新旧设备残值变现收入。残值变价收入应作为现金流出的</w:t>
      </w:r>
      <w:r>
        <w:rPr>
          <w:rFonts w:hint="eastAsia" w:ascii="宋体" w:hAnsi="宋体" w:cs="宋体"/>
          <w:color w:val="FF0000"/>
        </w:rPr>
        <w:t>抵减</w:t>
      </w:r>
    </w:p>
    <w:p w14:paraId="64758E50">
      <w:pPr>
        <w:jc w:val="left"/>
        <w:rPr>
          <w:rFonts w:ascii="宋体" w:hAnsi="宋体" w:cs="宋体"/>
        </w:rPr>
      </w:pPr>
      <w:r>
        <w:rPr>
          <w:rFonts w:hint="eastAsia" w:ascii="宋体" w:hAnsi="宋体" w:cs="宋体"/>
        </w:rPr>
        <w:t>3.新旧设备的年营运成本。即年付现成本。如果考虑每年的营业现金流入，应作为每年营运成本的</w:t>
      </w:r>
      <w:r>
        <w:rPr>
          <w:rFonts w:hint="eastAsia" w:ascii="宋体" w:hAnsi="宋体" w:cs="宋体"/>
          <w:color w:val="FF0000"/>
        </w:rPr>
        <w:t>抵减</w:t>
      </w:r>
    </w:p>
    <w:p w14:paraId="5B773FD7">
      <w:pPr>
        <w:jc w:val="left"/>
        <w:rPr>
          <w:rFonts w:ascii="宋体" w:hAnsi="宋体" w:cs="宋体"/>
        </w:rPr>
      </w:pPr>
      <w:r>
        <w:rPr>
          <w:rFonts w:hint="eastAsia" w:ascii="宋体" w:hAnsi="宋体" w:cs="宋体"/>
        </w:rPr>
        <w:t>【例】安保公司现有旧设备一台，由于节能减排的需要，准备予以更新。贴现率为15%，假定企业所得税税率为25%，则应考虑所得税对现金流量的影响。</w:t>
      </w:r>
    </w:p>
    <w:p w14:paraId="172083F5">
      <w:pPr>
        <w:jc w:val="center"/>
        <w:rPr>
          <w:rFonts w:ascii="宋体" w:hAnsi="宋体" w:cs="宋体"/>
        </w:rPr>
      </w:pPr>
      <w:r>
        <w:rPr>
          <w:rFonts w:hint="eastAsia" w:ascii="宋体" w:hAnsi="宋体" w:cs="宋体"/>
        </w:rPr>
        <w:t>安保公司新旧设备资料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379"/>
        <w:gridCol w:w="3379"/>
      </w:tblGrid>
      <w:tr w14:paraId="6CD6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E19F452">
            <w:pPr>
              <w:jc w:val="left"/>
              <w:rPr>
                <w:rFonts w:ascii="宋体" w:hAnsi="宋体" w:cs="宋体"/>
              </w:rPr>
            </w:pPr>
            <w:r>
              <w:rPr>
                <w:rFonts w:hint="eastAsia" w:ascii="宋体" w:hAnsi="宋体" w:cs="宋体"/>
              </w:rPr>
              <w:t>　</w:t>
            </w:r>
          </w:p>
        </w:tc>
        <w:tc>
          <w:tcPr>
            <w:tcW w:w="1666" w:type="pct"/>
          </w:tcPr>
          <w:p w14:paraId="13EFAAF2">
            <w:pPr>
              <w:jc w:val="left"/>
              <w:rPr>
                <w:rFonts w:ascii="宋体" w:hAnsi="宋体" w:cs="宋体"/>
              </w:rPr>
            </w:pPr>
            <w:r>
              <w:rPr>
                <w:rFonts w:hint="eastAsia" w:ascii="宋体" w:hAnsi="宋体" w:cs="宋体"/>
              </w:rPr>
              <w:t>旧设备</w:t>
            </w:r>
          </w:p>
        </w:tc>
        <w:tc>
          <w:tcPr>
            <w:tcW w:w="1666" w:type="pct"/>
          </w:tcPr>
          <w:p w14:paraId="5D1005C8">
            <w:pPr>
              <w:jc w:val="left"/>
              <w:rPr>
                <w:rFonts w:ascii="宋体" w:hAnsi="宋体" w:cs="宋体"/>
              </w:rPr>
            </w:pPr>
            <w:r>
              <w:rPr>
                <w:rFonts w:hint="eastAsia" w:ascii="宋体" w:hAnsi="宋体" w:cs="宋体"/>
              </w:rPr>
              <w:t>新设备</w:t>
            </w:r>
          </w:p>
        </w:tc>
      </w:tr>
      <w:tr w14:paraId="5534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5DC24A7">
            <w:pPr>
              <w:jc w:val="left"/>
              <w:rPr>
                <w:rFonts w:ascii="宋体" w:hAnsi="宋体" w:cs="宋体"/>
              </w:rPr>
            </w:pPr>
            <w:r>
              <w:rPr>
                <w:rFonts w:hint="eastAsia" w:ascii="宋体" w:hAnsi="宋体" w:cs="宋体"/>
              </w:rPr>
              <w:t>原价</w:t>
            </w:r>
            <w:r>
              <w:rPr>
                <w:rFonts w:hint="eastAsia" w:ascii="宋体" w:hAnsi="宋体" w:cs="宋体"/>
              </w:rPr>
              <w:br w:type="textWrapping"/>
            </w:r>
            <w:r>
              <w:rPr>
                <w:rFonts w:hint="eastAsia" w:ascii="宋体" w:hAnsi="宋体" w:cs="宋体"/>
              </w:rPr>
              <w:t>预计使用年限</w:t>
            </w:r>
            <w:r>
              <w:rPr>
                <w:rFonts w:hint="eastAsia" w:ascii="宋体" w:hAnsi="宋体" w:cs="宋体"/>
              </w:rPr>
              <w:br w:type="textWrapping"/>
            </w:r>
            <w:r>
              <w:rPr>
                <w:rFonts w:hint="eastAsia" w:ascii="宋体" w:hAnsi="宋体" w:cs="宋体"/>
              </w:rPr>
              <w:t>已经使用年限</w:t>
            </w:r>
            <w:r>
              <w:rPr>
                <w:rFonts w:hint="eastAsia" w:ascii="宋体" w:hAnsi="宋体" w:cs="宋体"/>
              </w:rPr>
              <w:br w:type="textWrapping"/>
            </w:r>
            <w:r>
              <w:rPr>
                <w:rFonts w:hint="eastAsia" w:ascii="宋体" w:hAnsi="宋体" w:cs="宋体"/>
              </w:rPr>
              <w:t>税法残值</w:t>
            </w:r>
            <w:r>
              <w:rPr>
                <w:rFonts w:hint="eastAsia" w:ascii="宋体" w:hAnsi="宋体" w:cs="宋体"/>
              </w:rPr>
              <w:br w:type="textWrapping"/>
            </w:r>
            <w:r>
              <w:rPr>
                <w:rFonts w:hint="eastAsia" w:ascii="宋体" w:hAnsi="宋体" w:cs="宋体"/>
              </w:rPr>
              <w:t>最终报废残值</w:t>
            </w:r>
            <w:r>
              <w:rPr>
                <w:rFonts w:hint="eastAsia" w:ascii="宋体" w:hAnsi="宋体" w:cs="宋体"/>
              </w:rPr>
              <w:br w:type="textWrapping"/>
            </w:r>
            <w:r>
              <w:rPr>
                <w:rFonts w:hint="eastAsia" w:ascii="宋体" w:hAnsi="宋体" w:cs="宋体"/>
              </w:rPr>
              <w:t>目前变现价值</w:t>
            </w:r>
            <w:r>
              <w:rPr>
                <w:rFonts w:hint="eastAsia" w:ascii="宋体" w:hAnsi="宋体" w:cs="宋体"/>
              </w:rPr>
              <w:br w:type="textWrapping"/>
            </w:r>
            <w:r>
              <w:rPr>
                <w:rFonts w:hint="eastAsia" w:ascii="宋体" w:hAnsi="宋体" w:cs="宋体"/>
              </w:rPr>
              <w:t>每年折旧费（直线法）</w:t>
            </w:r>
            <w:r>
              <w:rPr>
                <w:rFonts w:hint="eastAsia" w:ascii="宋体" w:hAnsi="宋体" w:cs="宋体"/>
              </w:rPr>
              <w:br w:type="textWrapping"/>
            </w:r>
            <w:r>
              <w:rPr>
                <w:rFonts w:hint="eastAsia" w:ascii="宋体" w:hAnsi="宋体" w:cs="宋体"/>
              </w:rPr>
              <w:t>每年营运成本</w:t>
            </w:r>
          </w:p>
        </w:tc>
        <w:tc>
          <w:tcPr>
            <w:tcW w:w="1666" w:type="pct"/>
          </w:tcPr>
          <w:p w14:paraId="26836CB1">
            <w:pPr>
              <w:jc w:val="left"/>
              <w:rPr>
                <w:rFonts w:ascii="宋体" w:hAnsi="宋体" w:cs="宋体"/>
              </w:rPr>
            </w:pPr>
            <w:r>
              <w:rPr>
                <w:rFonts w:hint="eastAsia" w:ascii="宋体" w:hAnsi="宋体" w:cs="宋体"/>
              </w:rPr>
              <w:t>35000</w:t>
            </w:r>
            <w:r>
              <w:rPr>
                <w:rFonts w:hint="eastAsia" w:ascii="宋体" w:hAnsi="宋体" w:cs="宋体"/>
              </w:rPr>
              <w:br w:type="textWrapping"/>
            </w:r>
            <w:r>
              <w:rPr>
                <w:rFonts w:hint="eastAsia" w:ascii="宋体" w:hAnsi="宋体" w:cs="宋体"/>
              </w:rPr>
              <w:t>10年</w:t>
            </w:r>
            <w:r>
              <w:rPr>
                <w:rFonts w:hint="eastAsia" w:ascii="宋体" w:hAnsi="宋体" w:cs="宋体"/>
              </w:rPr>
              <w:br w:type="textWrapping"/>
            </w:r>
            <w:r>
              <w:rPr>
                <w:rFonts w:hint="eastAsia" w:ascii="宋体" w:hAnsi="宋体" w:cs="宋体"/>
              </w:rPr>
              <w:t>4年</w:t>
            </w:r>
            <w:r>
              <w:rPr>
                <w:rFonts w:hint="eastAsia" w:ascii="宋体" w:hAnsi="宋体" w:cs="宋体"/>
              </w:rPr>
              <w:br w:type="textWrapping"/>
            </w:r>
            <w:r>
              <w:rPr>
                <w:rFonts w:hint="eastAsia" w:ascii="宋体" w:hAnsi="宋体" w:cs="宋体"/>
              </w:rPr>
              <w:t>5000</w:t>
            </w:r>
            <w:r>
              <w:rPr>
                <w:rFonts w:hint="eastAsia" w:ascii="宋体" w:hAnsi="宋体" w:cs="宋体"/>
              </w:rPr>
              <w:br w:type="textWrapping"/>
            </w:r>
            <w:r>
              <w:rPr>
                <w:rFonts w:hint="eastAsia" w:ascii="宋体" w:hAnsi="宋体" w:cs="宋体"/>
              </w:rPr>
              <w:t>3500</w:t>
            </w:r>
            <w:r>
              <w:rPr>
                <w:rFonts w:hint="eastAsia" w:ascii="宋体" w:hAnsi="宋体" w:cs="宋体"/>
              </w:rPr>
              <w:br w:type="textWrapping"/>
            </w:r>
            <w:r>
              <w:rPr>
                <w:rFonts w:hint="eastAsia" w:ascii="宋体" w:hAnsi="宋体" w:cs="宋体"/>
              </w:rPr>
              <w:t>10000</w:t>
            </w:r>
            <w:r>
              <w:rPr>
                <w:rFonts w:hint="eastAsia" w:ascii="宋体" w:hAnsi="宋体" w:cs="宋体"/>
              </w:rPr>
              <w:br w:type="textWrapping"/>
            </w:r>
            <w:r>
              <w:rPr>
                <w:rFonts w:hint="eastAsia" w:ascii="宋体" w:hAnsi="宋体" w:cs="宋体"/>
              </w:rPr>
              <w:t>3000</w:t>
            </w:r>
            <w:r>
              <w:rPr>
                <w:rFonts w:hint="eastAsia" w:ascii="宋体" w:hAnsi="宋体" w:cs="宋体"/>
              </w:rPr>
              <w:br w:type="textWrapping"/>
            </w:r>
            <w:r>
              <w:rPr>
                <w:rFonts w:hint="eastAsia" w:ascii="宋体" w:hAnsi="宋体" w:cs="宋体"/>
              </w:rPr>
              <w:t>10500</w:t>
            </w:r>
          </w:p>
        </w:tc>
        <w:tc>
          <w:tcPr>
            <w:tcW w:w="1666" w:type="pct"/>
          </w:tcPr>
          <w:p w14:paraId="0B2D5B86">
            <w:pPr>
              <w:jc w:val="left"/>
              <w:rPr>
                <w:rFonts w:ascii="宋体" w:hAnsi="宋体" w:cs="宋体"/>
              </w:rPr>
            </w:pPr>
            <w:r>
              <w:rPr>
                <w:rFonts w:hint="eastAsia" w:ascii="宋体" w:hAnsi="宋体" w:cs="宋体"/>
              </w:rPr>
              <w:t>36000</w:t>
            </w:r>
            <w:r>
              <w:rPr>
                <w:rFonts w:hint="eastAsia" w:ascii="宋体" w:hAnsi="宋体" w:cs="宋体"/>
              </w:rPr>
              <w:br w:type="textWrapping"/>
            </w:r>
            <w:r>
              <w:rPr>
                <w:rFonts w:hint="eastAsia" w:ascii="宋体" w:hAnsi="宋体" w:cs="宋体"/>
              </w:rPr>
              <w:t>10年</w:t>
            </w:r>
            <w:r>
              <w:rPr>
                <w:rFonts w:hint="eastAsia" w:ascii="宋体" w:hAnsi="宋体" w:cs="宋体"/>
              </w:rPr>
              <w:br w:type="textWrapping"/>
            </w:r>
            <w:r>
              <w:rPr>
                <w:rFonts w:hint="eastAsia" w:ascii="宋体" w:hAnsi="宋体" w:cs="宋体"/>
              </w:rPr>
              <w:t>0年</w:t>
            </w:r>
            <w:r>
              <w:rPr>
                <w:rFonts w:hint="eastAsia" w:ascii="宋体" w:hAnsi="宋体" w:cs="宋体"/>
              </w:rPr>
              <w:br w:type="textWrapping"/>
            </w:r>
            <w:r>
              <w:rPr>
                <w:rFonts w:hint="eastAsia" w:ascii="宋体" w:hAnsi="宋体" w:cs="宋体"/>
              </w:rPr>
              <w:t>4000</w:t>
            </w:r>
            <w:r>
              <w:rPr>
                <w:rFonts w:hint="eastAsia" w:ascii="宋体" w:hAnsi="宋体" w:cs="宋体"/>
              </w:rPr>
              <w:br w:type="textWrapping"/>
            </w:r>
            <w:r>
              <w:rPr>
                <w:rFonts w:hint="eastAsia" w:ascii="宋体" w:hAnsi="宋体" w:cs="宋体"/>
              </w:rPr>
              <w:t>4200</w:t>
            </w:r>
            <w:r>
              <w:rPr>
                <w:rFonts w:hint="eastAsia" w:ascii="宋体" w:hAnsi="宋体" w:cs="宋体"/>
              </w:rPr>
              <w:br w:type="textWrapping"/>
            </w:r>
            <w:r>
              <w:rPr>
                <w:rFonts w:hint="eastAsia" w:ascii="宋体" w:hAnsi="宋体" w:cs="宋体"/>
              </w:rPr>
              <w:t>36000</w:t>
            </w:r>
            <w:r>
              <w:rPr>
                <w:rFonts w:hint="eastAsia" w:ascii="宋体" w:hAnsi="宋体" w:cs="宋体"/>
              </w:rPr>
              <w:br w:type="textWrapping"/>
            </w:r>
            <w:r>
              <w:rPr>
                <w:rFonts w:hint="eastAsia" w:ascii="宋体" w:hAnsi="宋体" w:cs="宋体"/>
              </w:rPr>
              <w:t>3200</w:t>
            </w:r>
            <w:r>
              <w:rPr>
                <w:rFonts w:hint="eastAsia" w:ascii="宋体" w:hAnsi="宋体" w:cs="宋体"/>
              </w:rPr>
              <w:br w:type="textWrapping"/>
            </w:r>
            <w:r>
              <w:rPr>
                <w:rFonts w:hint="eastAsia" w:ascii="宋体" w:hAnsi="宋体" w:cs="宋体"/>
              </w:rPr>
              <w:t>8000</w:t>
            </w:r>
          </w:p>
        </w:tc>
      </w:tr>
    </w:tbl>
    <w:p w14:paraId="1308BE99">
      <w:pPr>
        <w:jc w:val="left"/>
        <w:rPr>
          <w:rFonts w:ascii="宋体" w:hAnsi="宋体" w:cs="宋体"/>
        </w:rPr>
      </w:pPr>
      <w:r>
        <w:rPr>
          <w:rFonts w:hint="eastAsia" w:ascii="宋体" w:hAnsi="宋体" w:cs="宋体"/>
        </w:rPr>
        <w:t>（1）新设备</w:t>
      </w:r>
    </w:p>
    <w:p w14:paraId="55AC11C3">
      <w:pPr>
        <w:jc w:val="left"/>
        <w:rPr>
          <w:rFonts w:ascii="宋体" w:hAnsi="宋体" w:cs="宋体"/>
        </w:rPr>
      </w:pPr>
      <w:r>
        <w:rPr>
          <w:rFonts w:hint="eastAsia" w:ascii="宋体" w:hAnsi="宋体" w:cs="宋体"/>
        </w:rPr>
        <w:t>投资期：新设备的购价为36000元</w:t>
      </w:r>
    </w:p>
    <w:p w14:paraId="5F4EDEAD">
      <w:pPr>
        <w:jc w:val="left"/>
        <w:rPr>
          <w:rFonts w:ascii="宋体" w:hAnsi="宋体" w:cs="宋体"/>
        </w:rPr>
      </w:pPr>
      <w:r>
        <w:rPr>
          <w:rFonts w:hint="eastAsia" w:ascii="宋体" w:hAnsi="宋体" w:cs="宋体"/>
        </w:rPr>
        <w:t>营运期：每年折旧抵税=3200×25%=800（元）</w:t>
      </w:r>
    </w:p>
    <w:p w14:paraId="7CFF9D93">
      <w:pPr>
        <w:jc w:val="left"/>
        <w:rPr>
          <w:rFonts w:ascii="宋体" w:hAnsi="宋体" w:cs="宋体"/>
        </w:rPr>
      </w:pPr>
      <w:r>
        <w:rPr>
          <w:rFonts w:hint="eastAsia" w:ascii="宋体" w:hAnsi="宋体" w:cs="宋体"/>
        </w:rPr>
        <w:t>每年税后营运成本＝8000×（1－25%）=6000（元）</w:t>
      </w:r>
    </w:p>
    <w:p w14:paraId="6C36C743">
      <w:pPr>
        <w:jc w:val="left"/>
        <w:rPr>
          <w:rFonts w:ascii="宋体" w:hAnsi="宋体" w:cs="宋体"/>
        </w:rPr>
      </w:pPr>
      <w:r>
        <w:rPr>
          <w:rFonts w:hint="eastAsia" w:ascii="宋体" w:hAnsi="宋体" w:cs="宋体"/>
        </w:rPr>
        <w:t>终结期：税后残值净收入=4200－（4200－4000）×25%=4150（元）</w:t>
      </w:r>
    </w:p>
    <w:p w14:paraId="74A3D4D1">
      <w:pPr>
        <w:jc w:val="left"/>
        <w:rPr>
          <w:rFonts w:ascii="宋体" w:hAnsi="宋体" w:cs="宋体"/>
        </w:rPr>
      </w:pPr>
      <w:r>
        <w:rPr>
          <w:rFonts w:hint="eastAsia" w:ascii="宋体" w:hAnsi="宋体" w:cs="宋体"/>
        </w:rPr>
        <w:t>现金流出总现值=36000＋5200×（P/A,15%,10）- 4150×（P/F,15%,10）=61071.88（元）</w:t>
      </w:r>
    </w:p>
    <w:p w14:paraId="10056442">
      <w:pPr>
        <w:jc w:val="left"/>
        <w:rPr>
          <w:rFonts w:ascii="宋体" w:hAnsi="宋体" w:cs="宋体"/>
        </w:rPr>
      </w:pPr>
      <w:r>
        <w:rPr>
          <w:rFonts w:hint="eastAsia" w:ascii="宋体" w:hAnsi="宋体" w:cs="宋体"/>
        </w:rPr>
        <w:t>年金成本=61071.88/（P/A,15%,10）＝12169（元）</w:t>
      </w:r>
    </w:p>
    <w:p w14:paraId="1FF9763F">
      <w:pPr>
        <w:jc w:val="left"/>
        <w:rPr>
          <w:rFonts w:ascii="宋体" w:hAnsi="宋体" w:cs="宋体"/>
        </w:rPr>
      </w:pPr>
      <w:r>
        <w:rPr>
          <w:rFonts w:hint="eastAsia" w:ascii="宋体" w:hAnsi="宋体" w:cs="宋体"/>
        </w:rPr>
        <w:t>（2）旧设备</w:t>
      </w:r>
    </w:p>
    <w:p w14:paraId="02E58093">
      <w:pPr>
        <w:jc w:val="left"/>
        <w:rPr>
          <w:rFonts w:ascii="宋体" w:hAnsi="宋体" w:cs="宋体"/>
        </w:rPr>
      </w:pPr>
      <w:r>
        <w:rPr>
          <w:rFonts w:hint="eastAsia" w:ascii="宋体" w:hAnsi="宋体" w:cs="宋体"/>
        </w:rPr>
        <w:t>投资期：旧设备投资额＝10000＋（23000－10000）×25%=13250（元）</w:t>
      </w:r>
    </w:p>
    <w:p w14:paraId="78EBB288">
      <w:pPr>
        <w:jc w:val="left"/>
        <w:rPr>
          <w:rFonts w:ascii="宋体" w:hAnsi="宋体" w:cs="宋体"/>
        </w:rPr>
      </w:pPr>
      <w:r>
        <w:rPr>
          <w:rFonts w:hint="eastAsia" w:ascii="宋体" w:hAnsi="宋体" w:cs="宋体"/>
        </w:rPr>
        <w:t>营运期：每年折旧抵税=3000×25%=750（元）</w:t>
      </w:r>
    </w:p>
    <w:p w14:paraId="700E498E">
      <w:pPr>
        <w:jc w:val="left"/>
        <w:rPr>
          <w:rFonts w:ascii="宋体" w:hAnsi="宋体" w:cs="宋体"/>
        </w:rPr>
      </w:pPr>
      <w:r>
        <w:rPr>
          <w:rFonts w:hint="eastAsia" w:ascii="宋体" w:hAnsi="宋体" w:cs="宋体"/>
        </w:rPr>
        <w:t>每年税后营运成本=10500×（1-25%）＝7875（元）</w:t>
      </w:r>
    </w:p>
    <w:p w14:paraId="67BB1C3D">
      <w:pPr>
        <w:jc w:val="left"/>
        <w:rPr>
          <w:rFonts w:ascii="宋体" w:hAnsi="宋体" w:cs="宋体"/>
        </w:rPr>
      </w:pPr>
      <w:r>
        <w:rPr>
          <w:rFonts w:hint="eastAsia" w:ascii="宋体" w:hAnsi="宋体" w:cs="宋体"/>
        </w:rPr>
        <w:t>终结期：旧设备税后残值净收入＝3500＋（5000－3500）×25%＝3875（元）</w:t>
      </w:r>
    </w:p>
    <w:p w14:paraId="09245BAF">
      <w:pPr>
        <w:jc w:val="left"/>
        <w:rPr>
          <w:rFonts w:ascii="宋体" w:hAnsi="宋体" w:cs="宋体"/>
        </w:rPr>
      </w:pPr>
      <w:r>
        <w:rPr>
          <w:rFonts w:hint="eastAsia" w:ascii="宋体" w:hAnsi="宋体" w:cs="宋体"/>
        </w:rPr>
        <w:t>现金流出总现值=13250＋7125×（P/A,15%,6）- 3875×（P/F,15%,6）=38539.4（元）</w:t>
      </w:r>
    </w:p>
    <w:p w14:paraId="50C962B5">
      <w:pPr>
        <w:jc w:val="left"/>
        <w:rPr>
          <w:rFonts w:ascii="宋体" w:hAnsi="宋体" w:cs="宋体"/>
        </w:rPr>
      </w:pPr>
      <w:r>
        <w:rPr>
          <w:rFonts w:hint="eastAsia" w:ascii="宋体" w:hAnsi="宋体" w:cs="宋体"/>
        </w:rPr>
        <w:t>年金成本=38539.4/（P/A,15%,6）＝10183（元）</w:t>
      </w:r>
    </w:p>
    <w:p w14:paraId="03FB1E42">
      <w:pPr>
        <w:jc w:val="left"/>
        <w:rPr>
          <w:rFonts w:ascii="宋体" w:hAnsi="宋体" w:cs="宋体"/>
        </w:rPr>
      </w:pPr>
      <w:r>
        <w:rPr>
          <w:rFonts w:hint="eastAsia" w:ascii="宋体" w:hAnsi="宋体" w:cs="宋体"/>
        </w:rPr>
        <w:t>上述计算表明，继续使用旧设备的年金成本为10183元，低于购买新设备的年金成本12169元，应采用继续使用旧设备方案。</w:t>
      </w:r>
    </w:p>
    <w:p w14:paraId="63DCFEFF">
      <w:pPr>
        <w:jc w:val="left"/>
        <w:rPr>
          <w:rFonts w:ascii="宋体" w:hAnsi="宋体" w:cs="宋体"/>
        </w:rPr>
      </w:pPr>
    </w:p>
    <w:p w14:paraId="6D55A5A0">
      <w:pPr>
        <w:jc w:val="left"/>
        <w:rPr>
          <w:rFonts w:ascii="宋体" w:hAnsi="宋体" w:cs="宋体"/>
        </w:rPr>
      </w:pPr>
      <w:r>
        <w:rPr>
          <w:rFonts w:hint="eastAsia" w:ascii="宋体" w:hAnsi="宋体" w:cs="宋体"/>
        </w:rPr>
        <w:t>【单选题】（2021年）已知某固定资产的账面原值为1000万元，已计提折旧800万元，现可售价120万元，所得税税率为25％，该设备变现产生的现金净流量为（  ）万元。</w:t>
      </w:r>
    </w:p>
    <w:p w14:paraId="2E08484C">
      <w:pPr>
        <w:jc w:val="left"/>
        <w:rPr>
          <w:rFonts w:ascii="宋体" w:hAnsi="宋体" w:cs="宋体"/>
        </w:rPr>
      </w:pPr>
      <w:r>
        <w:rPr>
          <w:rFonts w:hint="eastAsia" w:ascii="宋体" w:hAnsi="宋体" w:cs="宋体"/>
        </w:rPr>
        <w:t xml:space="preserve">A.120                     B.200            </w:t>
      </w:r>
    </w:p>
    <w:p w14:paraId="272AC8DD">
      <w:pPr>
        <w:jc w:val="left"/>
        <w:rPr>
          <w:rFonts w:ascii="宋体" w:hAnsi="宋体" w:cs="宋体"/>
        </w:rPr>
      </w:pPr>
      <w:r>
        <w:rPr>
          <w:rFonts w:hint="eastAsia" w:ascii="宋体" w:hAnsi="宋体" w:cs="宋体"/>
        </w:rPr>
        <w:t>C.320                     D.140</w:t>
      </w:r>
    </w:p>
    <w:p w14:paraId="6377C72D">
      <w:pPr>
        <w:jc w:val="left"/>
        <w:rPr>
          <w:rFonts w:ascii="宋体" w:hAnsi="宋体" w:cs="宋体"/>
        </w:rPr>
      </w:pPr>
      <w:r>
        <w:rPr>
          <w:rFonts w:hint="eastAsia" w:ascii="宋体" w:hAnsi="宋体" w:cs="宋体"/>
        </w:rPr>
        <w:t>答案：D</w:t>
      </w:r>
    </w:p>
    <w:p w14:paraId="6133D710">
      <w:pPr>
        <w:jc w:val="left"/>
        <w:rPr>
          <w:rFonts w:hint="eastAsia" w:ascii="宋体" w:hAnsi="宋体" w:cs="宋体"/>
        </w:rPr>
      </w:pPr>
      <w:r>
        <w:rPr>
          <w:rFonts w:hint="eastAsia" w:ascii="宋体" w:hAnsi="宋体" w:cs="宋体"/>
        </w:rPr>
        <w:t>解析：处置时的账面价值=1000－800＝200（万元）变现损失抵税额＝（200－120）×25％＝20（万元）设备变现产生的现金净流量＝120＋20＝140（万元）</w:t>
      </w:r>
    </w:p>
    <w:p w14:paraId="05956F3C">
      <w:pPr>
        <w:overflowPunct w:val="0"/>
        <w:jc w:val="center"/>
        <w:rPr>
          <w:rFonts w:ascii="宋体" w:hAnsi="宋体" w:cs="宋体"/>
          <w:b/>
          <w:bCs/>
        </w:rPr>
      </w:pPr>
      <w:r>
        <w:rPr>
          <w:rFonts w:hint="eastAsia" w:ascii="宋体" w:hAnsi="宋体" w:cs="宋体"/>
          <w:b/>
          <w:bCs/>
        </w:rPr>
        <w:t>第四节  证券投资管理</w:t>
      </w:r>
    </w:p>
    <w:p w14:paraId="3D4069AC">
      <w:pPr>
        <w:jc w:val="left"/>
        <w:rPr>
          <w:rFonts w:ascii="宋体" w:hAnsi="宋体" w:cs="宋体"/>
          <w:color w:val="FF0000"/>
        </w:rPr>
      </w:pPr>
      <w:r>
        <w:rPr>
          <w:rFonts w:hint="eastAsia" w:ascii="宋体" w:hAnsi="宋体" w:cs="宋体"/>
          <w:color w:val="FF0000"/>
        </w:rPr>
        <w:t>【知识点1】证券资产的特点</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8258"/>
      </w:tblGrid>
      <w:tr w14:paraId="1C43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67CFEF6B">
            <w:pPr>
              <w:jc w:val="left"/>
              <w:rPr>
                <w:rFonts w:ascii="宋体" w:hAnsi="宋体" w:cs="宋体"/>
              </w:rPr>
            </w:pPr>
            <w:r>
              <w:rPr>
                <w:rFonts w:hint="eastAsia" w:ascii="宋体" w:hAnsi="宋体" w:cs="宋体"/>
              </w:rPr>
              <w:t>特点</w:t>
            </w:r>
          </w:p>
        </w:tc>
        <w:tc>
          <w:tcPr>
            <w:tcW w:w="4073" w:type="pct"/>
          </w:tcPr>
          <w:p w14:paraId="02225E34">
            <w:pPr>
              <w:jc w:val="left"/>
              <w:rPr>
                <w:rFonts w:ascii="宋体" w:hAnsi="宋体" w:cs="宋体"/>
              </w:rPr>
            </w:pPr>
            <w:r>
              <w:rPr>
                <w:rFonts w:hint="eastAsia" w:ascii="宋体" w:hAnsi="宋体" w:cs="宋体"/>
              </w:rPr>
              <w:t>含义</w:t>
            </w:r>
          </w:p>
        </w:tc>
      </w:tr>
      <w:tr w14:paraId="55EA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DBB2509">
            <w:pPr>
              <w:jc w:val="left"/>
              <w:rPr>
                <w:rFonts w:ascii="宋体" w:hAnsi="宋体" w:cs="宋体"/>
              </w:rPr>
            </w:pPr>
            <w:r>
              <w:rPr>
                <w:rFonts w:hint="eastAsia" w:ascii="宋体" w:hAnsi="宋体" w:cs="宋体"/>
              </w:rPr>
              <w:t>价值虚拟性</w:t>
            </w:r>
          </w:p>
        </w:tc>
        <w:tc>
          <w:tcPr>
            <w:tcW w:w="4073" w:type="pct"/>
          </w:tcPr>
          <w:p w14:paraId="30B68B21">
            <w:pPr>
              <w:jc w:val="left"/>
              <w:rPr>
                <w:rFonts w:ascii="宋体" w:hAnsi="宋体" w:cs="宋体"/>
              </w:rPr>
            </w:pPr>
            <w:r>
              <w:rPr>
                <w:rFonts w:hint="eastAsia" w:ascii="宋体" w:hAnsi="宋体" w:cs="宋体"/>
              </w:rPr>
              <w:t>证券资产的价值取决于</w:t>
            </w:r>
            <w:r>
              <w:rPr>
                <w:rFonts w:hint="eastAsia" w:ascii="宋体" w:hAnsi="宋体" w:cs="宋体"/>
                <w:color w:val="FF0000"/>
              </w:rPr>
              <w:t>契约性权利</w:t>
            </w:r>
            <w:r>
              <w:rPr>
                <w:rFonts w:hint="eastAsia" w:ascii="宋体" w:hAnsi="宋体" w:cs="宋体"/>
              </w:rPr>
              <w:t>所能带来的</w:t>
            </w:r>
            <w:r>
              <w:rPr>
                <w:rFonts w:hint="eastAsia" w:ascii="宋体" w:hAnsi="宋体" w:cs="宋体"/>
                <w:color w:val="FF0000"/>
              </w:rPr>
              <w:t>未来现金流量</w:t>
            </w:r>
            <w:r>
              <w:rPr>
                <w:rFonts w:hint="eastAsia" w:ascii="宋体" w:hAnsi="宋体" w:cs="宋体"/>
              </w:rPr>
              <w:t>，是一种未来现金流量折现的资本化价值</w:t>
            </w:r>
          </w:p>
        </w:tc>
      </w:tr>
      <w:tr w14:paraId="457A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4E870A24">
            <w:pPr>
              <w:jc w:val="left"/>
              <w:rPr>
                <w:rFonts w:ascii="宋体" w:hAnsi="宋体" w:cs="宋体"/>
              </w:rPr>
            </w:pPr>
            <w:r>
              <w:rPr>
                <w:rFonts w:hint="eastAsia" w:ascii="宋体" w:hAnsi="宋体" w:cs="宋体"/>
              </w:rPr>
              <w:t>可分割性</w:t>
            </w:r>
          </w:p>
        </w:tc>
        <w:tc>
          <w:tcPr>
            <w:tcW w:w="4073" w:type="pct"/>
          </w:tcPr>
          <w:p w14:paraId="6D371B95">
            <w:pPr>
              <w:jc w:val="left"/>
              <w:rPr>
                <w:rFonts w:ascii="宋体" w:hAnsi="宋体" w:cs="宋体"/>
              </w:rPr>
            </w:pPr>
            <w:r>
              <w:rPr>
                <w:rFonts w:hint="eastAsia" w:ascii="宋体" w:hAnsi="宋体" w:cs="宋体"/>
              </w:rPr>
              <w:t>证券资产可以分割为一个最小的投资单位</w:t>
            </w:r>
          </w:p>
        </w:tc>
      </w:tr>
      <w:tr w14:paraId="4A7A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BDEE87E">
            <w:pPr>
              <w:jc w:val="left"/>
              <w:rPr>
                <w:rFonts w:ascii="宋体" w:hAnsi="宋体" w:cs="宋体"/>
              </w:rPr>
            </w:pPr>
            <w:r>
              <w:rPr>
                <w:rFonts w:hint="eastAsia" w:ascii="宋体" w:hAnsi="宋体" w:cs="宋体"/>
              </w:rPr>
              <w:t>持有目的多元性</w:t>
            </w:r>
          </w:p>
        </w:tc>
        <w:tc>
          <w:tcPr>
            <w:tcW w:w="4073" w:type="pct"/>
          </w:tcPr>
          <w:p w14:paraId="4ED6BA53">
            <w:pPr>
              <w:jc w:val="left"/>
              <w:rPr>
                <w:rFonts w:ascii="宋体" w:hAnsi="宋体" w:cs="宋体"/>
              </w:rPr>
            </w:pPr>
            <w:r>
              <w:rPr>
                <w:rFonts w:hint="eastAsia" w:ascii="宋体" w:hAnsi="宋体" w:cs="宋体"/>
              </w:rPr>
              <w:t>未来变现；获得资本利得；控制其他企业</w:t>
            </w:r>
          </w:p>
        </w:tc>
      </w:tr>
      <w:tr w14:paraId="3A5D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20D02318">
            <w:pPr>
              <w:jc w:val="left"/>
              <w:rPr>
                <w:rFonts w:ascii="宋体" w:hAnsi="宋体" w:cs="宋体"/>
              </w:rPr>
            </w:pPr>
            <w:r>
              <w:rPr>
                <w:rFonts w:hint="eastAsia" w:ascii="宋体" w:hAnsi="宋体" w:cs="宋体"/>
              </w:rPr>
              <w:t>强流动性</w:t>
            </w:r>
          </w:p>
        </w:tc>
        <w:tc>
          <w:tcPr>
            <w:tcW w:w="4073" w:type="pct"/>
          </w:tcPr>
          <w:p w14:paraId="5EDD1169">
            <w:pPr>
              <w:jc w:val="left"/>
              <w:rPr>
                <w:rFonts w:ascii="宋体" w:hAnsi="宋体" w:cs="宋体"/>
              </w:rPr>
            </w:pPr>
            <w:r>
              <w:rPr>
                <w:rFonts w:hint="eastAsia" w:ascii="宋体" w:hAnsi="宋体" w:cs="宋体"/>
              </w:rPr>
              <w:t>变现能力强； 持有目的可以相互转换</w:t>
            </w:r>
          </w:p>
        </w:tc>
      </w:tr>
      <w:tr w14:paraId="1D19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43B2780B">
            <w:pPr>
              <w:jc w:val="left"/>
              <w:rPr>
                <w:rFonts w:ascii="宋体" w:hAnsi="宋体" w:cs="宋体"/>
              </w:rPr>
            </w:pPr>
            <w:r>
              <w:rPr>
                <w:rFonts w:hint="eastAsia" w:ascii="宋体" w:hAnsi="宋体" w:cs="宋体"/>
              </w:rPr>
              <w:t>高风险性</w:t>
            </w:r>
          </w:p>
        </w:tc>
        <w:tc>
          <w:tcPr>
            <w:tcW w:w="4073" w:type="pct"/>
          </w:tcPr>
          <w:p w14:paraId="0DB8CE31">
            <w:pPr>
              <w:jc w:val="left"/>
              <w:rPr>
                <w:rFonts w:ascii="宋体" w:hAnsi="宋体" w:cs="宋体"/>
              </w:rPr>
            </w:pPr>
            <w:r>
              <w:rPr>
                <w:rFonts w:hint="eastAsia" w:ascii="宋体" w:hAnsi="宋体" w:cs="宋体"/>
              </w:rPr>
              <w:t>受公司风险和市场风险的双重影响</w:t>
            </w:r>
          </w:p>
        </w:tc>
      </w:tr>
    </w:tbl>
    <w:p w14:paraId="2CB61489">
      <w:pPr>
        <w:jc w:val="left"/>
        <w:rPr>
          <w:rFonts w:ascii="宋体" w:hAnsi="宋体" w:cs="宋体"/>
          <w:color w:val="FF0000"/>
        </w:rPr>
      </w:pPr>
      <w:r>
        <w:rPr>
          <w:rFonts w:hint="eastAsia" w:ascii="宋体" w:hAnsi="宋体" w:cs="宋体"/>
          <w:color w:val="FF0000"/>
        </w:rPr>
        <w:t>【知识点2】证券投资的风险</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5"/>
        <w:gridCol w:w="1449"/>
        <w:gridCol w:w="6952"/>
      </w:tblGrid>
      <w:tr w14:paraId="2D41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34604614">
            <w:pPr>
              <w:jc w:val="left"/>
              <w:rPr>
                <w:rFonts w:ascii="宋体" w:hAnsi="宋体" w:cs="宋体"/>
              </w:rPr>
            </w:pPr>
            <w:r>
              <w:rPr>
                <w:rFonts w:hint="eastAsia" w:ascii="宋体" w:hAnsi="宋体" w:cs="宋体"/>
              </w:rPr>
              <w:t>系统性风险</w:t>
            </w:r>
          </w:p>
        </w:tc>
        <w:tc>
          <w:tcPr>
            <w:tcW w:w="715" w:type="pct"/>
          </w:tcPr>
          <w:p w14:paraId="577A124E">
            <w:pPr>
              <w:jc w:val="left"/>
              <w:rPr>
                <w:rFonts w:ascii="宋体" w:hAnsi="宋体" w:cs="宋体"/>
              </w:rPr>
            </w:pPr>
            <w:r>
              <w:rPr>
                <w:rFonts w:hint="eastAsia" w:ascii="宋体" w:hAnsi="宋体" w:cs="宋体"/>
              </w:rPr>
              <w:t>价格风险</w:t>
            </w:r>
          </w:p>
        </w:tc>
        <w:tc>
          <w:tcPr>
            <w:tcW w:w="3429" w:type="pct"/>
          </w:tcPr>
          <w:p w14:paraId="344F8150">
            <w:pPr>
              <w:jc w:val="left"/>
              <w:rPr>
                <w:rFonts w:ascii="宋体" w:hAnsi="宋体" w:cs="宋体"/>
              </w:rPr>
            </w:pPr>
            <w:r>
              <w:rPr>
                <w:rFonts w:hint="eastAsia" w:ascii="宋体" w:hAnsi="宋体" w:cs="宋体"/>
              </w:rPr>
              <w:t>市场利率</w:t>
            </w:r>
            <w:r>
              <w:rPr>
                <w:rFonts w:hint="eastAsia" w:ascii="宋体" w:hAnsi="宋体" w:cs="宋体"/>
                <w:color w:val="FF0000"/>
              </w:rPr>
              <w:t>上升</w:t>
            </w:r>
            <w:r>
              <w:rPr>
                <w:rFonts w:hint="eastAsia" w:ascii="宋体" w:hAnsi="宋体" w:cs="宋体"/>
              </w:rPr>
              <w:t>，使证券资产价格普遍下跌可能性</w:t>
            </w:r>
          </w:p>
        </w:tc>
      </w:tr>
      <w:tr w14:paraId="7AEB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6DEC6E1E">
            <w:pPr>
              <w:jc w:val="left"/>
              <w:rPr>
                <w:rFonts w:ascii="宋体" w:hAnsi="宋体" w:cs="宋体"/>
              </w:rPr>
            </w:pPr>
          </w:p>
        </w:tc>
        <w:tc>
          <w:tcPr>
            <w:tcW w:w="715" w:type="pct"/>
          </w:tcPr>
          <w:p w14:paraId="0401A07C">
            <w:pPr>
              <w:jc w:val="left"/>
              <w:rPr>
                <w:rFonts w:ascii="宋体" w:hAnsi="宋体" w:cs="宋体"/>
              </w:rPr>
            </w:pPr>
            <w:r>
              <w:rPr>
                <w:rFonts w:hint="eastAsia" w:ascii="宋体" w:hAnsi="宋体" w:cs="宋体"/>
              </w:rPr>
              <w:t>再投资风险</w:t>
            </w:r>
          </w:p>
        </w:tc>
        <w:tc>
          <w:tcPr>
            <w:tcW w:w="3429" w:type="pct"/>
          </w:tcPr>
          <w:p w14:paraId="0E0AD8AB">
            <w:pPr>
              <w:jc w:val="left"/>
              <w:rPr>
                <w:rFonts w:ascii="宋体" w:hAnsi="宋体" w:cs="宋体"/>
              </w:rPr>
            </w:pPr>
            <w:r>
              <w:rPr>
                <w:rFonts w:hint="eastAsia" w:ascii="宋体" w:hAnsi="宋体" w:cs="宋体"/>
              </w:rPr>
              <w:t>市场利率</w:t>
            </w:r>
            <w:r>
              <w:rPr>
                <w:rFonts w:hint="eastAsia" w:ascii="宋体" w:hAnsi="宋体" w:cs="宋体"/>
                <w:color w:val="FF0000"/>
              </w:rPr>
              <w:t>下降</w:t>
            </w:r>
            <w:r>
              <w:rPr>
                <w:rFonts w:hint="eastAsia" w:ascii="宋体" w:hAnsi="宋体" w:cs="宋体"/>
              </w:rPr>
              <w:t>，造成的无法通过再投资而实现预期收益的可能性</w:t>
            </w:r>
          </w:p>
        </w:tc>
      </w:tr>
      <w:tr w14:paraId="5F23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6C44BAFA">
            <w:pPr>
              <w:jc w:val="left"/>
              <w:rPr>
                <w:rFonts w:ascii="宋体" w:hAnsi="宋体" w:cs="宋体"/>
              </w:rPr>
            </w:pPr>
          </w:p>
        </w:tc>
        <w:tc>
          <w:tcPr>
            <w:tcW w:w="715" w:type="pct"/>
          </w:tcPr>
          <w:p w14:paraId="28FE27D1">
            <w:pPr>
              <w:jc w:val="left"/>
              <w:rPr>
                <w:rFonts w:ascii="宋体" w:hAnsi="宋体" w:cs="宋体"/>
              </w:rPr>
            </w:pPr>
            <w:r>
              <w:rPr>
                <w:rFonts w:hint="eastAsia" w:ascii="宋体" w:hAnsi="宋体" w:cs="宋体"/>
              </w:rPr>
              <w:t>购买力风险</w:t>
            </w:r>
          </w:p>
        </w:tc>
        <w:tc>
          <w:tcPr>
            <w:tcW w:w="3429" w:type="pct"/>
          </w:tcPr>
          <w:p w14:paraId="2E15E04D">
            <w:pPr>
              <w:jc w:val="left"/>
              <w:rPr>
                <w:rFonts w:ascii="宋体" w:hAnsi="宋体" w:cs="宋体"/>
              </w:rPr>
            </w:pPr>
            <w:r>
              <w:rPr>
                <w:rFonts w:hint="eastAsia" w:ascii="宋体" w:hAnsi="宋体" w:cs="宋体"/>
              </w:rPr>
              <w:t>由于</w:t>
            </w:r>
            <w:r>
              <w:rPr>
                <w:rFonts w:hint="eastAsia" w:ascii="宋体" w:hAnsi="宋体" w:cs="宋体"/>
                <w:color w:val="FF0000"/>
              </w:rPr>
              <w:t>通货膨胀</w:t>
            </w:r>
            <w:r>
              <w:rPr>
                <w:rFonts w:hint="eastAsia" w:ascii="宋体" w:hAnsi="宋体" w:cs="宋体"/>
              </w:rPr>
              <w:t>而使货币购买力下降的可能性</w:t>
            </w:r>
          </w:p>
        </w:tc>
      </w:tr>
      <w:tr w14:paraId="795F0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tcPr>
          <w:p w14:paraId="5BC80352">
            <w:pPr>
              <w:jc w:val="left"/>
              <w:rPr>
                <w:rFonts w:ascii="宋体" w:hAnsi="宋体" w:cs="宋体"/>
              </w:rPr>
            </w:pPr>
            <w:r>
              <w:rPr>
                <w:rFonts w:hint="eastAsia" w:ascii="宋体" w:hAnsi="宋体" w:cs="宋体"/>
              </w:rPr>
              <w:t>非系统性风险</w:t>
            </w:r>
          </w:p>
        </w:tc>
        <w:tc>
          <w:tcPr>
            <w:tcW w:w="715" w:type="pct"/>
          </w:tcPr>
          <w:p w14:paraId="6CD6A23B">
            <w:pPr>
              <w:jc w:val="left"/>
              <w:rPr>
                <w:rFonts w:ascii="宋体" w:hAnsi="宋体" w:cs="宋体"/>
              </w:rPr>
            </w:pPr>
            <w:r>
              <w:rPr>
                <w:rFonts w:hint="eastAsia" w:ascii="宋体" w:hAnsi="宋体" w:cs="宋体"/>
              </w:rPr>
              <w:t>违约风险</w:t>
            </w:r>
          </w:p>
        </w:tc>
        <w:tc>
          <w:tcPr>
            <w:tcW w:w="3429" w:type="pct"/>
          </w:tcPr>
          <w:p w14:paraId="7BE2B060">
            <w:pPr>
              <w:jc w:val="left"/>
              <w:rPr>
                <w:rFonts w:ascii="宋体" w:hAnsi="宋体" w:cs="宋体"/>
              </w:rPr>
            </w:pPr>
            <w:r>
              <w:rPr>
                <w:rFonts w:hint="eastAsia" w:ascii="宋体" w:hAnsi="宋体" w:cs="宋体"/>
              </w:rPr>
              <w:t>证券资产发行者无法按时兑付证券资产利息和偿还本金的可能性</w:t>
            </w:r>
          </w:p>
        </w:tc>
      </w:tr>
      <w:tr w14:paraId="275F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42C16635">
            <w:pPr>
              <w:jc w:val="left"/>
              <w:rPr>
                <w:rFonts w:ascii="宋体" w:hAnsi="宋体" w:cs="宋体"/>
              </w:rPr>
            </w:pPr>
          </w:p>
        </w:tc>
        <w:tc>
          <w:tcPr>
            <w:tcW w:w="715" w:type="pct"/>
          </w:tcPr>
          <w:p w14:paraId="581598FD">
            <w:pPr>
              <w:jc w:val="left"/>
              <w:rPr>
                <w:rFonts w:ascii="宋体" w:hAnsi="宋体" w:cs="宋体"/>
              </w:rPr>
            </w:pPr>
            <w:r>
              <w:rPr>
                <w:rFonts w:hint="eastAsia" w:ascii="宋体" w:hAnsi="宋体" w:cs="宋体"/>
              </w:rPr>
              <w:t>变现风险</w:t>
            </w:r>
          </w:p>
        </w:tc>
        <w:tc>
          <w:tcPr>
            <w:tcW w:w="3429" w:type="pct"/>
          </w:tcPr>
          <w:p w14:paraId="3E073499">
            <w:pPr>
              <w:jc w:val="left"/>
              <w:rPr>
                <w:rFonts w:ascii="宋体" w:hAnsi="宋体" w:cs="宋体"/>
              </w:rPr>
            </w:pPr>
            <w:r>
              <w:rPr>
                <w:rFonts w:hint="eastAsia" w:ascii="宋体" w:hAnsi="宋体" w:cs="宋体"/>
              </w:rPr>
              <w:t>证券资产持有者无法在市场上以</w:t>
            </w:r>
            <w:r>
              <w:rPr>
                <w:rFonts w:hint="eastAsia" w:ascii="宋体" w:hAnsi="宋体" w:cs="宋体"/>
                <w:color w:val="FF0000"/>
              </w:rPr>
              <w:t>正常的价格</w:t>
            </w:r>
            <w:r>
              <w:rPr>
                <w:rFonts w:hint="eastAsia" w:ascii="宋体" w:hAnsi="宋体" w:cs="宋体"/>
              </w:rPr>
              <w:t>平仓出货的可能性</w:t>
            </w:r>
          </w:p>
        </w:tc>
      </w:tr>
      <w:tr w14:paraId="773C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14:paraId="505061E4">
            <w:pPr>
              <w:jc w:val="left"/>
              <w:rPr>
                <w:rFonts w:ascii="宋体" w:hAnsi="宋体" w:cs="宋体"/>
              </w:rPr>
            </w:pPr>
          </w:p>
        </w:tc>
        <w:tc>
          <w:tcPr>
            <w:tcW w:w="715" w:type="pct"/>
          </w:tcPr>
          <w:p w14:paraId="4AE81422">
            <w:pPr>
              <w:jc w:val="left"/>
              <w:rPr>
                <w:rFonts w:ascii="宋体" w:hAnsi="宋体" w:cs="宋体"/>
              </w:rPr>
            </w:pPr>
            <w:r>
              <w:rPr>
                <w:rFonts w:hint="eastAsia" w:ascii="宋体" w:hAnsi="宋体" w:cs="宋体"/>
              </w:rPr>
              <w:t>破产风险</w:t>
            </w:r>
          </w:p>
        </w:tc>
        <w:tc>
          <w:tcPr>
            <w:tcW w:w="3429" w:type="pct"/>
          </w:tcPr>
          <w:p w14:paraId="60C0ED21">
            <w:pPr>
              <w:jc w:val="left"/>
              <w:rPr>
                <w:rFonts w:ascii="宋体" w:hAnsi="宋体" w:cs="宋体"/>
              </w:rPr>
            </w:pPr>
            <w:r>
              <w:rPr>
                <w:rFonts w:hint="eastAsia" w:ascii="宋体" w:hAnsi="宋体" w:cs="宋体"/>
              </w:rPr>
              <w:t>证券资产发行者破产清算时投资者无法收回应得权益的可能性</w:t>
            </w:r>
          </w:p>
        </w:tc>
      </w:tr>
    </w:tbl>
    <w:p w14:paraId="1D657C24">
      <w:pPr>
        <w:jc w:val="left"/>
        <w:rPr>
          <w:rFonts w:ascii="宋体" w:hAnsi="宋体" w:cs="宋体"/>
        </w:rPr>
      </w:pPr>
    </w:p>
    <w:p w14:paraId="37CA5C88">
      <w:pPr>
        <w:jc w:val="left"/>
        <w:rPr>
          <w:rFonts w:ascii="宋体" w:hAnsi="宋体" w:cs="宋体"/>
        </w:rPr>
      </w:pPr>
      <w:r>
        <w:rPr>
          <w:rFonts w:hint="eastAsia" w:ascii="宋体" w:hAnsi="宋体" w:cs="宋体"/>
        </w:rPr>
        <w:t>【单选题】（2023年）由于市场利率上升，而使证券资产价格具有普遍下跌的可能，投资者由此蒙受损失，此类</w:t>
      </w:r>
    </w:p>
    <w:p w14:paraId="65626EDB">
      <w:pPr>
        <w:jc w:val="left"/>
        <w:rPr>
          <w:rFonts w:ascii="宋体" w:hAnsi="宋体" w:cs="宋体"/>
        </w:rPr>
      </w:pPr>
      <w:r>
        <w:rPr>
          <w:rFonts w:hint="eastAsia" w:ascii="宋体" w:hAnsi="宋体" w:cs="宋体"/>
        </w:rPr>
        <w:t>证券投资风险指（  ）。</w:t>
      </w:r>
    </w:p>
    <w:p w14:paraId="193401A2">
      <w:pPr>
        <w:jc w:val="left"/>
        <w:rPr>
          <w:rFonts w:ascii="宋体" w:hAnsi="宋体" w:cs="宋体"/>
        </w:rPr>
      </w:pPr>
      <w:r>
        <w:rPr>
          <w:rFonts w:hint="eastAsia" w:ascii="宋体" w:hAnsi="宋体" w:cs="宋体"/>
        </w:rPr>
        <w:t>A.购买力风险</w:t>
      </w:r>
    </w:p>
    <w:p w14:paraId="006D0906">
      <w:pPr>
        <w:jc w:val="left"/>
        <w:rPr>
          <w:rFonts w:ascii="宋体" w:hAnsi="宋体" w:cs="宋体"/>
        </w:rPr>
      </w:pPr>
      <w:r>
        <w:rPr>
          <w:rFonts w:hint="eastAsia" w:ascii="宋体" w:hAnsi="宋体" w:cs="宋体"/>
        </w:rPr>
        <w:t>B.价格风险</w:t>
      </w:r>
    </w:p>
    <w:p w14:paraId="0044E046">
      <w:pPr>
        <w:jc w:val="left"/>
        <w:rPr>
          <w:rFonts w:ascii="宋体" w:hAnsi="宋体" w:cs="宋体"/>
        </w:rPr>
      </w:pPr>
      <w:r>
        <w:rPr>
          <w:rFonts w:hint="eastAsia" w:ascii="宋体" w:hAnsi="宋体" w:cs="宋体"/>
        </w:rPr>
        <w:t>C.再投资风险</w:t>
      </w:r>
    </w:p>
    <w:p w14:paraId="79F6803C">
      <w:pPr>
        <w:jc w:val="left"/>
        <w:rPr>
          <w:rFonts w:ascii="宋体" w:hAnsi="宋体" w:cs="宋体"/>
        </w:rPr>
      </w:pPr>
      <w:r>
        <w:rPr>
          <w:rFonts w:hint="eastAsia" w:ascii="宋体" w:hAnsi="宋体" w:cs="宋体"/>
        </w:rPr>
        <w:t>D.变现风险</w:t>
      </w:r>
    </w:p>
    <w:p w14:paraId="5386BD8E">
      <w:pPr>
        <w:jc w:val="left"/>
        <w:rPr>
          <w:rFonts w:ascii="宋体" w:hAnsi="宋体" w:cs="宋体"/>
        </w:rPr>
      </w:pPr>
      <w:r>
        <w:rPr>
          <w:rFonts w:hint="eastAsia" w:ascii="宋体" w:hAnsi="宋体" w:cs="宋体"/>
        </w:rPr>
        <w:t>答案：B</w:t>
      </w:r>
    </w:p>
    <w:p w14:paraId="78A14649">
      <w:pPr>
        <w:jc w:val="left"/>
        <w:rPr>
          <w:rFonts w:ascii="宋体" w:hAnsi="宋体" w:cs="宋体"/>
        </w:rPr>
      </w:pPr>
      <w:r>
        <w:rPr>
          <w:rFonts w:hint="eastAsia" w:ascii="宋体" w:hAnsi="宋体" w:cs="宋体"/>
        </w:rPr>
        <w:t>解析：价格风险是指由于市场利率上升，而使证券资产价格普遍下跌的可能性</w:t>
      </w:r>
    </w:p>
    <w:p w14:paraId="3921A1FD">
      <w:pPr>
        <w:jc w:val="left"/>
        <w:rPr>
          <w:rFonts w:ascii="宋体" w:hAnsi="宋体" w:cs="宋体"/>
        </w:rPr>
      </w:pPr>
    </w:p>
    <w:p w14:paraId="741D3519">
      <w:pPr>
        <w:jc w:val="left"/>
        <w:rPr>
          <w:rFonts w:ascii="宋体" w:hAnsi="宋体" w:cs="宋体"/>
        </w:rPr>
      </w:pPr>
      <w:r>
        <w:rPr>
          <w:rFonts w:hint="eastAsia" w:ascii="宋体" w:hAnsi="宋体" w:cs="宋体"/>
        </w:rPr>
        <w:t>【单选题】（2020年）某公司预期未来市场利率上升而将闲置资金全部用于短期证券投资，而到期时市场利率却大幅度下降，这意味着公司的证券投资出现（  ）。</w:t>
      </w:r>
    </w:p>
    <w:p w14:paraId="53D7EE3A">
      <w:pPr>
        <w:jc w:val="left"/>
        <w:rPr>
          <w:rFonts w:ascii="宋体" w:hAnsi="宋体" w:cs="宋体"/>
        </w:rPr>
      </w:pPr>
      <w:r>
        <w:rPr>
          <w:rFonts w:hint="eastAsia" w:ascii="宋体" w:hAnsi="宋体" w:cs="宋体"/>
        </w:rPr>
        <w:t xml:space="preserve">A.汇率风险              B.再投资风险           </w:t>
      </w:r>
    </w:p>
    <w:p w14:paraId="74CA4AFF">
      <w:pPr>
        <w:jc w:val="left"/>
        <w:rPr>
          <w:rFonts w:ascii="宋体" w:hAnsi="宋体" w:cs="宋体"/>
        </w:rPr>
      </w:pPr>
      <w:r>
        <w:rPr>
          <w:rFonts w:hint="eastAsia" w:ascii="宋体" w:hAnsi="宋体" w:cs="宋体"/>
        </w:rPr>
        <w:t>C.购买力风险            D.变现风险</w:t>
      </w:r>
    </w:p>
    <w:p w14:paraId="5D4084F4">
      <w:pPr>
        <w:jc w:val="left"/>
        <w:rPr>
          <w:rFonts w:ascii="宋体" w:hAnsi="宋体" w:cs="宋体"/>
        </w:rPr>
      </w:pPr>
      <w:r>
        <w:rPr>
          <w:rFonts w:hint="eastAsia" w:ascii="宋体" w:hAnsi="宋体" w:cs="宋体"/>
        </w:rPr>
        <w:t>答案：B</w:t>
      </w:r>
    </w:p>
    <w:p w14:paraId="636FD8C2">
      <w:pPr>
        <w:jc w:val="left"/>
        <w:rPr>
          <w:rFonts w:ascii="宋体" w:hAnsi="宋体" w:cs="宋体"/>
        </w:rPr>
      </w:pPr>
      <w:r>
        <w:rPr>
          <w:rFonts w:hint="eastAsia" w:ascii="宋体" w:hAnsi="宋体" w:cs="宋体"/>
        </w:rPr>
        <w:t>解析：由于市场利率下降而造成的无法通过再投资而实现预期收益的可能性的风险属于再投资风险。</w:t>
      </w:r>
    </w:p>
    <w:p w14:paraId="339F0C7A">
      <w:pPr>
        <w:overflowPunct w:val="0"/>
        <w:jc w:val="left"/>
        <w:rPr>
          <w:rFonts w:ascii="宋体" w:hAnsi="宋体" w:cs="宋体"/>
          <w:color w:val="FF0000"/>
        </w:rPr>
      </w:pPr>
    </w:p>
    <w:p w14:paraId="356369AD">
      <w:pPr>
        <w:jc w:val="left"/>
        <w:rPr>
          <w:rFonts w:ascii="宋体" w:hAnsi="宋体" w:cs="宋体"/>
          <w:color w:val="FF0000"/>
        </w:rPr>
      </w:pPr>
      <w:r>
        <w:rPr>
          <w:rFonts w:hint="eastAsia" w:ascii="宋体" w:hAnsi="宋体" w:cs="宋体"/>
          <w:color w:val="FF0000"/>
        </w:rPr>
        <w:t>【知识点2】债券投资</w:t>
      </w:r>
    </w:p>
    <w:p w14:paraId="521EE59E">
      <w:pPr>
        <w:jc w:val="left"/>
        <w:rPr>
          <w:rFonts w:ascii="宋体" w:hAnsi="宋体" w:cs="宋体"/>
          <w:color w:val="FF0000"/>
        </w:rPr>
      </w:pPr>
      <w:r>
        <w:rPr>
          <w:rFonts w:hint="eastAsia" w:ascii="宋体" w:hAnsi="宋体" w:cs="宋体"/>
          <w:color w:val="FF0000"/>
        </w:rPr>
        <w:t>一、债券要素</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8258"/>
      </w:tblGrid>
      <w:tr w14:paraId="33E1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2A3EFEC2">
            <w:pPr>
              <w:jc w:val="left"/>
              <w:rPr>
                <w:rFonts w:ascii="宋体" w:hAnsi="宋体" w:cs="宋体"/>
              </w:rPr>
            </w:pPr>
            <w:r>
              <w:rPr>
                <w:rFonts w:hint="eastAsia" w:ascii="宋体" w:hAnsi="宋体" w:cs="宋体"/>
              </w:rPr>
              <w:t>债券面值</w:t>
            </w:r>
          </w:p>
        </w:tc>
        <w:tc>
          <w:tcPr>
            <w:tcW w:w="4073" w:type="pct"/>
          </w:tcPr>
          <w:p w14:paraId="647E94FA">
            <w:pPr>
              <w:jc w:val="left"/>
              <w:rPr>
                <w:rFonts w:ascii="宋体" w:hAnsi="宋体" w:cs="宋体"/>
              </w:rPr>
            </w:pPr>
            <w:r>
              <w:rPr>
                <w:rFonts w:hint="eastAsia" w:ascii="宋体" w:hAnsi="宋体" w:cs="宋体"/>
              </w:rPr>
              <w:t>债券设定的票面金额，代表发行人借入并且承诺于</w:t>
            </w:r>
            <w:r>
              <w:rPr>
                <w:rFonts w:hint="eastAsia" w:ascii="宋体" w:hAnsi="宋体" w:cs="宋体"/>
                <w:color w:val="FF0000"/>
              </w:rPr>
              <w:t>未来某一特定日偿付</w:t>
            </w:r>
            <w:r>
              <w:rPr>
                <w:rFonts w:hint="eastAsia" w:ascii="宋体" w:hAnsi="宋体" w:cs="宋体"/>
              </w:rPr>
              <w:t>债券持有人的金额。包括：票面币种、票面金额。</w:t>
            </w:r>
          </w:p>
        </w:tc>
      </w:tr>
      <w:tr w14:paraId="6A49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5F0C997D">
            <w:pPr>
              <w:jc w:val="left"/>
              <w:rPr>
                <w:rFonts w:ascii="宋体" w:hAnsi="宋体" w:cs="宋体"/>
              </w:rPr>
            </w:pPr>
            <w:r>
              <w:rPr>
                <w:rFonts w:hint="eastAsia" w:ascii="宋体" w:hAnsi="宋体" w:cs="宋体"/>
              </w:rPr>
              <w:t>债券票面利率</w:t>
            </w:r>
          </w:p>
        </w:tc>
        <w:tc>
          <w:tcPr>
            <w:tcW w:w="4073" w:type="pct"/>
          </w:tcPr>
          <w:p w14:paraId="0DFEFDB6">
            <w:pPr>
              <w:jc w:val="left"/>
              <w:rPr>
                <w:rFonts w:ascii="宋体" w:hAnsi="宋体" w:cs="宋体"/>
              </w:rPr>
            </w:pPr>
            <w:r>
              <w:rPr>
                <w:rFonts w:hint="eastAsia" w:ascii="宋体" w:hAnsi="宋体" w:cs="宋体"/>
              </w:rPr>
              <w:t>债券发行者预计一年内向持有者支付的利息占票面金额的比率</w:t>
            </w:r>
          </w:p>
        </w:tc>
      </w:tr>
      <w:tr w14:paraId="4C0F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4D36E975">
            <w:pPr>
              <w:jc w:val="left"/>
              <w:rPr>
                <w:rFonts w:ascii="宋体" w:hAnsi="宋体" w:cs="宋体"/>
              </w:rPr>
            </w:pPr>
            <w:r>
              <w:rPr>
                <w:rFonts w:hint="eastAsia" w:ascii="宋体" w:hAnsi="宋体" w:cs="宋体"/>
              </w:rPr>
              <w:t>债券到期日</w:t>
            </w:r>
          </w:p>
        </w:tc>
        <w:tc>
          <w:tcPr>
            <w:tcW w:w="4073" w:type="pct"/>
          </w:tcPr>
          <w:p w14:paraId="2D1656CA">
            <w:pPr>
              <w:jc w:val="left"/>
              <w:rPr>
                <w:rFonts w:ascii="宋体" w:hAnsi="宋体" w:cs="宋体"/>
              </w:rPr>
            </w:pPr>
            <w:r>
              <w:rPr>
                <w:rFonts w:hint="eastAsia" w:ascii="宋体" w:hAnsi="宋体" w:cs="宋体"/>
              </w:rPr>
              <w:t>债券到期日，是指偿还债券本金的日期</w:t>
            </w:r>
          </w:p>
        </w:tc>
      </w:tr>
    </w:tbl>
    <w:p w14:paraId="43F5EFB6">
      <w:pPr>
        <w:jc w:val="left"/>
        <w:rPr>
          <w:rFonts w:ascii="宋体" w:hAnsi="宋体" w:cs="宋体"/>
          <w:color w:val="FF0000"/>
        </w:rPr>
      </w:pPr>
      <w:r>
        <w:rPr>
          <w:rFonts w:hint="eastAsia" w:ascii="宋体" w:hAnsi="宋体" w:cs="宋体"/>
          <w:color w:val="FF0000"/>
        </w:rPr>
        <w:t>二、债券的价值</w:t>
      </w:r>
    </w:p>
    <w:p w14:paraId="104707CD">
      <w:pPr>
        <w:jc w:val="left"/>
        <w:rPr>
          <w:rFonts w:ascii="宋体" w:hAnsi="宋体" w:cs="宋体"/>
        </w:rPr>
      </w:pPr>
      <w:r>
        <w:rPr>
          <w:rFonts w:hint="eastAsia" w:ascii="宋体" w:hAnsi="宋体" w:cs="宋体"/>
        </w:rPr>
        <w:t>将未来在债券投资上</w:t>
      </w:r>
      <w:r>
        <w:rPr>
          <w:rFonts w:hint="eastAsia" w:ascii="宋体" w:hAnsi="宋体" w:cs="宋体"/>
          <w:color w:val="FF0000"/>
        </w:rPr>
        <w:t>收取的利息和收回的本金折为现值，</w:t>
      </w:r>
      <w:r>
        <w:rPr>
          <w:rFonts w:hint="eastAsia" w:ascii="宋体" w:hAnsi="宋体" w:cs="宋体"/>
        </w:rPr>
        <w:t>即可得到债券的内在价值。</w:t>
      </w:r>
    </w:p>
    <w:p w14:paraId="6B890F74">
      <w:pPr>
        <w:jc w:val="left"/>
        <w:rPr>
          <w:rFonts w:hint="eastAsia" w:ascii="宋体" w:hAnsi="宋体" w:cs="宋体"/>
          <w:color w:val="FF0000"/>
        </w:rPr>
      </w:pPr>
      <w:r>
        <w:rPr>
          <w:rFonts w:hint="eastAsia" w:ascii="宋体" w:hAnsi="宋体" w:cs="宋体"/>
          <w:color w:val="FF0000"/>
        </w:rPr>
        <w:t>（一）价值的计算</w:t>
      </w:r>
    </w:p>
    <w:p w14:paraId="7F13C5C8">
      <w:pPr>
        <w:jc w:val="left"/>
        <w:rPr>
          <w:rFonts w:ascii="宋体" w:hAnsi="宋体" w:cs="宋体"/>
        </w:rPr>
      </w:pPr>
      <w:r>
        <w:rPr>
          <w:rFonts w:hint="eastAsia" w:ascii="宋体" w:hAnsi="宋体" w:cs="宋体"/>
        </w:rPr>
        <w:drawing>
          <wp:inline distT="0" distB="0" distL="114300" distR="114300">
            <wp:extent cx="1732915" cy="455295"/>
            <wp:effectExtent l="0" t="0" r="63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1773789" cy="466029"/>
                    </a:xfrm>
                    <a:prstGeom prst="rect">
                      <a:avLst/>
                    </a:prstGeom>
                    <a:noFill/>
                    <a:ln>
                      <a:noFill/>
                    </a:ln>
                  </pic:spPr>
                </pic:pic>
              </a:graphicData>
            </a:graphic>
          </wp:inline>
        </w:drawing>
      </w:r>
    </w:p>
    <w:p w14:paraId="44409AAE">
      <w:pPr>
        <w:rPr>
          <w:rFonts w:ascii="宋体" w:hAnsi="宋体" w:cs="宋体"/>
        </w:rPr>
      </w:pPr>
      <w:r>
        <w:rPr>
          <w:rFonts w:hint="eastAsia" w:ascii="宋体" w:hAnsi="宋体" w:cs="宋体"/>
          <w:color w:val="FF0000"/>
        </w:rPr>
        <w:t>【例6-18】</w:t>
      </w:r>
      <w:r>
        <w:rPr>
          <w:rFonts w:ascii="宋体" w:hAnsi="宋体" w:cs="宋体"/>
        </w:rPr>
        <w:t>某债券面值1000元，期限20年，每年支付一次利息，到期归还本金，以市场利率作为评估债券价值的贴现率，目前的市场利率为10%，如果票面利率分别为8%、10%和12%，有：</w:t>
      </w:r>
    </w:p>
    <w:p w14:paraId="0082D30C">
      <w:pPr>
        <w:jc w:val="left"/>
        <w:rPr>
          <w:rFonts w:ascii="宋体" w:hAnsi="宋体" w:cs="宋体"/>
        </w:rPr>
      </w:pPr>
      <w:r>
        <w:rPr>
          <w:rFonts w:ascii="宋体" w:hAnsi="宋体" w:cs="宋体"/>
        </w:rPr>
        <w:t>V</w:t>
      </w:r>
      <w:r>
        <w:rPr>
          <w:rFonts w:ascii="宋体" w:hAnsi="宋体" w:cs="宋体"/>
          <w:vertAlign w:val="subscript"/>
        </w:rPr>
        <w:t>b</w:t>
      </w:r>
      <w:r>
        <w:rPr>
          <w:rFonts w:ascii="宋体" w:hAnsi="宋体" w:cs="宋体"/>
        </w:rPr>
        <w:t>＝80×（P/A，10%，20）＋1000×（P/F，10%，20）＝830.12（元）</w:t>
      </w:r>
    </w:p>
    <w:p w14:paraId="772D1E61">
      <w:pPr>
        <w:jc w:val="left"/>
        <w:rPr>
          <w:rFonts w:ascii="宋体" w:hAnsi="宋体" w:cs="宋体"/>
        </w:rPr>
      </w:pPr>
      <w:r>
        <w:rPr>
          <w:rFonts w:ascii="宋体" w:hAnsi="宋体" w:cs="宋体"/>
        </w:rPr>
        <w:t>V</w:t>
      </w:r>
      <w:r>
        <w:rPr>
          <w:rFonts w:ascii="宋体" w:hAnsi="宋体" w:cs="宋体"/>
          <w:vertAlign w:val="subscript"/>
        </w:rPr>
        <w:t>b</w:t>
      </w:r>
      <w:r>
        <w:rPr>
          <w:rFonts w:ascii="宋体" w:hAnsi="宋体" w:cs="宋体"/>
        </w:rPr>
        <w:t>＝100×（P/A，10%，20）＋1000×（P/F，10%，20）＝1000（元）</w:t>
      </w:r>
    </w:p>
    <w:p w14:paraId="5E70AC3D">
      <w:pPr>
        <w:jc w:val="left"/>
        <w:rPr>
          <w:rFonts w:ascii="宋体" w:hAnsi="宋体" w:cs="宋体"/>
        </w:rPr>
      </w:pPr>
      <w:r>
        <w:rPr>
          <w:rFonts w:ascii="宋体" w:hAnsi="宋体" w:cs="宋体"/>
        </w:rPr>
        <w:t>V</w:t>
      </w:r>
      <w:r>
        <w:rPr>
          <w:rFonts w:ascii="宋体" w:hAnsi="宋体" w:cs="宋体"/>
          <w:vertAlign w:val="subscript"/>
        </w:rPr>
        <w:t>b</w:t>
      </w:r>
      <w:r>
        <w:rPr>
          <w:rFonts w:ascii="宋体" w:hAnsi="宋体" w:cs="宋体"/>
        </w:rPr>
        <w:t>＝120×（P/A，10%，20）＋1000×（P/F，10%，20）＝1170.68（元）</w:t>
      </w:r>
    </w:p>
    <w:p w14:paraId="1DF2BA10">
      <w:pPr>
        <w:jc w:val="left"/>
        <w:rPr>
          <w:rFonts w:ascii="宋体" w:hAnsi="宋体" w:cs="宋体"/>
          <w:color w:val="FF0000"/>
        </w:rPr>
      </w:pPr>
      <w:r>
        <w:rPr>
          <w:rFonts w:hint="eastAsia" w:ascii="宋体" w:hAnsi="宋体" w:cs="宋体"/>
          <w:color w:val="FF0000"/>
        </w:rPr>
        <w:t>【总结】</w:t>
      </w:r>
    </w:p>
    <w:p w14:paraId="46C1DB68">
      <w:pPr>
        <w:jc w:val="left"/>
        <w:rPr>
          <w:rFonts w:ascii="宋体" w:hAnsi="宋体" w:cs="宋体"/>
        </w:rPr>
      </w:pPr>
      <w:r>
        <w:rPr>
          <w:rFonts w:hint="eastAsia" w:ascii="宋体" w:hAnsi="宋体" w:cs="宋体"/>
        </w:rPr>
        <w:t>票面利率＞市场利率时，债券价值＞债券面值，溢价发行。</w:t>
      </w:r>
    </w:p>
    <w:p w14:paraId="7360173C">
      <w:pPr>
        <w:jc w:val="left"/>
        <w:rPr>
          <w:rFonts w:ascii="宋体" w:hAnsi="宋体" w:cs="宋体"/>
        </w:rPr>
      </w:pPr>
      <w:r>
        <w:rPr>
          <w:rFonts w:hint="eastAsia" w:ascii="宋体" w:hAnsi="宋体" w:cs="宋体"/>
        </w:rPr>
        <w:t>票面利率＝市场利率时，债券价值＝债券面值，平价发行。</w:t>
      </w:r>
    </w:p>
    <w:p w14:paraId="1E1EF854">
      <w:pPr>
        <w:jc w:val="left"/>
        <w:rPr>
          <w:rFonts w:ascii="宋体" w:hAnsi="宋体" w:cs="宋体"/>
        </w:rPr>
      </w:pPr>
      <w:r>
        <w:rPr>
          <w:rFonts w:hint="eastAsia" w:ascii="宋体" w:hAnsi="宋体" w:cs="宋体"/>
        </w:rPr>
        <w:t>票面利率＜市场利率时，债券价值＜债券面值，折价发行。</w:t>
      </w:r>
    </w:p>
    <w:p w14:paraId="5CECB39C">
      <w:pPr>
        <w:jc w:val="left"/>
        <w:rPr>
          <w:rFonts w:ascii="宋体" w:hAnsi="宋体" w:cs="宋体"/>
        </w:rPr>
      </w:pPr>
    </w:p>
    <w:p w14:paraId="500BD35F">
      <w:pPr>
        <w:jc w:val="left"/>
        <w:rPr>
          <w:rFonts w:ascii="宋体" w:hAnsi="宋体" w:cs="宋体"/>
        </w:rPr>
      </w:pPr>
      <w:r>
        <w:rPr>
          <w:rFonts w:hint="eastAsia" w:ascii="宋体" w:hAnsi="宋体" w:cs="宋体"/>
        </w:rPr>
        <w:t xml:space="preserve">【判断题】（2022 年）对于票面利率固定、每期支付利息、到期归还本金的公司债券， 当票面利率大于投资者期望的最低投资收益率时，该债券将溢价发行。（  ） </w:t>
      </w:r>
    </w:p>
    <w:p w14:paraId="265CBB65">
      <w:pPr>
        <w:jc w:val="left"/>
        <w:rPr>
          <w:rFonts w:ascii="宋体" w:hAnsi="宋体" w:cs="宋体"/>
        </w:rPr>
      </w:pPr>
      <w:r>
        <w:rPr>
          <w:rFonts w:hint="eastAsia" w:ascii="宋体" w:hAnsi="宋体" w:cs="宋体"/>
        </w:rPr>
        <w:t xml:space="preserve">答案：√ </w:t>
      </w:r>
    </w:p>
    <w:p w14:paraId="47F6E722">
      <w:pPr>
        <w:jc w:val="left"/>
        <w:rPr>
          <w:rFonts w:ascii="宋体" w:hAnsi="宋体" w:cs="宋体"/>
        </w:rPr>
      </w:pPr>
      <w:r>
        <w:rPr>
          <w:rFonts w:hint="eastAsia" w:ascii="宋体" w:hAnsi="宋体" w:cs="宋体"/>
        </w:rPr>
        <w:t>解析：溢价发行是为了对债券发行者未来多付利息而给予的必要补偿，溢价发行的债 券，票面利率大于投资者期望的最低投资收益率。</w:t>
      </w:r>
    </w:p>
    <w:p w14:paraId="6FF32D5A">
      <w:pPr>
        <w:jc w:val="left"/>
        <w:rPr>
          <w:rFonts w:ascii="宋体" w:hAnsi="宋体" w:cs="宋体"/>
        </w:rPr>
      </w:pPr>
    </w:p>
    <w:p w14:paraId="222F82E6">
      <w:pPr>
        <w:jc w:val="left"/>
        <w:rPr>
          <w:rFonts w:ascii="宋体" w:hAnsi="宋体" w:cs="宋体"/>
        </w:rPr>
      </w:pPr>
      <w:r>
        <w:rPr>
          <w:rFonts w:hint="eastAsia" w:ascii="宋体" w:hAnsi="宋体" w:cs="宋体"/>
        </w:rPr>
        <w:t>【单选题】（2018年）债券内在价值计算公式中不包含的因素是（  ）。</w:t>
      </w:r>
    </w:p>
    <w:p w14:paraId="72A69D28">
      <w:pPr>
        <w:jc w:val="left"/>
        <w:rPr>
          <w:rFonts w:ascii="宋体" w:hAnsi="宋体" w:cs="宋体"/>
        </w:rPr>
      </w:pPr>
      <w:r>
        <w:rPr>
          <w:rFonts w:hint="eastAsia" w:ascii="宋体" w:hAnsi="宋体" w:cs="宋体"/>
        </w:rPr>
        <w:t>A.债券期限</w:t>
      </w:r>
    </w:p>
    <w:p w14:paraId="54E7CE44">
      <w:pPr>
        <w:jc w:val="left"/>
        <w:rPr>
          <w:rFonts w:ascii="宋体" w:hAnsi="宋体" w:cs="宋体"/>
        </w:rPr>
      </w:pPr>
      <w:r>
        <w:rPr>
          <w:rFonts w:hint="eastAsia" w:ascii="宋体" w:hAnsi="宋体" w:cs="宋体"/>
        </w:rPr>
        <w:t>B.债券票面利率</w:t>
      </w:r>
    </w:p>
    <w:p w14:paraId="3705A618">
      <w:pPr>
        <w:jc w:val="left"/>
        <w:rPr>
          <w:rFonts w:ascii="宋体" w:hAnsi="宋体" w:cs="宋体"/>
        </w:rPr>
      </w:pPr>
      <w:r>
        <w:rPr>
          <w:rFonts w:hint="eastAsia" w:ascii="宋体" w:hAnsi="宋体" w:cs="宋体"/>
        </w:rPr>
        <w:t>C.债券市场价格</w:t>
      </w:r>
    </w:p>
    <w:p w14:paraId="2315B494">
      <w:pPr>
        <w:jc w:val="left"/>
        <w:rPr>
          <w:rFonts w:ascii="宋体" w:hAnsi="宋体" w:cs="宋体"/>
        </w:rPr>
      </w:pPr>
      <w:r>
        <w:rPr>
          <w:rFonts w:hint="eastAsia" w:ascii="宋体" w:hAnsi="宋体" w:cs="宋体"/>
        </w:rPr>
        <w:t>D.债券面值</w:t>
      </w:r>
    </w:p>
    <w:p w14:paraId="24CF0113">
      <w:pPr>
        <w:jc w:val="left"/>
        <w:rPr>
          <w:rFonts w:ascii="宋体" w:hAnsi="宋体" w:cs="宋体"/>
        </w:rPr>
      </w:pPr>
      <w:r>
        <w:rPr>
          <w:rFonts w:hint="eastAsia" w:ascii="宋体" w:hAnsi="宋体" w:cs="宋体"/>
        </w:rPr>
        <w:t>答案：C</w:t>
      </w:r>
    </w:p>
    <w:p w14:paraId="3F7BDFED">
      <w:pPr>
        <w:jc w:val="left"/>
        <w:rPr>
          <w:rFonts w:hint="eastAsia" w:ascii="宋体" w:hAnsi="宋体" w:cs="宋体"/>
        </w:rPr>
      </w:pPr>
      <w:r>
        <w:rPr>
          <w:rFonts w:hint="eastAsia" w:ascii="宋体" w:hAnsi="宋体" w:cs="宋体"/>
        </w:rPr>
        <w:t>解析：债券内在价值指的是未来要支付的利息和到期偿还的本金的现值，利息的计算与债券市场价格无关，到期偿还的本金等于债券的面值。</w:t>
      </w:r>
    </w:p>
    <w:p w14:paraId="0AF1AA84">
      <w:pPr>
        <w:overflowPunct w:val="0"/>
        <w:jc w:val="center"/>
        <w:rPr>
          <w:rFonts w:ascii="宋体" w:hAnsi="宋体" w:cs="宋体"/>
          <w:b/>
          <w:bCs/>
        </w:rPr>
      </w:pPr>
      <w:r>
        <w:rPr>
          <w:rFonts w:hint="eastAsia" w:ascii="宋体" w:hAnsi="宋体" w:cs="宋体"/>
          <w:b/>
          <w:bCs/>
        </w:rPr>
        <w:t>第四节  证券投资管理</w:t>
      </w:r>
    </w:p>
    <w:p w14:paraId="39F70651">
      <w:pPr>
        <w:jc w:val="left"/>
        <w:rPr>
          <w:rFonts w:ascii="宋体" w:hAnsi="宋体" w:cs="宋体"/>
          <w:color w:val="FF0000"/>
        </w:rPr>
      </w:pPr>
      <w:r>
        <w:rPr>
          <w:rFonts w:hint="eastAsia" w:ascii="宋体" w:hAnsi="宋体" w:cs="宋体"/>
          <w:color w:val="FF0000"/>
        </w:rPr>
        <w:t>（二）债券价值对债券期限的敏感性</w:t>
      </w:r>
    </w:p>
    <w:p w14:paraId="57BCBA24">
      <w:pPr>
        <w:jc w:val="left"/>
        <w:rPr>
          <w:rFonts w:ascii="宋体" w:hAnsi="宋体" w:cs="宋体"/>
        </w:rPr>
      </w:pPr>
      <w:r>
        <w:rPr>
          <w:rFonts w:hint="eastAsia" w:ascii="宋体" w:hAnsi="宋体" w:cs="宋体"/>
        </w:rPr>
        <w:t>【例】假定市场利率为10%，面值1000元，每年支付一次利息，到期归还本金，票面利率分别为8%、10%和12%的三种债券，在债券期限发生变化时的债券价值如表所示。</w:t>
      </w:r>
    </w:p>
    <w:p w14:paraId="7E39F4A9">
      <w:pPr>
        <w:jc w:val="center"/>
        <w:rPr>
          <w:rFonts w:hint="eastAsia" w:ascii="宋体" w:hAnsi="宋体" w:cs="宋体"/>
        </w:rPr>
      </w:pPr>
      <w:r>
        <w:rPr>
          <w:rFonts w:hint="eastAsia" w:ascii="宋体" w:hAnsi="宋体" w:cs="宋体"/>
        </w:rPr>
        <w:t>债券期限变化的敏感性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0"/>
        <w:gridCol w:w="1690"/>
        <w:gridCol w:w="1689"/>
        <w:gridCol w:w="1689"/>
        <w:gridCol w:w="1689"/>
        <w:gridCol w:w="1689"/>
      </w:tblGrid>
      <w:tr w14:paraId="2EB3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restart"/>
          </w:tcPr>
          <w:p w14:paraId="59926F04">
            <w:pPr>
              <w:jc w:val="left"/>
              <w:rPr>
                <w:rFonts w:ascii="宋体" w:hAnsi="宋体" w:cs="宋体"/>
              </w:rPr>
            </w:pPr>
            <w:r>
              <w:rPr>
                <w:rFonts w:hint="eastAsia" w:ascii="宋体" w:hAnsi="宋体" w:cs="宋体"/>
              </w:rPr>
              <w:t>债券期限</w:t>
            </w:r>
          </w:p>
        </w:tc>
        <w:tc>
          <w:tcPr>
            <w:tcW w:w="4166" w:type="pct"/>
            <w:gridSpan w:val="5"/>
          </w:tcPr>
          <w:p w14:paraId="46D14991">
            <w:pPr>
              <w:jc w:val="left"/>
              <w:rPr>
                <w:rFonts w:ascii="宋体" w:hAnsi="宋体" w:cs="宋体"/>
              </w:rPr>
            </w:pPr>
            <w:r>
              <w:rPr>
                <w:rFonts w:hint="eastAsia" w:ascii="宋体" w:hAnsi="宋体" w:cs="宋体"/>
              </w:rPr>
              <w:t>债券价值（元）</w:t>
            </w:r>
          </w:p>
        </w:tc>
      </w:tr>
      <w:tr w14:paraId="0803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vMerge w:val="continue"/>
          </w:tcPr>
          <w:p w14:paraId="648F9D7C">
            <w:pPr>
              <w:jc w:val="left"/>
              <w:rPr>
                <w:rFonts w:ascii="宋体" w:hAnsi="宋体" w:cs="宋体"/>
              </w:rPr>
            </w:pPr>
          </w:p>
        </w:tc>
        <w:tc>
          <w:tcPr>
            <w:tcW w:w="834" w:type="pct"/>
          </w:tcPr>
          <w:p w14:paraId="6A1E2BA8">
            <w:pPr>
              <w:jc w:val="left"/>
              <w:rPr>
                <w:rFonts w:ascii="宋体" w:hAnsi="宋体" w:cs="宋体"/>
              </w:rPr>
            </w:pPr>
            <w:r>
              <w:rPr>
                <w:rFonts w:hint="eastAsia" w:ascii="宋体" w:hAnsi="宋体" w:cs="宋体"/>
              </w:rPr>
              <w:t>票面利率10%</w:t>
            </w:r>
          </w:p>
        </w:tc>
        <w:tc>
          <w:tcPr>
            <w:tcW w:w="833" w:type="pct"/>
          </w:tcPr>
          <w:p w14:paraId="2299B479">
            <w:pPr>
              <w:jc w:val="left"/>
              <w:rPr>
                <w:rFonts w:ascii="宋体" w:hAnsi="宋体" w:cs="宋体"/>
              </w:rPr>
            </w:pPr>
            <w:r>
              <w:rPr>
                <w:rFonts w:hint="eastAsia" w:ascii="宋体" w:hAnsi="宋体" w:cs="宋体"/>
              </w:rPr>
              <w:t>票面利率8%</w:t>
            </w:r>
          </w:p>
        </w:tc>
        <w:tc>
          <w:tcPr>
            <w:tcW w:w="833" w:type="pct"/>
          </w:tcPr>
          <w:p w14:paraId="1F42CAF9">
            <w:pPr>
              <w:jc w:val="left"/>
              <w:rPr>
                <w:rFonts w:ascii="宋体" w:hAnsi="宋体" w:cs="宋体"/>
              </w:rPr>
            </w:pPr>
            <w:r>
              <w:rPr>
                <w:rFonts w:hint="eastAsia" w:ascii="宋体" w:hAnsi="宋体" w:cs="宋体"/>
              </w:rPr>
              <w:t>环比差异</w:t>
            </w:r>
          </w:p>
        </w:tc>
        <w:tc>
          <w:tcPr>
            <w:tcW w:w="833" w:type="pct"/>
          </w:tcPr>
          <w:p w14:paraId="4C6A3DF6">
            <w:pPr>
              <w:jc w:val="left"/>
              <w:rPr>
                <w:rFonts w:ascii="宋体" w:hAnsi="宋体" w:cs="宋体"/>
              </w:rPr>
            </w:pPr>
            <w:r>
              <w:rPr>
                <w:rFonts w:hint="eastAsia" w:ascii="宋体" w:hAnsi="宋体" w:cs="宋体"/>
              </w:rPr>
              <w:t>票面利率12%</w:t>
            </w:r>
          </w:p>
        </w:tc>
        <w:tc>
          <w:tcPr>
            <w:tcW w:w="834" w:type="pct"/>
          </w:tcPr>
          <w:p w14:paraId="7DE30E98">
            <w:pPr>
              <w:jc w:val="left"/>
              <w:rPr>
                <w:rFonts w:ascii="宋体" w:hAnsi="宋体" w:cs="宋体"/>
              </w:rPr>
            </w:pPr>
            <w:r>
              <w:rPr>
                <w:rFonts w:hint="eastAsia" w:ascii="宋体" w:hAnsi="宋体" w:cs="宋体"/>
              </w:rPr>
              <w:t>环比差异</w:t>
            </w:r>
          </w:p>
        </w:tc>
      </w:tr>
      <w:tr w14:paraId="2119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1E5D631D">
            <w:pPr>
              <w:jc w:val="left"/>
              <w:rPr>
                <w:rFonts w:ascii="宋体" w:hAnsi="宋体" w:cs="宋体"/>
              </w:rPr>
            </w:pPr>
            <w:r>
              <w:rPr>
                <w:rFonts w:hint="eastAsia" w:ascii="宋体" w:hAnsi="宋体" w:cs="宋体"/>
              </w:rPr>
              <w:t>0年期</w:t>
            </w:r>
          </w:p>
        </w:tc>
        <w:tc>
          <w:tcPr>
            <w:tcW w:w="834" w:type="pct"/>
          </w:tcPr>
          <w:p w14:paraId="1FC584A5">
            <w:pPr>
              <w:jc w:val="left"/>
              <w:rPr>
                <w:rFonts w:ascii="宋体" w:hAnsi="宋体" w:cs="宋体"/>
              </w:rPr>
            </w:pPr>
            <w:r>
              <w:rPr>
                <w:rFonts w:hint="eastAsia" w:ascii="宋体" w:hAnsi="宋体" w:cs="宋体"/>
              </w:rPr>
              <w:t>1000</w:t>
            </w:r>
          </w:p>
        </w:tc>
        <w:tc>
          <w:tcPr>
            <w:tcW w:w="833" w:type="pct"/>
          </w:tcPr>
          <w:p w14:paraId="08CB5FEF">
            <w:pPr>
              <w:jc w:val="left"/>
              <w:rPr>
                <w:rFonts w:ascii="宋体" w:hAnsi="宋体" w:cs="宋体"/>
              </w:rPr>
            </w:pPr>
            <w:r>
              <w:rPr>
                <w:rFonts w:hint="eastAsia" w:ascii="宋体" w:hAnsi="宋体" w:cs="宋体"/>
              </w:rPr>
              <w:t>1000</w:t>
            </w:r>
          </w:p>
        </w:tc>
        <w:tc>
          <w:tcPr>
            <w:tcW w:w="833" w:type="pct"/>
          </w:tcPr>
          <w:p w14:paraId="07318AA5">
            <w:pPr>
              <w:jc w:val="left"/>
              <w:rPr>
                <w:rFonts w:ascii="宋体" w:hAnsi="宋体" w:cs="宋体"/>
              </w:rPr>
            </w:pPr>
            <w:r>
              <w:rPr>
                <w:rFonts w:hint="eastAsia" w:ascii="宋体" w:hAnsi="宋体" w:cs="宋体"/>
              </w:rPr>
              <w:t>－</w:t>
            </w:r>
          </w:p>
        </w:tc>
        <w:tc>
          <w:tcPr>
            <w:tcW w:w="833" w:type="pct"/>
          </w:tcPr>
          <w:p w14:paraId="3465D64F">
            <w:pPr>
              <w:jc w:val="left"/>
              <w:rPr>
                <w:rFonts w:ascii="宋体" w:hAnsi="宋体" w:cs="宋体"/>
              </w:rPr>
            </w:pPr>
            <w:r>
              <w:rPr>
                <w:rFonts w:hint="eastAsia" w:ascii="宋体" w:hAnsi="宋体" w:cs="宋体"/>
              </w:rPr>
              <w:t>1000</w:t>
            </w:r>
          </w:p>
        </w:tc>
        <w:tc>
          <w:tcPr>
            <w:tcW w:w="834" w:type="pct"/>
          </w:tcPr>
          <w:p w14:paraId="3A0F9265">
            <w:pPr>
              <w:jc w:val="left"/>
              <w:rPr>
                <w:rFonts w:ascii="宋体" w:hAnsi="宋体" w:cs="宋体"/>
              </w:rPr>
            </w:pPr>
            <w:r>
              <w:rPr>
                <w:rFonts w:hint="eastAsia" w:ascii="宋体" w:hAnsi="宋体" w:cs="宋体"/>
              </w:rPr>
              <w:t>－</w:t>
            </w:r>
          </w:p>
        </w:tc>
      </w:tr>
      <w:tr w14:paraId="79A7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286D8A09">
            <w:pPr>
              <w:jc w:val="left"/>
              <w:rPr>
                <w:rFonts w:ascii="宋体" w:hAnsi="宋体" w:cs="宋体"/>
              </w:rPr>
            </w:pPr>
            <w:r>
              <w:rPr>
                <w:rFonts w:hint="eastAsia" w:ascii="宋体" w:hAnsi="宋体" w:cs="宋体"/>
              </w:rPr>
              <w:t>1年期</w:t>
            </w:r>
          </w:p>
        </w:tc>
        <w:tc>
          <w:tcPr>
            <w:tcW w:w="834" w:type="pct"/>
          </w:tcPr>
          <w:p w14:paraId="652096C6">
            <w:pPr>
              <w:jc w:val="left"/>
              <w:rPr>
                <w:rFonts w:ascii="宋体" w:hAnsi="宋体" w:cs="宋体"/>
              </w:rPr>
            </w:pPr>
            <w:r>
              <w:rPr>
                <w:rFonts w:hint="eastAsia" w:ascii="宋体" w:hAnsi="宋体" w:cs="宋体"/>
              </w:rPr>
              <w:t>1000</w:t>
            </w:r>
          </w:p>
        </w:tc>
        <w:tc>
          <w:tcPr>
            <w:tcW w:w="833" w:type="pct"/>
          </w:tcPr>
          <w:p w14:paraId="2EE5CCD9">
            <w:pPr>
              <w:jc w:val="left"/>
              <w:rPr>
                <w:rFonts w:ascii="宋体" w:hAnsi="宋体" w:cs="宋体"/>
              </w:rPr>
            </w:pPr>
            <w:r>
              <w:rPr>
                <w:rFonts w:hint="eastAsia" w:ascii="宋体" w:hAnsi="宋体" w:cs="宋体"/>
              </w:rPr>
              <w:t>981.72</w:t>
            </w:r>
          </w:p>
        </w:tc>
        <w:tc>
          <w:tcPr>
            <w:tcW w:w="833" w:type="pct"/>
          </w:tcPr>
          <w:p w14:paraId="0AD3630B">
            <w:pPr>
              <w:jc w:val="left"/>
              <w:rPr>
                <w:rFonts w:ascii="宋体" w:hAnsi="宋体" w:cs="宋体"/>
              </w:rPr>
            </w:pPr>
            <w:r>
              <w:rPr>
                <w:rFonts w:hint="eastAsia" w:ascii="宋体" w:hAnsi="宋体" w:cs="宋体"/>
              </w:rPr>
              <w:t>－18.28</w:t>
            </w:r>
          </w:p>
        </w:tc>
        <w:tc>
          <w:tcPr>
            <w:tcW w:w="833" w:type="pct"/>
          </w:tcPr>
          <w:p w14:paraId="10716970">
            <w:pPr>
              <w:jc w:val="left"/>
              <w:rPr>
                <w:rFonts w:ascii="宋体" w:hAnsi="宋体" w:cs="宋体"/>
              </w:rPr>
            </w:pPr>
            <w:r>
              <w:rPr>
                <w:rFonts w:hint="eastAsia" w:ascii="宋体" w:hAnsi="宋体" w:cs="宋体"/>
              </w:rPr>
              <w:t>1018.08</w:t>
            </w:r>
          </w:p>
        </w:tc>
        <w:tc>
          <w:tcPr>
            <w:tcW w:w="834" w:type="pct"/>
          </w:tcPr>
          <w:p w14:paraId="4A0348A3">
            <w:pPr>
              <w:jc w:val="left"/>
              <w:rPr>
                <w:rFonts w:ascii="宋体" w:hAnsi="宋体" w:cs="宋体"/>
              </w:rPr>
            </w:pPr>
            <w:r>
              <w:rPr>
                <w:rFonts w:hint="eastAsia" w:ascii="宋体" w:hAnsi="宋体" w:cs="宋体"/>
              </w:rPr>
              <w:t>＋18.08</w:t>
            </w:r>
          </w:p>
        </w:tc>
      </w:tr>
      <w:tr w14:paraId="5A5C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6CE86803">
            <w:pPr>
              <w:jc w:val="left"/>
              <w:rPr>
                <w:rFonts w:ascii="宋体" w:hAnsi="宋体" w:cs="宋体"/>
              </w:rPr>
            </w:pPr>
            <w:r>
              <w:rPr>
                <w:rFonts w:hint="eastAsia" w:ascii="宋体" w:hAnsi="宋体" w:cs="宋体"/>
              </w:rPr>
              <w:t>2年期</w:t>
            </w:r>
          </w:p>
        </w:tc>
        <w:tc>
          <w:tcPr>
            <w:tcW w:w="834" w:type="pct"/>
          </w:tcPr>
          <w:p w14:paraId="038A3B97">
            <w:pPr>
              <w:jc w:val="left"/>
              <w:rPr>
                <w:rFonts w:ascii="宋体" w:hAnsi="宋体" w:cs="宋体"/>
              </w:rPr>
            </w:pPr>
            <w:r>
              <w:rPr>
                <w:rFonts w:hint="eastAsia" w:ascii="宋体" w:hAnsi="宋体" w:cs="宋体"/>
              </w:rPr>
              <w:t>1000</w:t>
            </w:r>
          </w:p>
        </w:tc>
        <w:tc>
          <w:tcPr>
            <w:tcW w:w="833" w:type="pct"/>
          </w:tcPr>
          <w:p w14:paraId="217699AA">
            <w:pPr>
              <w:jc w:val="left"/>
              <w:rPr>
                <w:rFonts w:ascii="宋体" w:hAnsi="宋体" w:cs="宋体"/>
              </w:rPr>
            </w:pPr>
            <w:r>
              <w:rPr>
                <w:rFonts w:hint="eastAsia" w:ascii="宋体" w:hAnsi="宋体" w:cs="宋体"/>
              </w:rPr>
              <w:t>964.88</w:t>
            </w:r>
          </w:p>
        </w:tc>
        <w:tc>
          <w:tcPr>
            <w:tcW w:w="833" w:type="pct"/>
          </w:tcPr>
          <w:p w14:paraId="30E10007">
            <w:pPr>
              <w:jc w:val="left"/>
              <w:rPr>
                <w:rFonts w:ascii="宋体" w:hAnsi="宋体" w:cs="宋体"/>
              </w:rPr>
            </w:pPr>
            <w:r>
              <w:rPr>
                <w:rFonts w:hint="eastAsia" w:ascii="宋体" w:hAnsi="宋体" w:cs="宋体"/>
              </w:rPr>
              <w:t>－16.84</w:t>
            </w:r>
          </w:p>
        </w:tc>
        <w:tc>
          <w:tcPr>
            <w:tcW w:w="833" w:type="pct"/>
          </w:tcPr>
          <w:p w14:paraId="1BCD1C05">
            <w:pPr>
              <w:jc w:val="left"/>
              <w:rPr>
                <w:rFonts w:ascii="宋体" w:hAnsi="宋体" w:cs="宋体"/>
              </w:rPr>
            </w:pPr>
            <w:r>
              <w:rPr>
                <w:rFonts w:hint="eastAsia" w:ascii="宋体" w:hAnsi="宋体" w:cs="宋体"/>
              </w:rPr>
              <w:t>1034.32</w:t>
            </w:r>
          </w:p>
        </w:tc>
        <w:tc>
          <w:tcPr>
            <w:tcW w:w="834" w:type="pct"/>
          </w:tcPr>
          <w:p w14:paraId="71D3A4A9">
            <w:pPr>
              <w:jc w:val="left"/>
              <w:rPr>
                <w:rFonts w:ascii="宋体" w:hAnsi="宋体" w:cs="宋体"/>
              </w:rPr>
            </w:pPr>
            <w:r>
              <w:rPr>
                <w:rFonts w:hint="eastAsia" w:ascii="宋体" w:hAnsi="宋体" w:cs="宋体"/>
              </w:rPr>
              <w:t>＋16.24</w:t>
            </w:r>
          </w:p>
        </w:tc>
      </w:tr>
      <w:tr w14:paraId="769B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1F3730CE">
            <w:pPr>
              <w:jc w:val="left"/>
              <w:rPr>
                <w:rFonts w:ascii="宋体" w:hAnsi="宋体" w:cs="宋体"/>
              </w:rPr>
            </w:pPr>
            <w:r>
              <w:rPr>
                <w:rFonts w:hint="eastAsia" w:ascii="宋体" w:hAnsi="宋体" w:cs="宋体"/>
              </w:rPr>
              <w:t>5年期</w:t>
            </w:r>
          </w:p>
        </w:tc>
        <w:tc>
          <w:tcPr>
            <w:tcW w:w="834" w:type="pct"/>
          </w:tcPr>
          <w:p w14:paraId="070DCBD7">
            <w:pPr>
              <w:jc w:val="left"/>
              <w:rPr>
                <w:rFonts w:ascii="宋体" w:hAnsi="宋体" w:cs="宋体"/>
              </w:rPr>
            </w:pPr>
            <w:r>
              <w:rPr>
                <w:rFonts w:hint="eastAsia" w:ascii="宋体" w:hAnsi="宋体" w:cs="宋体"/>
              </w:rPr>
              <w:t>1000</w:t>
            </w:r>
          </w:p>
        </w:tc>
        <w:tc>
          <w:tcPr>
            <w:tcW w:w="833" w:type="pct"/>
          </w:tcPr>
          <w:p w14:paraId="30B622BC">
            <w:pPr>
              <w:jc w:val="left"/>
              <w:rPr>
                <w:rFonts w:ascii="宋体" w:hAnsi="宋体" w:cs="宋体"/>
              </w:rPr>
            </w:pPr>
            <w:r>
              <w:rPr>
                <w:rFonts w:hint="eastAsia" w:ascii="宋体" w:hAnsi="宋体" w:cs="宋体"/>
              </w:rPr>
              <w:t>924.28</w:t>
            </w:r>
          </w:p>
        </w:tc>
        <w:tc>
          <w:tcPr>
            <w:tcW w:w="833" w:type="pct"/>
          </w:tcPr>
          <w:p w14:paraId="4C5DF7F3">
            <w:pPr>
              <w:jc w:val="left"/>
              <w:rPr>
                <w:rFonts w:ascii="宋体" w:hAnsi="宋体" w:cs="宋体"/>
              </w:rPr>
            </w:pPr>
            <w:r>
              <w:rPr>
                <w:rFonts w:hint="eastAsia" w:ascii="宋体" w:hAnsi="宋体" w:cs="宋体"/>
              </w:rPr>
              <w:t>－40.60</w:t>
            </w:r>
          </w:p>
        </w:tc>
        <w:tc>
          <w:tcPr>
            <w:tcW w:w="833" w:type="pct"/>
          </w:tcPr>
          <w:p w14:paraId="1784A67F">
            <w:pPr>
              <w:jc w:val="left"/>
              <w:rPr>
                <w:rFonts w:ascii="宋体" w:hAnsi="宋体" w:cs="宋体"/>
              </w:rPr>
            </w:pPr>
            <w:r>
              <w:rPr>
                <w:rFonts w:hint="eastAsia" w:ascii="宋体" w:hAnsi="宋体" w:cs="宋体"/>
              </w:rPr>
              <w:t>1075.92</w:t>
            </w:r>
          </w:p>
        </w:tc>
        <w:tc>
          <w:tcPr>
            <w:tcW w:w="834" w:type="pct"/>
          </w:tcPr>
          <w:p w14:paraId="5E20371C">
            <w:pPr>
              <w:jc w:val="left"/>
              <w:rPr>
                <w:rFonts w:ascii="宋体" w:hAnsi="宋体" w:cs="宋体"/>
              </w:rPr>
            </w:pPr>
            <w:r>
              <w:rPr>
                <w:rFonts w:hint="eastAsia" w:ascii="宋体" w:hAnsi="宋体" w:cs="宋体"/>
              </w:rPr>
              <w:t>＋41.60</w:t>
            </w:r>
          </w:p>
        </w:tc>
      </w:tr>
      <w:tr w14:paraId="1B95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39EB6B36">
            <w:pPr>
              <w:jc w:val="left"/>
              <w:rPr>
                <w:rFonts w:ascii="宋体" w:hAnsi="宋体" w:cs="宋体"/>
              </w:rPr>
            </w:pPr>
            <w:r>
              <w:rPr>
                <w:rFonts w:hint="eastAsia" w:ascii="宋体" w:hAnsi="宋体" w:cs="宋体"/>
              </w:rPr>
              <w:t>10年期</w:t>
            </w:r>
          </w:p>
        </w:tc>
        <w:tc>
          <w:tcPr>
            <w:tcW w:w="834" w:type="pct"/>
          </w:tcPr>
          <w:p w14:paraId="354C6550">
            <w:pPr>
              <w:jc w:val="left"/>
              <w:rPr>
                <w:rFonts w:ascii="宋体" w:hAnsi="宋体" w:cs="宋体"/>
              </w:rPr>
            </w:pPr>
            <w:r>
              <w:rPr>
                <w:rFonts w:hint="eastAsia" w:ascii="宋体" w:hAnsi="宋体" w:cs="宋体"/>
              </w:rPr>
              <w:t>1000</w:t>
            </w:r>
          </w:p>
        </w:tc>
        <w:tc>
          <w:tcPr>
            <w:tcW w:w="833" w:type="pct"/>
          </w:tcPr>
          <w:p w14:paraId="091EDDF6">
            <w:pPr>
              <w:jc w:val="left"/>
              <w:rPr>
                <w:rFonts w:ascii="宋体" w:hAnsi="宋体" w:cs="宋体"/>
              </w:rPr>
            </w:pPr>
            <w:r>
              <w:rPr>
                <w:rFonts w:hint="eastAsia" w:ascii="宋体" w:hAnsi="宋体" w:cs="宋体"/>
              </w:rPr>
              <w:t>877.60</w:t>
            </w:r>
          </w:p>
        </w:tc>
        <w:tc>
          <w:tcPr>
            <w:tcW w:w="833" w:type="pct"/>
          </w:tcPr>
          <w:p w14:paraId="08268F3D">
            <w:pPr>
              <w:jc w:val="left"/>
              <w:rPr>
                <w:rFonts w:ascii="宋体" w:hAnsi="宋体" w:cs="宋体"/>
              </w:rPr>
            </w:pPr>
            <w:r>
              <w:rPr>
                <w:rFonts w:hint="eastAsia" w:ascii="宋体" w:hAnsi="宋体" w:cs="宋体"/>
              </w:rPr>
              <w:t>－46.68</w:t>
            </w:r>
          </w:p>
        </w:tc>
        <w:tc>
          <w:tcPr>
            <w:tcW w:w="833" w:type="pct"/>
          </w:tcPr>
          <w:p w14:paraId="4A719DBF">
            <w:pPr>
              <w:jc w:val="left"/>
              <w:rPr>
                <w:rFonts w:ascii="宋体" w:hAnsi="宋体" w:cs="宋体"/>
              </w:rPr>
            </w:pPr>
            <w:r>
              <w:rPr>
                <w:rFonts w:hint="eastAsia" w:ascii="宋体" w:hAnsi="宋体" w:cs="宋体"/>
              </w:rPr>
              <w:t>1123.40</w:t>
            </w:r>
          </w:p>
        </w:tc>
        <w:tc>
          <w:tcPr>
            <w:tcW w:w="834" w:type="pct"/>
          </w:tcPr>
          <w:p w14:paraId="618735B0">
            <w:pPr>
              <w:jc w:val="left"/>
              <w:rPr>
                <w:rFonts w:ascii="宋体" w:hAnsi="宋体" w:cs="宋体"/>
              </w:rPr>
            </w:pPr>
            <w:r>
              <w:rPr>
                <w:rFonts w:hint="eastAsia" w:ascii="宋体" w:hAnsi="宋体" w:cs="宋体"/>
              </w:rPr>
              <w:t>＋47.48</w:t>
            </w:r>
          </w:p>
        </w:tc>
      </w:tr>
      <w:tr w14:paraId="6074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4DCE42DB">
            <w:pPr>
              <w:jc w:val="left"/>
              <w:rPr>
                <w:rFonts w:ascii="宋体" w:hAnsi="宋体" w:cs="宋体"/>
              </w:rPr>
            </w:pPr>
            <w:r>
              <w:rPr>
                <w:rFonts w:hint="eastAsia" w:ascii="宋体" w:hAnsi="宋体" w:cs="宋体"/>
              </w:rPr>
              <w:t>15年期</w:t>
            </w:r>
          </w:p>
        </w:tc>
        <w:tc>
          <w:tcPr>
            <w:tcW w:w="834" w:type="pct"/>
          </w:tcPr>
          <w:p w14:paraId="341A482E">
            <w:pPr>
              <w:jc w:val="left"/>
              <w:rPr>
                <w:rFonts w:ascii="宋体" w:hAnsi="宋体" w:cs="宋体"/>
              </w:rPr>
            </w:pPr>
            <w:r>
              <w:rPr>
                <w:rFonts w:hint="eastAsia" w:ascii="宋体" w:hAnsi="宋体" w:cs="宋体"/>
              </w:rPr>
              <w:t>1000</w:t>
            </w:r>
          </w:p>
        </w:tc>
        <w:tc>
          <w:tcPr>
            <w:tcW w:w="833" w:type="pct"/>
          </w:tcPr>
          <w:p w14:paraId="11E70729">
            <w:pPr>
              <w:jc w:val="left"/>
              <w:rPr>
                <w:rFonts w:ascii="宋体" w:hAnsi="宋体" w:cs="宋体"/>
              </w:rPr>
            </w:pPr>
            <w:r>
              <w:rPr>
                <w:rFonts w:hint="eastAsia" w:ascii="宋体" w:hAnsi="宋体" w:cs="宋体"/>
              </w:rPr>
              <w:t>847.48</w:t>
            </w:r>
          </w:p>
        </w:tc>
        <w:tc>
          <w:tcPr>
            <w:tcW w:w="833" w:type="pct"/>
          </w:tcPr>
          <w:p w14:paraId="1C086E10">
            <w:pPr>
              <w:jc w:val="left"/>
              <w:rPr>
                <w:rFonts w:ascii="宋体" w:hAnsi="宋体" w:cs="宋体"/>
              </w:rPr>
            </w:pPr>
            <w:r>
              <w:rPr>
                <w:rFonts w:hint="eastAsia" w:ascii="宋体" w:hAnsi="宋体" w:cs="宋体"/>
              </w:rPr>
              <w:t>－30.12</w:t>
            </w:r>
          </w:p>
        </w:tc>
        <w:tc>
          <w:tcPr>
            <w:tcW w:w="833" w:type="pct"/>
          </w:tcPr>
          <w:p w14:paraId="4D6A26DD">
            <w:pPr>
              <w:jc w:val="left"/>
              <w:rPr>
                <w:rFonts w:ascii="宋体" w:hAnsi="宋体" w:cs="宋体"/>
              </w:rPr>
            </w:pPr>
            <w:r>
              <w:rPr>
                <w:rFonts w:hint="eastAsia" w:ascii="宋体" w:hAnsi="宋体" w:cs="宋体"/>
              </w:rPr>
              <w:t>1151.72</w:t>
            </w:r>
          </w:p>
        </w:tc>
        <w:tc>
          <w:tcPr>
            <w:tcW w:w="834" w:type="pct"/>
          </w:tcPr>
          <w:p w14:paraId="404D6C09">
            <w:pPr>
              <w:jc w:val="left"/>
              <w:rPr>
                <w:rFonts w:ascii="宋体" w:hAnsi="宋体" w:cs="宋体"/>
              </w:rPr>
            </w:pPr>
            <w:r>
              <w:rPr>
                <w:rFonts w:hint="eastAsia" w:ascii="宋体" w:hAnsi="宋体" w:cs="宋体"/>
              </w:rPr>
              <w:t>＋28.32</w:t>
            </w:r>
          </w:p>
        </w:tc>
      </w:tr>
      <w:tr w14:paraId="5574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pct"/>
          </w:tcPr>
          <w:p w14:paraId="2CCB942B">
            <w:pPr>
              <w:jc w:val="left"/>
              <w:rPr>
                <w:rFonts w:ascii="宋体" w:hAnsi="宋体" w:cs="宋体"/>
              </w:rPr>
            </w:pPr>
            <w:r>
              <w:rPr>
                <w:rFonts w:hint="eastAsia" w:ascii="宋体" w:hAnsi="宋体" w:cs="宋体"/>
              </w:rPr>
              <w:t>20年期</w:t>
            </w:r>
          </w:p>
        </w:tc>
        <w:tc>
          <w:tcPr>
            <w:tcW w:w="834" w:type="pct"/>
          </w:tcPr>
          <w:p w14:paraId="0770A639">
            <w:pPr>
              <w:jc w:val="left"/>
              <w:rPr>
                <w:rFonts w:ascii="宋体" w:hAnsi="宋体" w:cs="宋体"/>
              </w:rPr>
            </w:pPr>
            <w:r>
              <w:rPr>
                <w:rFonts w:hint="eastAsia" w:ascii="宋体" w:hAnsi="宋体" w:cs="宋体"/>
              </w:rPr>
              <w:t>1000</w:t>
            </w:r>
          </w:p>
        </w:tc>
        <w:tc>
          <w:tcPr>
            <w:tcW w:w="833" w:type="pct"/>
          </w:tcPr>
          <w:p w14:paraId="40FFF8E9">
            <w:pPr>
              <w:jc w:val="left"/>
              <w:rPr>
                <w:rFonts w:ascii="宋体" w:hAnsi="宋体" w:cs="宋体"/>
              </w:rPr>
            </w:pPr>
            <w:r>
              <w:rPr>
                <w:rFonts w:hint="eastAsia" w:ascii="宋体" w:hAnsi="宋体" w:cs="宋体"/>
              </w:rPr>
              <w:t>830.12</w:t>
            </w:r>
          </w:p>
        </w:tc>
        <w:tc>
          <w:tcPr>
            <w:tcW w:w="833" w:type="pct"/>
          </w:tcPr>
          <w:p w14:paraId="067FD06E">
            <w:pPr>
              <w:jc w:val="left"/>
              <w:rPr>
                <w:rFonts w:ascii="宋体" w:hAnsi="宋体" w:cs="宋体"/>
              </w:rPr>
            </w:pPr>
            <w:r>
              <w:rPr>
                <w:rFonts w:hint="eastAsia" w:ascii="宋体" w:hAnsi="宋体" w:cs="宋体"/>
              </w:rPr>
              <w:t>－17.36</w:t>
            </w:r>
          </w:p>
        </w:tc>
        <w:tc>
          <w:tcPr>
            <w:tcW w:w="833" w:type="pct"/>
          </w:tcPr>
          <w:p w14:paraId="627392B2">
            <w:pPr>
              <w:jc w:val="left"/>
              <w:rPr>
                <w:rFonts w:ascii="宋体" w:hAnsi="宋体" w:cs="宋体"/>
              </w:rPr>
            </w:pPr>
            <w:r>
              <w:rPr>
                <w:rFonts w:hint="eastAsia" w:ascii="宋体" w:hAnsi="宋体" w:cs="宋体"/>
              </w:rPr>
              <w:t>1170.68</w:t>
            </w:r>
          </w:p>
        </w:tc>
        <w:tc>
          <w:tcPr>
            <w:tcW w:w="834" w:type="pct"/>
          </w:tcPr>
          <w:p w14:paraId="5CD09465">
            <w:pPr>
              <w:jc w:val="left"/>
              <w:rPr>
                <w:rFonts w:ascii="宋体" w:hAnsi="宋体" w:cs="宋体"/>
              </w:rPr>
            </w:pPr>
            <w:r>
              <w:rPr>
                <w:rFonts w:hint="eastAsia" w:ascii="宋体" w:hAnsi="宋体" w:cs="宋体"/>
              </w:rPr>
              <w:t>＋18.96</w:t>
            </w:r>
          </w:p>
        </w:tc>
      </w:tr>
    </w:tbl>
    <w:p w14:paraId="2EA3FBE8">
      <w:pPr>
        <w:jc w:val="left"/>
        <w:rPr>
          <w:rFonts w:hint="eastAsia" w:ascii="宋体" w:hAnsi="宋体" w:cs="宋体"/>
        </w:rPr>
      </w:pPr>
      <w:r>
        <w:rPr>
          <w:rFonts w:hint="eastAsia" w:ascii="宋体" w:hAnsi="宋体" w:cs="宋体"/>
        </w:rPr>
        <w:drawing>
          <wp:inline distT="0" distB="0" distL="114300" distR="114300">
            <wp:extent cx="3585845" cy="1518285"/>
            <wp:effectExtent l="0" t="0" r="14605" b="571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3613658" cy="1530397"/>
                    </a:xfrm>
                    <a:prstGeom prst="rect">
                      <a:avLst/>
                    </a:prstGeom>
                    <a:noFill/>
                    <a:ln>
                      <a:noFill/>
                    </a:ln>
                  </pic:spPr>
                </pic:pic>
              </a:graphicData>
            </a:graphic>
          </wp:inline>
        </w:drawing>
      </w:r>
    </w:p>
    <w:p w14:paraId="28FE1200">
      <w:pPr>
        <w:jc w:val="left"/>
        <w:rPr>
          <w:rFonts w:ascii="宋体" w:hAnsi="宋体" w:cs="宋体"/>
        </w:rPr>
      </w:pPr>
      <w:r>
        <w:rPr>
          <w:rFonts w:hint="eastAsia" w:ascii="宋体" w:hAnsi="宋体" w:cs="宋体"/>
        </w:rPr>
        <w:t>【结论1】引起债券价值随债券期限的变化而波动的原因，债券票面利率与市场利率存在差异（即债券为溢价或折价），平价债券（票面利率＝市场利率）的价值不随债券期限的变化而变动。</w:t>
      </w:r>
    </w:p>
    <w:p w14:paraId="709EAAAF">
      <w:pPr>
        <w:jc w:val="left"/>
        <w:rPr>
          <w:rFonts w:ascii="宋体" w:hAnsi="宋体" w:cs="宋体"/>
        </w:rPr>
      </w:pPr>
      <w:r>
        <w:rPr>
          <w:rFonts w:hint="eastAsia" w:ascii="宋体" w:hAnsi="宋体" w:cs="宋体"/>
        </w:rPr>
        <w:t>【结论2】债券期限越短，债券票面利率对债券价值的影响越小。不论是溢价还是折价债券，当债券期限较短时，票面利率与市场利率的差异，不会使债券的价值过于偏离债券面值。</w:t>
      </w:r>
    </w:p>
    <w:p w14:paraId="3079D809">
      <w:pPr>
        <w:jc w:val="left"/>
        <w:rPr>
          <w:rFonts w:ascii="宋体" w:hAnsi="宋体" w:cs="宋体"/>
        </w:rPr>
      </w:pPr>
      <w:r>
        <w:rPr>
          <w:rFonts w:hint="eastAsia" w:ascii="宋体" w:hAnsi="宋体" w:cs="宋体"/>
        </w:rPr>
        <w:t>【结论3】在票面利率偏离市场利率的情况下，债券期限越长，债券价值越偏离于债券面值。</w:t>
      </w:r>
    </w:p>
    <w:p w14:paraId="2FF09655">
      <w:pPr>
        <w:jc w:val="left"/>
        <w:rPr>
          <w:rFonts w:ascii="宋体" w:hAnsi="宋体" w:cs="宋体"/>
        </w:rPr>
      </w:pPr>
      <w:r>
        <w:rPr>
          <w:rFonts w:hint="eastAsia" w:ascii="宋体" w:hAnsi="宋体" w:cs="宋体"/>
        </w:rPr>
        <w:t>【结论4】随着债券期限延长，债券的价值会越偏离债券的面值，但这种偏离的变化幅度最终会趋于平稳。或者说，超长期债券的期限差异，对债券价值的影响不大。</w:t>
      </w:r>
    </w:p>
    <w:p w14:paraId="499DDD75">
      <w:pPr>
        <w:jc w:val="left"/>
        <w:rPr>
          <w:rFonts w:ascii="宋体" w:hAnsi="宋体" w:cs="宋体"/>
          <w:color w:val="FF0000"/>
        </w:rPr>
      </w:pPr>
      <w:r>
        <w:rPr>
          <w:rFonts w:hint="eastAsia" w:ascii="宋体" w:hAnsi="宋体" w:cs="宋体"/>
          <w:color w:val="FF0000"/>
        </w:rPr>
        <w:t>（三）债券价值对市场利率的敏感性</w:t>
      </w:r>
    </w:p>
    <w:p w14:paraId="5556F570">
      <w:pPr>
        <w:jc w:val="left"/>
        <w:rPr>
          <w:rFonts w:ascii="宋体" w:hAnsi="宋体" w:cs="宋体"/>
        </w:rPr>
      </w:pPr>
      <w:r>
        <w:rPr>
          <w:rFonts w:hint="eastAsia" w:ascii="宋体" w:hAnsi="宋体" w:cs="宋体"/>
        </w:rPr>
        <w:t xml:space="preserve"> 债券一旦发行，其面值、期限、票面利率都相对固定了，市场利率成为债券持有期间影响债券价值的主要因素。市场利率是决定债券价值的折现率，市场利率的变化会造成系统性的利率风险。</w:t>
      </w:r>
    </w:p>
    <w:p w14:paraId="7550B142">
      <w:pPr>
        <w:jc w:val="left"/>
        <w:rPr>
          <w:rFonts w:ascii="宋体" w:hAnsi="宋体" w:cs="宋体"/>
        </w:rPr>
      </w:pPr>
      <w:r>
        <w:rPr>
          <w:rFonts w:hint="eastAsia" w:ascii="宋体" w:hAnsi="宋体" w:cs="宋体"/>
          <w:color w:val="FF0000"/>
        </w:rPr>
        <w:t>【例6-20】</w:t>
      </w:r>
      <w:r>
        <w:rPr>
          <w:rFonts w:hint="eastAsia" w:ascii="宋体" w:hAnsi="宋体" w:cs="宋体"/>
        </w:rPr>
        <w:t>假定现有面值1000元、票面利率15%的2年期和20年期两种债券，每年支付一次利息，到期归还本金。当市场利率发生变化时的债券价值如表所示。</w:t>
      </w:r>
    </w:p>
    <w:p w14:paraId="0795CB3B">
      <w:pPr>
        <w:jc w:val="center"/>
        <w:rPr>
          <w:rFonts w:ascii="宋体" w:hAnsi="宋体" w:cs="宋体"/>
        </w:rPr>
      </w:pPr>
      <w:r>
        <w:rPr>
          <w:rFonts w:hint="eastAsia" w:ascii="宋体" w:hAnsi="宋体" w:cs="宋体"/>
        </w:rPr>
        <w:t>市场利率变化的敏感性　　　　　单位：元</w:t>
      </w:r>
    </w:p>
    <w:tbl>
      <w:tblPr>
        <w:tblStyle w:val="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7"/>
        <w:gridCol w:w="3377"/>
        <w:gridCol w:w="3382"/>
      </w:tblGrid>
      <w:tr w14:paraId="12CD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tcPr>
          <w:p w14:paraId="3A38E0D4">
            <w:pPr>
              <w:jc w:val="left"/>
              <w:rPr>
                <w:rFonts w:ascii="宋体" w:hAnsi="宋体" w:cs="宋体"/>
              </w:rPr>
            </w:pPr>
            <w:r>
              <w:rPr>
                <w:rFonts w:hint="eastAsia" w:ascii="宋体" w:hAnsi="宋体" w:cs="宋体"/>
              </w:rPr>
              <w:t>市场利率</w:t>
            </w:r>
          </w:p>
        </w:tc>
        <w:tc>
          <w:tcPr>
            <w:tcW w:w="3334" w:type="pct"/>
            <w:gridSpan w:val="2"/>
          </w:tcPr>
          <w:p w14:paraId="045B3D99">
            <w:pPr>
              <w:jc w:val="left"/>
              <w:rPr>
                <w:rFonts w:ascii="宋体" w:hAnsi="宋体" w:cs="宋体"/>
              </w:rPr>
            </w:pPr>
            <w:r>
              <w:rPr>
                <w:rFonts w:hint="eastAsia" w:ascii="宋体" w:hAnsi="宋体" w:cs="宋体"/>
              </w:rPr>
              <w:t>债券价值</w:t>
            </w:r>
          </w:p>
        </w:tc>
      </w:tr>
      <w:tr w14:paraId="7841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tcPr>
          <w:p w14:paraId="37D77809">
            <w:pPr>
              <w:jc w:val="left"/>
              <w:rPr>
                <w:rFonts w:ascii="宋体" w:hAnsi="宋体" w:cs="宋体"/>
              </w:rPr>
            </w:pPr>
          </w:p>
        </w:tc>
        <w:tc>
          <w:tcPr>
            <w:tcW w:w="1666" w:type="pct"/>
          </w:tcPr>
          <w:p w14:paraId="6DB63ED5">
            <w:pPr>
              <w:jc w:val="left"/>
              <w:rPr>
                <w:rFonts w:ascii="宋体" w:hAnsi="宋体" w:cs="宋体"/>
              </w:rPr>
            </w:pPr>
            <w:r>
              <w:rPr>
                <w:rFonts w:hint="eastAsia" w:ascii="宋体" w:hAnsi="宋体" w:cs="宋体"/>
              </w:rPr>
              <w:t>2年期债券</w:t>
            </w:r>
          </w:p>
        </w:tc>
        <w:tc>
          <w:tcPr>
            <w:tcW w:w="1667" w:type="pct"/>
          </w:tcPr>
          <w:p w14:paraId="11FA1F91">
            <w:pPr>
              <w:jc w:val="left"/>
              <w:rPr>
                <w:rFonts w:ascii="宋体" w:hAnsi="宋体" w:cs="宋体"/>
              </w:rPr>
            </w:pPr>
            <w:r>
              <w:rPr>
                <w:rFonts w:hint="eastAsia" w:ascii="宋体" w:hAnsi="宋体" w:cs="宋体"/>
              </w:rPr>
              <w:t>20年期债券</w:t>
            </w:r>
          </w:p>
        </w:tc>
      </w:tr>
      <w:tr w14:paraId="4DA7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4A92C65">
            <w:pPr>
              <w:jc w:val="left"/>
              <w:rPr>
                <w:rFonts w:ascii="宋体" w:hAnsi="宋体" w:cs="宋体"/>
              </w:rPr>
            </w:pPr>
            <w:r>
              <w:rPr>
                <w:rFonts w:hint="eastAsia" w:ascii="宋体" w:hAnsi="宋体" w:cs="宋体"/>
              </w:rPr>
              <w:t>5%</w:t>
            </w:r>
          </w:p>
        </w:tc>
        <w:tc>
          <w:tcPr>
            <w:tcW w:w="1666" w:type="pct"/>
          </w:tcPr>
          <w:p w14:paraId="264E2E1C">
            <w:pPr>
              <w:jc w:val="left"/>
              <w:rPr>
                <w:rFonts w:ascii="宋体" w:hAnsi="宋体" w:cs="宋体"/>
              </w:rPr>
            </w:pPr>
            <w:r>
              <w:rPr>
                <w:rFonts w:hint="eastAsia" w:ascii="宋体" w:hAnsi="宋体" w:cs="宋体"/>
              </w:rPr>
              <w:t>1185.85</w:t>
            </w:r>
          </w:p>
        </w:tc>
        <w:tc>
          <w:tcPr>
            <w:tcW w:w="1667" w:type="pct"/>
          </w:tcPr>
          <w:p w14:paraId="7FE411C0">
            <w:pPr>
              <w:jc w:val="left"/>
              <w:rPr>
                <w:rFonts w:ascii="宋体" w:hAnsi="宋体" w:cs="宋体"/>
              </w:rPr>
            </w:pPr>
            <w:r>
              <w:rPr>
                <w:rFonts w:hint="eastAsia" w:ascii="宋体" w:hAnsi="宋体" w:cs="宋体"/>
              </w:rPr>
              <w:t>2246.30</w:t>
            </w:r>
          </w:p>
        </w:tc>
      </w:tr>
      <w:tr w14:paraId="245A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E478665">
            <w:pPr>
              <w:jc w:val="left"/>
              <w:rPr>
                <w:rFonts w:ascii="宋体" w:hAnsi="宋体" w:cs="宋体"/>
              </w:rPr>
            </w:pPr>
            <w:r>
              <w:rPr>
                <w:rFonts w:hint="eastAsia" w:ascii="宋体" w:hAnsi="宋体" w:cs="宋体"/>
              </w:rPr>
              <w:t>10%</w:t>
            </w:r>
          </w:p>
        </w:tc>
        <w:tc>
          <w:tcPr>
            <w:tcW w:w="1666" w:type="pct"/>
          </w:tcPr>
          <w:p w14:paraId="47C0B54D">
            <w:pPr>
              <w:jc w:val="left"/>
              <w:rPr>
                <w:rFonts w:ascii="宋体" w:hAnsi="宋体" w:cs="宋体"/>
              </w:rPr>
            </w:pPr>
            <w:r>
              <w:rPr>
                <w:rFonts w:hint="eastAsia" w:ascii="宋体" w:hAnsi="宋体" w:cs="宋体"/>
              </w:rPr>
              <w:t>1086.40</w:t>
            </w:r>
          </w:p>
        </w:tc>
        <w:tc>
          <w:tcPr>
            <w:tcW w:w="1667" w:type="pct"/>
          </w:tcPr>
          <w:p w14:paraId="1211E2F6">
            <w:pPr>
              <w:jc w:val="left"/>
              <w:rPr>
                <w:rFonts w:ascii="宋体" w:hAnsi="宋体" w:cs="宋体"/>
              </w:rPr>
            </w:pPr>
            <w:r>
              <w:rPr>
                <w:rFonts w:hint="eastAsia" w:ascii="宋体" w:hAnsi="宋体" w:cs="宋体"/>
              </w:rPr>
              <w:t>1426.10</w:t>
            </w:r>
          </w:p>
        </w:tc>
      </w:tr>
      <w:tr w14:paraId="0838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C306DC1">
            <w:pPr>
              <w:jc w:val="left"/>
              <w:rPr>
                <w:rFonts w:ascii="宋体" w:hAnsi="宋体" w:cs="宋体"/>
              </w:rPr>
            </w:pPr>
            <w:r>
              <w:rPr>
                <w:rFonts w:hint="eastAsia" w:ascii="宋体" w:hAnsi="宋体" w:cs="宋体"/>
              </w:rPr>
              <w:t>15%</w:t>
            </w:r>
          </w:p>
        </w:tc>
        <w:tc>
          <w:tcPr>
            <w:tcW w:w="1666" w:type="pct"/>
          </w:tcPr>
          <w:p w14:paraId="671098C7">
            <w:pPr>
              <w:jc w:val="left"/>
              <w:rPr>
                <w:rFonts w:ascii="宋体" w:hAnsi="宋体" w:cs="宋体"/>
              </w:rPr>
            </w:pPr>
            <w:r>
              <w:rPr>
                <w:rFonts w:hint="eastAsia" w:ascii="宋体" w:hAnsi="宋体" w:cs="宋体"/>
              </w:rPr>
              <w:t>1000.00</w:t>
            </w:r>
          </w:p>
        </w:tc>
        <w:tc>
          <w:tcPr>
            <w:tcW w:w="1667" w:type="pct"/>
          </w:tcPr>
          <w:p w14:paraId="4E67EF89">
            <w:pPr>
              <w:jc w:val="left"/>
              <w:rPr>
                <w:rFonts w:ascii="宋体" w:hAnsi="宋体" w:cs="宋体"/>
              </w:rPr>
            </w:pPr>
            <w:r>
              <w:rPr>
                <w:rFonts w:hint="eastAsia" w:ascii="宋体" w:hAnsi="宋体" w:cs="宋体"/>
              </w:rPr>
              <w:t>1000.00</w:t>
            </w:r>
          </w:p>
        </w:tc>
      </w:tr>
      <w:tr w14:paraId="76543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E743445">
            <w:pPr>
              <w:jc w:val="left"/>
              <w:rPr>
                <w:rFonts w:ascii="宋体" w:hAnsi="宋体" w:cs="宋体"/>
              </w:rPr>
            </w:pPr>
            <w:r>
              <w:rPr>
                <w:rFonts w:hint="eastAsia" w:ascii="宋体" w:hAnsi="宋体" w:cs="宋体"/>
              </w:rPr>
              <w:t>20%</w:t>
            </w:r>
          </w:p>
        </w:tc>
        <w:tc>
          <w:tcPr>
            <w:tcW w:w="1666" w:type="pct"/>
          </w:tcPr>
          <w:p w14:paraId="2A94CCD2">
            <w:pPr>
              <w:jc w:val="left"/>
              <w:rPr>
                <w:rFonts w:ascii="宋体" w:hAnsi="宋体" w:cs="宋体"/>
              </w:rPr>
            </w:pPr>
            <w:r>
              <w:rPr>
                <w:rFonts w:hint="eastAsia" w:ascii="宋体" w:hAnsi="宋体" w:cs="宋体"/>
              </w:rPr>
              <w:t>923.20</w:t>
            </w:r>
          </w:p>
        </w:tc>
        <w:tc>
          <w:tcPr>
            <w:tcW w:w="1667" w:type="pct"/>
          </w:tcPr>
          <w:p w14:paraId="4391BF8C">
            <w:pPr>
              <w:jc w:val="left"/>
              <w:rPr>
                <w:rFonts w:ascii="宋体" w:hAnsi="宋体" w:cs="宋体"/>
              </w:rPr>
            </w:pPr>
            <w:r>
              <w:rPr>
                <w:rFonts w:hint="eastAsia" w:ascii="宋体" w:hAnsi="宋体" w:cs="宋体"/>
              </w:rPr>
              <w:t>756.50</w:t>
            </w:r>
          </w:p>
        </w:tc>
      </w:tr>
      <w:tr w14:paraId="523E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4F674C0">
            <w:pPr>
              <w:jc w:val="left"/>
              <w:rPr>
                <w:rFonts w:ascii="宋体" w:hAnsi="宋体" w:cs="宋体"/>
              </w:rPr>
            </w:pPr>
            <w:r>
              <w:rPr>
                <w:rFonts w:hint="eastAsia" w:ascii="宋体" w:hAnsi="宋体" w:cs="宋体"/>
              </w:rPr>
              <w:t>25%</w:t>
            </w:r>
          </w:p>
        </w:tc>
        <w:tc>
          <w:tcPr>
            <w:tcW w:w="1666" w:type="pct"/>
          </w:tcPr>
          <w:p w14:paraId="5E80A110">
            <w:pPr>
              <w:jc w:val="left"/>
              <w:rPr>
                <w:rFonts w:ascii="宋体" w:hAnsi="宋体" w:cs="宋体"/>
              </w:rPr>
            </w:pPr>
            <w:r>
              <w:rPr>
                <w:rFonts w:hint="eastAsia" w:ascii="宋体" w:hAnsi="宋体" w:cs="宋体"/>
              </w:rPr>
              <w:t>856.00</w:t>
            </w:r>
          </w:p>
        </w:tc>
        <w:tc>
          <w:tcPr>
            <w:tcW w:w="1667" w:type="pct"/>
          </w:tcPr>
          <w:p w14:paraId="33F64695">
            <w:pPr>
              <w:jc w:val="left"/>
              <w:rPr>
                <w:rFonts w:ascii="宋体" w:hAnsi="宋体" w:cs="宋体"/>
              </w:rPr>
            </w:pPr>
            <w:r>
              <w:rPr>
                <w:rFonts w:hint="eastAsia" w:ascii="宋体" w:hAnsi="宋体" w:cs="宋体"/>
              </w:rPr>
              <w:t>605.10</w:t>
            </w:r>
          </w:p>
        </w:tc>
      </w:tr>
      <w:tr w14:paraId="0B17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66CFAC45">
            <w:pPr>
              <w:jc w:val="left"/>
              <w:rPr>
                <w:rFonts w:ascii="宋体" w:hAnsi="宋体" w:cs="宋体"/>
              </w:rPr>
            </w:pPr>
            <w:r>
              <w:rPr>
                <w:rFonts w:hint="eastAsia" w:ascii="宋体" w:hAnsi="宋体" w:cs="宋体"/>
              </w:rPr>
              <w:t>30%</w:t>
            </w:r>
          </w:p>
        </w:tc>
        <w:tc>
          <w:tcPr>
            <w:tcW w:w="1666" w:type="pct"/>
          </w:tcPr>
          <w:p w14:paraId="1EAE4F86">
            <w:pPr>
              <w:jc w:val="left"/>
              <w:rPr>
                <w:rFonts w:ascii="宋体" w:hAnsi="宋体" w:cs="宋体"/>
              </w:rPr>
            </w:pPr>
            <w:r>
              <w:rPr>
                <w:rFonts w:hint="eastAsia" w:ascii="宋体" w:hAnsi="宋体" w:cs="宋体"/>
              </w:rPr>
              <w:t>796.15</w:t>
            </w:r>
          </w:p>
        </w:tc>
        <w:tc>
          <w:tcPr>
            <w:tcW w:w="1667" w:type="pct"/>
          </w:tcPr>
          <w:p w14:paraId="14260CAA">
            <w:pPr>
              <w:jc w:val="left"/>
              <w:rPr>
                <w:rFonts w:ascii="宋体" w:hAnsi="宋体" w:cs="宋体"/>
              </w:rPr>
            </w:pPr>
            <w:r>
              <w:rPr>
                <w:rFonts w:hint="eastAsia" w:ascii="宋体" w:hAnsi="宋体" w:cs="宋体"/>
              </w:rPr>
              <w:t>502.40</w:t>
            </w:r>
          </w:p>
        </w:tc>
      </w:tr>
    </w:tbl>
    <w:p w14:paraId="24FE33EF">
      <w:pPr>
        <w:jc w:val="left"/>
        <w:rPr>
          <w:rFonts w:hint="eastAsia" w:ascii="宋体" w:hAnsi="宋体" w:cs="宋体"/>
        </w:rPr>
      </w:pPr>
      <w:r>
        <w:rPr>
          <w:rFonts w:hint="eastAsia" w:ascii="宋体" w:hAnsi="宋体" w:cs="宋体"/>
        </w:rPr>
        <w:drawing>
          <wp:inline distT="0" distB="0" distL="114300" distR="114300">
            <wp:extent cx="2782570" cy="1315085"/>
            <wp:effectExtent l="0" t="0" r="17780" b="184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0"/>
                    <a:stretch>
                      <a:fillRect/>
                    </a:stretch>
                  </pic:blipFill>
                  <pic:spPr>
                    <a:xfrm>
                      <a:off x="0" y="0"/>
                      <a:ext cx="2800469" cy="1323411"/>
                    </a:xfrm>
                    <a:prstGeom prst="rect">
                      <a:avLst/>
                    </a:prstGeom>
                    <a:noFill/>
                    <a:ln>
                      <a:noFill/>
                    </a:ln>
                  </pic:spPr>
                </pic:pic>
              </a:graphicData>
            </a:graphic>
          </wp:inline>
        </w:drawing>
      </w:r>
    </w:p>
    <w:p w14:paraId="47522FB1">
      <w:pPr>
        <w:jc w:val="left"/>
        <w:rPr>
          <w:rFonts w:ascii="宋体" w:hAnsi="宋体" w:cs="宋体"/>
        </w:rPr>
      </w:pPr>
      <w:r>
        <w:rPr>
          <w:rFonts w:hint="eastAsia" w:ascii="宋体" w:hAnsi="宋体" w:cs="宋体"/>
          <w:color w:val="FF0000"/>
        </w:rPr>
        <w:t>【结论1】</w:t>
      </w:r>
      <w:r>
        <w:rPr>
          <w:rFonts w:hint="eastAsia" w:ascii="宋体" w:hAnsi="宋体" w:cs="宋体"/>
        </w:rPr>
        <w:t>市场利率与债券价值呈反向变动关系。</w:t>
      </w:r>
    </w:p>
    <w:p w14:paraId="01860368">
      <w:pPr>
        <w:jc w:val="left"/>
        <w:rPr>
          <w:rFonts w:ascii="宋体" w:hAnsi="宋体" w:cs="宋体"/>
        </w:rPr>
      </w:pPr>
      <w:r>
        <w:rPr>
          <w:rFonts w:hint="eastAsia" w:ascii="宋体" w:hAnsi="宋体" w:cs="宋体"/>
          <w:color w:val="FF0000"/>
        </w:rPr>
        <w:t>【结论2】</w:t>
      </w:r>
      <w:r>
        <w:rPr>
          <w:rFonts w:hint="eastAsia" w:ascii="宋体" w:hAnsi="宋体" w:cs="宋体"/>
        </w:rPr>
        <w:t>长期债券对市场利率的敏感性会大于短期债券，在市场利率较低时（与票面利率相比），长期债券的价值远高于短期债券，在市场利率较高时，长期债券的价值远低于短期债券。</w:t>
      </w:r>
    </w:p>
    <w:p w14:paraId="20700155">
      <w:pPr>
        <w:jc w:val="left"/>
        <w:rPr>
          <w:rFonts w:ascii="宋体" w:hAnsi="宋体" w:cs="宋体"/>
        </w:rPr>
      </w:pPr>
      <w:r>
        <w:rPr>
          <w:rFonts w:hint="eastAsia" w:ascii="宋体" w:hAnsi="宋体" w:cs="宋体"/>
          <w:color w:val="FF0000"/>
        </w:rPr>
        <w:t>【结论3】</w:t>
      </w:r>
      <w:r>
        <w:rPr>
          <w:rFonts w:hint="eastAsia" w:ascii="宋体" w:hAnsi="宋体" w:cs="宋体"/>
        </w:rPr>
        <w:t>市场利率低于票面利率时，债券价值对市场利率的变化较为敏感，市场利率稍有变动，债券价值就会发生剧烈的波动；市场利率超过票面利率后，债券价值对市场利率变化的敏感性减弱，市场利率的提高，不会使债券价值过分降低。</w:t>
      </w:r>
    </w:p>
    <w:p w14:paraId="3D0B72F1">
      <w:pPr>
        <w:jc w:val="left"/>
        <w:rPr>
          <w:rFonts w:ascii="宋体" w:hAnsi="宋体" w:cs="宋体"/>
        </w:rPr>
      </w:pPr>
      <w:r>
        <w:rPr>
          <w:rFonts w:hint="eastAsia" w:ascii="宋体" w:hAnsi="宋体" w:cs="宋体"/>
          <w:color w:val="FF0000"/>
        </w:rPr>
        <w:t>【总结论】</w:t>
      </w:r>
      <w:r>
        <w:rPr>
          <w:rFonts w:hint="eastAsia" w:ascii="宋体" w:hAnsi="宋体" w:cs="宋体"/>
        </w:rPr>
        <w:t>长期债券的价值波动较大，特别是票面利率高于市场利率的长期溢价债券，容易获取投资收益但安全性较低，利率风险大。如果市场利率波动频繁，利用长期债券来储备现金显然是不明智的，将为较高的收益率而付出安全性的代价。</w:t>
      </w:r>
    </w:p>
    <w:p w14:paraId="02DC3A69">
      <w:pPr>
        <w:jc w:val="left"/>
        <w:rPr>
          <w:rFonts w:ascii="宋体" w:hAnsi="宋体" w:cs="宋体"/>
          <w:color w:val="FF0000"/>
        </w:rPr>
      </w:pPr>
      <w:r>
        <w:rPr>
          <w:rFonts w:hint="eastAsia" w:ascii="宋体" w:hAnsi="宋体" w:cs="宋体"/>
          <w:color w:val="FF0000"/>
        </w:rPr>
        <w:t>三、债券投资的收益率</w:t>
      </w:r>
    </w:p>
    <w:p w14:paraId="6C8627D9">
      <w:pPr>
        <w:jc w:val="left"/>
        <w:rPr>
          <w:rFonts w:ascii="宋体" w:hAnsi="宋体" w:cs="宋体"/>
          <w:color w:val="FF0000"/>
        </w:rPr>
      </w:pPr>
      <w:r>
        <w:rPr>
          <w:rFonts w:hint="eastAsia" w:ascii="宋体" w:hAnsi="宋体" w:cs="宋体"/>
          <w:color w:val="FF0000"/>
        </w:rPr>
        <w:t>1.债券收益来源</w:t>
      </w:r>
    </w:p>
    <w:p w14:paraId="6BAE0BF6">
      <w:pPr>
        <w:jc w:val="left"/>
        <w:rPr>
          <w:rFonts w:ascii="宋体" w:hAnsi="宋体" w:cs="宋体"/>
        </w:rPr>
      </w:pPr>
      <w:r>
        <w:rPr>
          <w:rFonts w:hint="eastAsia" w:ascii="宋体" w:hAnsi="宋体" w:cs="宋体"/>
        </w:rPr>
        <w:t>债券投资的收益是投资于债券所获得的全部投资收益，来源于三个方面：名义利息收益、利息再投资收益和价差收益。</w:t>
      </w:r>
    </w:p>
    <w:p w14:paraId="4032465B">
      <w:pPr>
        <w:jc w:val="left"/>
        <w:rPr>
          <w:rFonts w:ascii="宋体" w:hAnsi="宋体" w:cs="宋体"/>
          <w:color w:val="FF0000"/>
        </w:rPr>
      </w:pPr>
      <w:r>
        <w:rPr>
          <w:rFonts w:hint="eastAsia" w:ascii="宋体" w:hAnsi="宋体" w:cs="宋体"/>
          <w:color w:val="FF0000"/>
        </w:rPr>
        <w:t>2.债券的内部收益率</w:t>
      </w:r>
    </w:p>
    <w:p w14:paraId="023CD7CC">
      <w:pPr>
        <w:jc w:val="left"/>
        <w:rPr>
          <w:rFonts w:ascii="宋体" w:hAnsi="宋体" w:cs="宋体"/>
        </w:rPr>
      </w:pPr>
      <w:r>
        <w:rPr>
          <w:rFonts w:hint="eastAsia" w:ascii="宋体" w:hAnsi="宋体" w:cs="宋体"/>
        </w:rPr>
        <w:t>债券的内部收益率，是指当前市场价格购买债券并持有至到期日或转让日所产生的预期收益率，也就是债券投资项目的内含收益率。未来的现金流入量现值等于购买价格的折现率。</w:t>
      </w:r>
    </w:p>
    <w:p w14:paraId="6702F67A">
      <w:pPr>
        <w:jc w:val="left"/>
        <w:rPr>
          <w:rFonts w:ascii="宋体" w:hAnsi="宋体" w:cs="宋体"/>
          <w:color w:val="FF0000"/>
        </w:rPr>
      </w:pPr>
      <w:r>
        <w:rPr>
          <w:rFonts w:hint="eastAsia" w:ascii="宋体" w:hAnsi="宋体" w:cs="宋体"/>
          <w:color w:val="FF0000"/>
        </w:rPr>
        <w:t>3.债券计算方法</w:t>
      </w:r>
    </w:p>
    <w:p w14:paraId="25EE8FB6">
      <w:pPr>
        <w:jc w:val="left"/>
        <w:rPr>
          <w:rFonts w:ascii="宋体" w:hAnsi="宋体" w:cs="宋体"/>
        </w:rPr>
      </w:pPr>
      <w:r>
        <w:rPr>
          <w:rFonts w:hint="eastAsia" w:ascii="宋体" w:hAnsi="宋体" w:cs="宋体"/>
        </w:rPr>
        <w:t>（1）逐次测试法，与求内含收益率的方法相同</w:t>
      </w:r>
    </w:p>
    <w:p w14:paraId="7C1978CD">
      <w:pPr>
        <w:jc w:val="left"/>
        <w:rPr>
          <w:rFonts w:ascii="宋体" w:hAnsi="宋体" w:cs="宋体"/>
        </w:rPr>
      </w:pPr>
      <w:r>
        <w:rPr>
          <w:rFonts w:hint="eastAsia" w:ascii="宋体" w:hAnsi="宋体" w:cs="宋体"/>
        </w:rPr>
        <w:t>（2）简便算法</w:t>
      </w:r>
    </w:p>
    <w:p w14:paraId="2FCF887E">
      <w:pPr>
        <w:jc w:val="left"/>
        <w:rPr>
          <w:rFonts w:hint="eastAsia" w:ascii="宋体" w:hAnsi="宋体" w:cs="宋体"/>
        </w:rPr>
      </w:pPr>
      <w:r>
        <w:rPr>
          <w:rFonts w:hint="eastAsia" w:ascii="宋体" w:hAnsi="宋体" w:cs="宋体"/>
        </w:rPr>
        <w:drawing>
          <wp:inline distT="0" distB="0" distL="114300" distR="114300">
            <wp:extent cx="2003425" cy="506095"/>
            <wp:effectExtent l="0" t="0" r="15875" b="825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1"/>
                    <a:stretch>
                      <a:fillRect/>
                    </a:stretch>
                  </pic:blipFill>
                  <pic:spPr>
                    <a:xfrm>
                      <a:off x="0" y="0"/>
                      <a:ext cx="2056322" cy="519882"/>
                    </a:xfrm>
                    <a:prstGeom prst="rect">
                      <a:avLst/>
                    </a:prstGeom>
                    <a:noFill/>
                    <a:ln>
                      <a:noFill/>
                    </a:ln>
                  </pic:spPr>
                </pic:pic>
              </a:graphicData>
            </a:graphic>
          </wp:inline>
        </w:drawing>
      </w:r>
    </w:p>
    <w:p w14:paraId="5B029CF0">
      <w:pPr>
        <w:jc w:val="left"/>
        <w:rPr>
          <w:rFonts w:ascii="宋体" w:hAnsi="宋体" w:cs="宋体"/>
        </w:rPr>
      </w:pPr>
      <w:r>
        <w:rPr>
          <w:rFonts w:hint="eastAsia" w:ascii="宋体" w:hAnsi="宋体" w:cs="宋体"/>
        </w:rPr>
        <w:t>式中，P表示当前债券的购买价格，B表示债券面值，N表示债券持有期限，分母是平均资金占用，分子是平均收益。</w:t>
      </w:r>
    </w:p>
    <w:p w14:paraId="1A03B6CF">
      <w:pPr>
        <w:jc w:val="left"/>
        <w:rPr>
          <w:rFonts w:ascii="宋体" w:hAnsi="宋体" w:cs="宋体"/>
        </w:rPr>
      </w:pPr>
      <w:r>
        <w:rPr>
          <w:rFonts w:hint="eastAsia" w:ascii="宋体" w:hAnsi="宋体" w:cs="宋体"/>
          <w:color w:val="FF0000"/>
        </w:rPr>
        <w:t>【例6-21】</w:t>
      </w:r>
      <w:r>
        <w:rPr>
          <w:rFonts w:hint="eastAsia" w:ascii="宋体" w:hAnsi="宋体" w:cs="宋体"/>
        </w:rPr>
        <w:t>假定投资者目前以1075.92元的价格，购买一份面值为1000元、每年付息一次、到期归还本金，票面利率为12%的5年期债券，投资者将该债券持有至到期日，有：</w:t>
      </w:r>
    </w:p>
    <w:p w14:paraId="57E63D38">
      <w:pPr>
        <w:jc w:val="left"/>
        <w:rPr>
          <w:rFonts w:hint="eastAsia" w:ascii="宋体" w:hAnsi="宋体" w:cs="宋体"/>
        </w:rPr>
      </w:pPr>
      <w:r>
        <w:rPr>
          <w:rFonts w:hint="eastAsia" w:ascii="宋体" w:hAnsi="宋体" w:cs="宋体"/>
        </w:rPr>
        <w:t>（1）逐次测试法，1075.92＝120×（P/A，R，5）＋1000×（P/F，R，5）内部收益率R＝10%</w:t>
      </w:r>
    </w:p>
    <w:p w14:paraId="6ACCFEBB">
      <w:pPr>
        <w:jc w:val="left"/>
        <w:rPr>
          <w:rFonts w:ascii="宋体" w:hAnsi="宋体" w:cs="宋体"/>
        </w:rPr>
      </w:pPr>
      <w:r>
        <w:rPr>
          <w:rFonts w:hint="eastAsia" w:ascii="宋体" w:hAnsi="宋体" w:cs="宋体"/>
        </w:rPr>
        <w:drawing>
          <wp:inline distT="0" distB="0" distL="114300" distR="114300">
            <wp:extent cx="3339465" cy="456565"/>
            <wp:effectExtent l="0" t="0" r="13335" b="63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2"/>
                    <a:stretch>
                      <a:fillRect/>
                    </a:stretch>
                  </pic:blipFill>
                  <pic:spPr>
                    <a:xfrm>
                      <a:off x="0" y="0"/>
                      <a:ext cx="3364461" cy="460286"/>
                    </a:xfrm>
                    <a:prstGeom prst="rect">
                      <a:avLst/>
                    </a:prstGeom>
                    <a:noFill/>
                    <a:ln>
                      <a:noFill/>
                    </a:ln>
                  </pic:spPr>
                </pic:pic>
              </a:graphicData>
            </a:graphic>
          </wp:inline>
        </w:drawing>
      </w:r>
    </w:p>
    <w:p w14:paraId="03C57B7C">
      <w:pPr>
        <w:jc w:val="left"/>
        <w:rPr>
          <w:rFonts w:ascii="宋体" w:hAnsi="宋体" w:cs="宋体"/>
        </w:rPr>
      </w:pPr>
    </w:p>
    <w:p w14:paraId="6DEBC133">
      <w:pPr>
        <w:jc w:val="left"/>
        <w:rPr>
          <w:rFonts w:ascii="宋体" w:hAnsi="宋体" w:cs="宋体"/>
        </w:rPr>
      </w:pPr>
      <w:r>
        <w:rPr>
          <w:rFonts w:hint="eastAsia" w:ascii="宋体" w:hAnsi="宋体" w:cs="宋体"/>
        </w:rPr>
        <w:t>【判断题】（2019年）由于债券的面值、期限和票面利息是固定的，因此带给持有者的未来收益仅仅为利息收益。（  ）</w:t>
      </w:r>
    </w:p>
    <w:p w14:paraId="07CF0AE8">
      <w:pPr>
        <w:jc w:val="left"/>
        <w:rPr>
          <w:rFonts w:ascii="宋体" w:hAnsi="宋体" w:cs="宋体"/>
        </w:rPr>
      </w:pPr>
      <w:r>
        <w:rPr>
          <w:rFonts w:hint="eastAsia" w:ascii="宋体" w:hAnsi="宋体" w:cs="宋体"/>
        </w:rPr>
        <w:t>答案：×</w:t>
      </w:r>
    </w:p>
    <w:p w14:paraId="51151E3E">
      <w:pPr>
        <w:jc w:val="left"/>
        <w:rPr>
          <w:rFonts w:hint="eastAsia" w:ascii="宋体" w:hAnsi="宋体" w:cs="宋体"/>
        </w:rPr>
      </w:pPr>
      <w:r>
        <w:rPr>
          <w:rFonts w:hint="eastAsia" w:ascii="宋体" w:hAnsi="宋体" w:cs="宋体"/>
        </w:rPr>
        <w:t>解析：债券投资的收益是投资于债券所获得的全部投资收益，这些投资收益率来源于三个方面：名义利息收益、利息再投资收益、价差收益。</w:t>
      </w:r>
    </w:p>
    <w:p w14:paraId="5F43CDD8">
      <w:pPr>
        <w:overflowPunct w:val="0"/>
        <w:jc w:val="center"/>
        <w:rPr>
          <w:rFonts w:ascii="宋体" w:hAnsi="宋体" w:cs="宋体"/>
          <w:b/>
          <w:bCs/>
        </w:rPr>
      </w:pPr>
      <w:r>
        <w:rPr>
          <w:rFonts w:hint="eastAsia" w:ascii="宋体" w:hAnsi="宋体" w:cs="宋体"/>
          <w:b/>
          <w:bCs/>
        </w:rPr>
        <w:t>第四节  证券投资管理</w:t>
      </w:r>
    </w:p>
    <w:p w14:paraId="778CD556">
      <w:pPr>
        <w:jc w:val="left"/>
        <w:rPr>
          <w:rFonts w:ascii="宋体" w:hAnsi="宋体" w:cs="宋体"/>
          <w:color w:val="FF0000"/>
        </w:rPr>
      </w:pPr>
      <w:r>
        <w:rPr>
          <w:rFonts w:hint="eastAsia" w:ascii="宋体" w:hAnsi="宋体" w:cs="宋体"/>
          <w:color w:val="FF0000"/>
        </w:rPr>
        <w:t>【知识点3】股票投资</w:t>
      </w:r>
    </w:p>
    <w:p w14:paraId="5008CDB4">
      <w:pPr>
        <w:jc w:val="left"/>
        <w:rPr>
          <w:rFonts w:ascii="宋体" w:hAnsi="宋体" w:cs="宋体"/>
          <w:color w:val="FF0000"/>
        </w:rPr>
      </w:pPr>
      <w:r>
        <w:rPr>
          <w:rFonts w:hint="eastAsia" w:ascii="宋体" w:hAnsi="宋体" w:cs="宋体"/>
          <w:color w:val="FF0000"/>
        </w:rPr>
        <w:t>一、股票的价值</w:t>
      </w:r>
    </w:p>
    <w:p w14:paraId="7B07BDD8">
      <w:pPr>
        <w:jc w:val="left"/>
        <w:rPr>
          <w:rFonts w:ascii="宋体" w:hAnsi="宋体" w:cs="宋体"/>
          <w:color w:val="FF0000"/>
        </w:rPr>
      </w:pPr>
      <w:r>
        <w:rPr>
          <w:rFonts w:hint="eastAsia" w:ascii="宋体" w:hAnsi="宋体" w:cs="宋体"/>
          <w:color w:val="FF0000"/>
        </w:rPr>
        <w:t>1.股票内在价值</w:t>
      </w:r>
    </w:p>
    <w:p w14:paraId="6FC79068">
      <w:pPr>
        <w:jc w:val="left"/>
        <w:rPr>
          <w:rFonts w:ascii="宋体" w:hAnsi="宋体" w:cs="宋体"/>
        </w:rPr>
      </w:pPr>
      <w:r>
        <w:rPr>
          <w:rFonts w:hint="eastAsia" w:ascii="宋体" w:hAnsi="宋体" w:cs="宋体"/>
        </w:rPr>
        <w:t>投资于股票预期获得的未来现金流量的现值，即为股票的价值或内在价值、理论价格。</w:t>
      </w:r>
    </w:p>
    <w:p w14:paraId="00BC37B4">
      <w:pPr>
        <w:jc w:val="left"/>
        <w:rPr>
          <w:rFonts w:ascii="宋体" w:hAnsi="宋体" w:cs="宋体"/>
          <w:color w:val="FF0000"/>
        </w:rPr>
      </w:pPr>
      <w:r>
        <w:rPr>
          <w:rFonts w:hint="eastAsia" w:ascii="宋体" w:hAnsi="宋体" w:cs="宋体"/>
          <w:color w:val="FF0000"/>
        </w:rPr>
        <w:t>2.股票估价基本模型</w:t>
      </w:r>
    </w:p>
    <w:p w14:paraId="5AEF5565">
      <w:pPr>
        <w:jc w:val="left"/>
        <w:rPr>
          <w:rFonts w:hint="eastAsia" w:ascii="宋体" w:hAnsi="宋体" w:cs="宋体"/>
        </w:rPr>
      </w:pPr>
      <w:r>
        <w:rPr>
          <w:rFonts w:hint="eastAsia" w:ascii="宋体" w:hAnsi="宋体" w:cs="宋体"/>
        </w:rPr>
        <w:t xml:space="preserve">股票无限期持股，股利不固定 </w:t>
      </w:r>
    </w:p>
    <w:p w14:paraId="094D811F">
      <w:pPr>
        <w:jc w:val="left"/>
        <w:rPr>
          <w:rFonts w:ascii="宋体" w:hAnsi="宋体" w:cs="宋体"/>
        </w:rPr>
      </w:pPr>
      <w:r>
        <w:rPr>
          <w:rFonts w:hint="eastAsia" w:ascii="宋体" w:hAnsi="宋体" w:cs="宋体"/>
        </w:rPr>
        <w:drawing>
          <wp:inline distT="0" distB="0" distL="114300" distR="114300">
            <wp:extent cx="1661795" cy="563880"/>
            <wp:effectExtent l="0" t="0" r="14605" b="762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3"/>
                    <a:stretch>
                      <a:fillRect/>
                    </a:stretch>
                  </pic:blipFill>
                  <pic:spPr>
                    <a:xfrm>
                      <a:off x="0" y="0"/>
                      <a:ext cx="1692065" cy="574412"/>
                    </a:xfrm>
                    <a:prstGeom prst="rect">
                      <a:avLst/>
                    </a:prstGeom>
                    <a:noFill/>
                    <a:ln>
                      <a:noFill/>
                    </a:ln>
                  </pic:spPr>
                </pic:pic>
              </a:graphicData>
            </a:graphic>
          </wp:inline>
        </w:drawing>
      </w:r>
    </w:p>
    <w:p w14:paraId="0DDE277D">
      <w:pPr>
        <w:jc w:val="left"/>
        <w:rPr>
          <w:rFonts w:ascii="宋体" w:hAnsi="宋体" w:cs="宋体"/>
          <w:color w:val="FF0000"/>
        </w:rPr>
      </w:pPr>
      <w:r>
        <w:rPr>
          <w:rFonts w:hint="eastAsia" w:ascii="宋体" w:hAnsi="宋体" w:cs="宋体"/>
          <w:color w:val="FF0000"/>
        </w:rPr>
        <w:t>3.固定增长模式</w:t>
      </w:r>
    </w:p>
    <w:p w14:paraId="4F7110A5">
      <w:pPr>
        <w:jc w:val="left"/>
        <w:rPr>
          <w:rFonts w:hint="eastAsia" w:ascii="宋体" w:hAnsi="宋体" w:cs="宋体"/>
        </w:rPr>
      </w:pPr>
      <w:r>
        <w:rPr>
          <w:rFonts w:hint="eastAsia" w:ascii="宋体" w:hAnsi="宋体" w:cs="宋体"/>
        </w:rPr>
        <w:drawing>
          <wp:inline distT="0" distB="0" distL="114300" distR="114300">
            <wp:extent cx="1780540" cy="553085"/>
            <wp:effectExtent l="0" t="0" r="10160" b="1841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4"/>
                    <a:stretch>
                      <a:fillRect/>
                    </a:stretch>
                  </pic:blipFill>
                  <pic:spPr>
                    <a:xfrm>
                      <a:off x="0" y="0"/>
                      <a:ext cx="1797895" cy="558592"/>
                    </a:xfrm>
                    <a:prstGeom prst="rect">
                      <a:avLst/>
                    </a:prstGeom>
                    <a:noFill/>
                    <a:ln>
                      <a:noFill/>
                    </a:ln>
                  </pic:spPr>
                </pic:pic>
              </a:graphicData>
            </a:graphic>
          </wp:inline>
        </w:drawing>
      </w:r>
    </w:p>
    <w:p w14:paraId="6CA3E1D6">
      <w:pPr>
        <w:jc w:val="left"/>
        <w:rPr>
          <w:rFonts w:ascii="宋体" w:hAnsi="宋体" w:cs="宋体"/>
        </w:rPr>
      </w:pPr>
      <w:r>
        <w:rPr>
          <w:rFonts w:hint="eastAsia" w:ascii="宋体" w:hAnsi="宋体" w:cs="宋体"/>
        </w:rPr>
        <w:t>其中，下期股利（D1）是第1年末的现金流量；当期股利（D0）是当期0时点的现金流量；必要收益率（Rs）依据资本资产定价模型确定；g为股利增长率</w:t>
      </w:r>
    </w:p>
    <w:p w14:paraId="63DE0046">
      <w:pPr>
        <w:jc w:val="left"/>
        <w:rPr>
          <w:rFonts w:ascii="宋体" w:hAnsi="宋体" w:cs="宋体"/>
        </w:rPr>
      </w:pPr>
      <w:r>
        <w:rPr>
          <w:rFonts w:hint="eastAsia" w:ascii="宋体" w:hAnsi="宋体" w:cs="宋体"/>
        </w:rPr>
        <w:t>【例6-22】假定某投资者准备购买A公司的股票，并且准备长期持有，要求达到12%的收益率，该公司今年每股股利0.8元，预计未来股利会以9%的速度增长，则A股票的价值为：</w:t>
      </w:r>
    </w:p>
    <w:p w14:paraId="7DE57457">
      <w:pPr>
        <w:jc w:val="left"/>
        <w:rPr>
          <w:rFonts w:hint="eastAsia" w:ascii="宋体" w:hAnsi="宋体" w:cs="宋体"/>
        </w:rPr>
      </w:pPr>
      <w:r>
        <w:rPr>
          <w:rFonts w:hint="eastAsia" w:ascii="宋体" w:hAnsi="宋体" w:cs="宋体"/>
        </w:rPr>
        <w:drawing>
          <wp:inline distT="0" distB="0" distL="114300" distR="114300">
            <wp:extent cx="2353945" cy="500380"/>
            <wp:effectExtent l="0" t="0" r="8255" b="139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5"/>
                    <a:stretch>
                      <a:fillRect/>
                    </a:stretch>
                  </pic:blipFill>
                  <pic:spPr>
                    <a:xfrm>
                      <a:off x="0" y="0"/>
                      <a:ext cx="2412541" cy="513384"/>
                    </a:xfrm>
                    <a:prstGeom prst="rect">
                      <a:avLst/>
                    </a:prstGeom>
                    <a:noFill/>
                    <a:ln>
                      <a:noFill/>
                    </a:ln>
                  </pic:spPr>
                </pic:pic>
              </a:graphicData>
            </a:graphic>
          </wp:inline>
        </w:drawing>
      </w:r>
    </w:p>
    <w:p w14:paraId="7E60A1EF">
      <w:pPr>
        <w:jc w:val="left"/>
        <w:rPr>
          <w:rFonts w:ascii="宋体" w:hAnsi="宋体" w:cs="宋体"/>
        </w:rPr>
      </w:pPr>
      <w:r>
        <w:rPr>
          <w:rFonts w:hint="eastAsia" w:ascii="宋体" w:hAnsi="宋体" w:cs="宋体"/>
        </w:rPr>
        <w:t>如果A股票目前的购买价格低于29.07元，该公司的股票是值得购买的。</w:t>
      </w:r>
    </w:p>
    <w:p w14:paraId="47832C1D">
      <w:pPr>
        <w:jc w:val="left"/>
        <w:rPr>
          <w:rFonts w:ascii="宋体" w:hAnsi="宋体" w:cs="宋体"/>
        </w:rPr>
      </w:pPr>
    </w:p>
    <w:p w14:paraId="7BCBCB71">
      <w:pPr>
        <w:jc w:val="left"/>
        <w:rPr>
          <w:rFonts w:ascii="宋体" w:hAnsi="宋体" w:cs="宋体"/>
        </w:rPr>
      </w:pPr>
      <w:r>
        <w:rPr>
          <w:rFonts w:hint="eastAsia" w:ascii="宋体" w:hAnsi="宋体" w:cs="宋体"/>
        </w:rPr>
        <w:t xml:space="preserve">【单选题】（2022 年）某公司各年股利增长率保持 5%不变，预计下一年股利（D1） 为每股 5 元，若投资者要求达到的收益率为 10%，根据股票估价模型的固定增长模式，该股票的 价值为（  ）元。 </w:t>
      </w:r>
    </w:p>
    <w:p w14:paraId="2351B163">
      <w:pPr>
        <w:jc w:val="left"/>
        <w:rPr>
          <w:rFonts w:ascii="宋体" w:hAnsi="宋体" w:cs="宋体"/>
        </w:rPr>
      </w:pPr>
      <w:r>
        <w:rPr>
          <w:rFonts w:hint="eastAsia" w:ascii="宋体" w:hAnsi="宋体" w:cs="宋体"/>
        </w:rPr>
        <w:t xml:space="preserve">A.50 </w:t>
      </w:r>
    </w:p>
    <w:p w14:paraId="0D03367F">
      <w:pPr>
        <w:jc w:val="left"/>
        <w:rPr>
          <w:rFonts w:ascii="宋体" w:hAnsi="宋体" w:cs="宋体"/>
        </w:rPr>
      </w:pPr>
      <w:r>
        <w:rPr>
          <w:rFonts w:hint="eastAsia" w:ascii="宋体" w:hAnsi="宋体" w:cs="宋体"/>
        </w:rPr>
        <w:t xml:space="preserve">B.52.5 </w:t>
      </w:r>
    </w:p>
    <w:p w14:paraId="22EF56DC">
      <w:pPr>
        <w:jc w:val="left"/>
        <w:rPr>
          <w:rFonts w:ascii="宋体" w:hAnsi="宋体" w:cs="宋体"/>
        </w:rPr>
      </w:pPr>
      <w:r>
        <w:rPr>
          <w:rFonts w:hint="eastAsia" w:ascii="宋体" w:hAnsi="宋体" w:cs="宋体"/>
        </w:rPr>
        <w:t xml:space="preserve">C.100 </w:t>
      </w:r>
    </w:p>
    <w:p w14:paraId="64CC18D9">
      <w:pPr>
        <w:jc w:val="left"/>
        <w:rPr>
          <w:rFonts w:ascii="宋体" w:hAnsi="宋体" w:cs="宋体"/>
        </w:rPr>
      </w:pPr>
      <w:r>
        <w:rPr>
          <w:rFonts w:hint="eastAsia" w:ascii="宋体" w:hAnsi="宋体" w:cs="宋体"/>
        </w:rPr>
        <w:t xml:space="preserve">D.105 </w:t>
      </w:r>
    </w:p>
    <w:p w14:paraId="118522EC">
      <w:pPr>
        <w:jc w:val="left"/>
        <w:rPr>
          <w:rFonts w:ascii="宋体" w:hAnsi="宋体" w:cs="宋体"/>
        </w:rPr>
      </w:pPr>
      <w:r>
        <w:rPr>
          <w:rFonts w:hint="eastAsia" w:ascii="宋体" w:hAnsi="宋体" w:cs="宋体"/>
        </w:rPr>
        <w:t xml:space="preserve">答案：C </w:t>
      </w:r>
    </w:p>
    <w:p w14:paraId="574E7B19">
      <w:pPr>
        <w:jc w:val="left"/>
        <w:rPr>
          <w:rFonts w:ascii="宋体" w:hAnsi="宋体" w:cs="宋体"/>
        </w:rPr>
      </w:pPr>
      <w:r>
        <w:rPr>
          <w:rFonts w:hint="eastAsia" w:ascii="宋体" w:hAnsi="宋体" w:cs="宋体"/>
        </w:rPr>
        <w:t>解析：该股票的价值＝5/（10%－5%）＝100（元）</w:t>
      </w:r>
    </w:p>
    <w:p w14:paraId="146E9286">
      <w:pPr>
        <w:jc w:val="left"/>
        <w:rPr>
          <w:rFonts w:ascii="宋体" w:hAnsi="宋体" w:cs="宋体"/>
        </w:rPr>
      </w:pPr>
    </w:p>
    <w:p w14:paraId="53314317">
      <w:pPr>
        <w:jc w:val="left"/>
        <w:rPr>
          <w:rFonts w:ascii="宋体" w:hAnsi="宋体" w:cs="宋体"/>
        </w:rPr>
      </w:pPr>
      <w:r>
        <w:rPr>
          <w:rFonts w:hint="eastAsia" w:ascii="宋体" w:hAnsi="宋体" w:cs="宋体"/>
        </w:rPr>
        <w:t>【单选题】（2020年）假设投资者要求达到10%的收益率，某公司当期每股股利（D0）为0.5元，预计股利增长率为5%，则该公司股票的价值为（  ）元。</w:t>
      </w:r>
    </w:p>
    <w:p w14:paraId="25FB2094">
      <w:pPr>
        <w:jc w:val="left"/>
        <w:rPr>
          <w:rFonts w:ascii="宋体" w:hAnsi="宋体" w:cs="宋体"/>
        </w:rPr>
      </w:pPr>
      <w:r>
        <w:rPr>
          <w:rFonts w:hint="eastAsia" w:ascii="宋体" w:hAnsi="宋体" w:cs="宋体"/>
        </w:rPr>
        <w:t xml:space="preserve">A.5.25           B.10.5                 </w:t>
      </w:r>
    </w:p>
    <w:p w14:paraId="670D496F">
      <w:pPr>
        <w:jc w:val="left"/>
        <w:rPr>
          <w:rFonts w:ascii="宋体" w:hAnsi="宋体" w:cs="宋体"/>
        </w:rPr>
      </w:pPr>
      <w:r>
        <w:rPr>
          <w:rFonts w:hint="eastAsia" w:ascii="宋体" w:hAnsi="宋体" w:cs="宋体"/>
        </w:rPr>
        <w:t>C.5              D.10</w:t>
      </w:r>
    </w:p>
    <w:p w14:paraId="10175A1B">
      <w:pPr>
        <w:jc w:val="left"/>
        <w:rPr>
          <w:rFonts w:ascii="宋体" w:hAnsi="宋体" w:cs="宋体"/>
        </w:rPr>
      </w:pPr>
      <w:r>
        <w:rPr>
          <w:rFonts w:hint="eastAsia" w:ascii="宋体" w:hAnsi="宋体" w:cs="宋体"/>
        </w:rPr>
        <w:t>答案：B</w:t>
      </w:r>
    </w:p>
    <w:p w14:paraId="24821507">
      <w:pPr>
        <w:jc w:val="left"/>
        <w:rPr>
          <w:rFonts w:ascii="宋体" w:hAnsi="宋体" w:cs="宋体"/>
        </w:rPr>
      </w:pPr>
      <w:r>
        <w:rPr>
          <w:rFonts w:hint="eastAsia" w:ascii="宋体" w:hAnsi="宋体" w:cs="宋体"/>
        </w:rPr>
        <w:t>解析：公司每股股票价值＝0.5×（1＋5%）/（10%－5%）＝10.5（元）</w:t>
      </w:r>
    </w:p>
    <w:p w14:paraId="6A1CC0C6">
      <w:pPr>
        <w:jc w:val="left"/>
        <w:rPr>
          <w:rFonts w:ascii="宋体" w:hAnsi="宋体" w:cs="宋体"/>
        </w:rPr>
      </w:pPr>
    </w:p>
    <w:p w14:paraId="7FCC9C0B">
      <w:pPr>
        <w:jc w:val="left"/>
        <w:rPr>
          <w:rFonts w:ascii="宋体" w:hAnsi="宋体" w:cs="宋体"/>
          <w:color w:val="FF0000"/>
        </w:rPr>
      </w:pPr>
      <w:r>
        <w:rPr>
          <w:rFonts w:hint="eastAsia" w:ascii="宋体" w:hAnsi="宋体" w:cs="宋体"/>
          <w:color w:val="FF0000"/>
        </w:rPr>
        <w:t>4.零增长模式</w:t>
      </w:r>
    </w:p>
    <w:p w14:paraId="7D7D0063">
      <w:pPr>
        <w:jc w:val="left"/>
        <w:rPr>
          <w:rFonts w:ascii="宋体" w:hAnsi="宋体" w:cs="宋体"/>
        </w:rPr>
      </w:pPr>
      <w:r>
        <w:rPr>
          <w:rFonts w:ascii="宋体" w:hAnsi="宋体" w:cs="宋体"/>
        </w:rPr>
        <w:t>如果公司未来各期发放的股利都相等，并且投资者准备永久持有，那么这种股票与优先股类似，g=0.</w:t>
      </w:r>
    </w:p>
    <w:p w14:paraId="22128F39">
      <w:pPr>
        <w:jc w:val="left"/>
        <w:rPr>
          <w:rFonts w:ascii="宋体" w:hAnsi="宋体" w:cs="宋体"/>
        </w:rPr>
      </w:pPr>
      <w:r>
        <w:rPr>
          <w:rFonts w:ascii="宋体" w:hAnsi="宋体" w:cs="宋体"/>
        </w:rPr>
        <w:t>公式：V</w:t>
      </w:r>
      <w:r>
        <w:rPr>
          <w:rFonts w:ascii="宋体" w:hAnsi="宋体" w:cs="宋体"/>
          <w:vertAlign w:val="subscript"/>
        </w:rPr>
        <w:t>S</w:t>
      </w:r>
      <w:r>
        <w:rPr>
          <w:rFonts w:ascii="宋体" w:hAnsi="宋体" w:cs="宋体"/>
        </w:rPr>
        <w:t>＝D</w:t>
      </w:r>
      <w:r>
        <w:rPr>
          <w:rFonts w:ascii="宋体" w:hAnsi="宋体" w:cs="宋体"/>
          <w:vertAlign w:val="subscript"/>
        </w:rPr>
        <w:t>0</w:t>
      </w:r>
      <w:r>
        <w:rPr>
          <w:rFonts w:ascii="宋体" w:hAnsi="宋体" w:cs="宋体"/>
        </w:rPr>
        <w:t>/R</w:t>
      </w:r>
      <w:r>
        <w:rPr>
          <w:rFonts w:ascii="宋体" w:hAnsi="宋体" w:cs="宋体"/>
          <w:vertAlign w:val="subscript"/>
        </w:rPr>
        <w:t>S</w:t>
      </w:r>
    </w:p>
    <w:p w14:paraId="7DC9225A">
      <w:pPr>
        <w:jc w:val="left"/>
        <w:rPr>
          <w:rFonts w:ascii="宋体" w:hAnsi="宋体" w:cs="宋体"/>
        </w:rPr>
      </w:pPr>
      <w:r>
        <w:rPr>
          <w:rFonts w:ascii="宋体" w:hAnsi="宋体" w:cs="宋体"/>
          <w:color w:val="FF0000"/>
        </w:rPr>
        <w:t>【例6-22续】</w:t>
      </w:r>
      <w:r>
        <w:rPr>
          <w:rFonts w:ascii="宋体" w:hAnsi="宋体" w:cs="宋体"/>
        </w:rPr>
        <w:t>假定某投资者准备购买A公司的股票，并且准备长期持有，要求达到12%的收益率，该公司今年每股股利0.8元，如果g=0，求：A股票的价值？</w:t>
      </w:r>
    </w:p>
    <w:p w14:paraId="5813E58A">
      <w:pPr>
        <w:jc w:val="left"/>
        <w:rPr>
          <w:rFonts w:ascii="宋体" w:hAnsi="宋体" w:cs="宋体"/>
        </w:rPr>
      </w:pPr>
      <w:r>
        <w:rPr>
          <w:rFonts w:ascii="宋体" w:hAnsi="宋体" w:cs="宋体"/>
        </w:rPr>
        <w:t>A股票的价值=0.8/12%=6.67（元）</w:t>
      </w:r>
    </w:p>
    <w:p w14:paraId="1A9B7550">
      <w:pPr>
        <w:jc w:val="left"/>
        <w:rPr>
          <w:rFonts w:ascii="宋体" w:hAnsi="宋体" w:cs="宋体"/>
          <w:color w:val="FF0000"/>
        </w:rPr>
      </w:pPr>
      <w:r>
        <w:rPr>
          <w:rFonts w:hint="eastAsia" w:ascii="宋体" w:hAnsi="宋体" w:cs="宋体"/>
          <w:color w:val="FF0000"/>
        </w:rPr>
        <w:t>二、股票投资的收益率</w:t>
      </w:r>
    </w:p>
    <w:p w14:paraId="4FBFC459">
      <w:pPr>
        <w:jc w:val="left"/>
        <w:rPr>
          <w:rFonts w:ascii="宋体" w:hAnsi="宋体" w:cs="宋体"/>
          <w:color w:val="FF0000"/>
        </w:rPr>
      </w:pPr>
      <w:r>
        <w:rPr>
          <w:rFonts w:hint="eastAsia" w:ascii="宋体" w:hAnsi="宋体" w:cs="宋体"/>
          <w:color w:val="FF0000"/>
        </w:rPr>
        <w:t>1.股票收益的来源</w:t>
      </w:r>
    </w:p>
    <w:p w14:paraId="09EABA1E">
      <w:pPr>
        <w:jc w:val="left"/>
        <w:rPr>
          <w:rFonts w:ascii="宋体" w:hAnsi="宋体" w:cs="宋体"/>
        </w:rPr>
      </w:pPr>
      <w:r>
        <w:rPr>
          <w:rFonts w:hint="eastAsia" w:ascii="宋体" w:hAnsi="宋体" w:cs="宋体"/>
        </w:rPr>
        <w:t>股票投资的收益由股利收益、股利再投资收益、转让价差收益三部分构成。并且，只要按货币时间价值的原理计算股票投资收益，就无须单独考虑再投资收益的因素。</w:t>
      </w:r>
    </w:p>
    <w:p w14:paraId="174743B3">
      <w:pPr>
        <w:jc w:val="left"/>
        <w:rPr>
          <w:rFonts w:ascii="宋体" w:hAnsi="宋体" w:cs="宋体"/>
          <w:color w:val="FF0000"/>
        </w:rPr>
      </w:pPr>
      <w:r>
        <w:rPr>
          <w:rFonts w:ascii="宋体" w:hAnsi="宋体" w:cs="宋体"/>
          <w:color w:val="FF0000"/>
        </w:rPr>
        <w:t>2.股票内部收益率</w:t>
      </w:r>
    </w:p>
    <w:p w14:paraId="1A537156">
      <w:pPr>
        <w:jc w:val="left"/>
        <w:rPr>
          <w:rFonts w:ascii="宋体" w:hAnsi="宋体" w:cs="宋体"/>
        </w:rPr>
      </w:pPr>
      <w:r>
        <w:rPr>
          <w:rFonts w:ascii="宋体" w:hAnsi="宋体" w:cs="宋体"/>
        </w:rPr>
        <w:t>固定增长股票估价模型中，用股票的购买价格P</w:t>
      </w:r>
      <w:r>
        <w:rPr>
          <w:rFonts w:ascii="宋体" w:hAnsi="宋体" w:cs="宋体"/>
          <w:vertAlign w:val="subscript"/>
        </w:rPr>
        <w:t>0</w:t>
      </w:r>
      <w:r>
        <w:rPr>
          <w:rFonts w:ascii="宋体" w:hAnsi="宋体" w:cs="宋体"/>
        </w:rPr>
        <w:t>代替内在价值V</w:t>
      </w:r>
      <w:r>
        <w:rPr>
          <w:rFonts w:ascii="宋体" w:hAnsi="宋体" w:cs="宋体"/>
          <w:vertAlign w:val="subscript"/>
        </w:rPr>
        <w:t>S</w:t>
      </w:r>
      <w:r>
        <w:rPr>
          <w:rFonts w:ascii="宋体" w:hAnsi="宋体" w:cs="宋体"/>
        </w:rPr>
        <w:t>，有：</w:t>
      </w:r>
    </w:p>
    <w:p w14:paraId="6357B1B8">
      <w:pPr>
        <w:jc w:val="left"/>
        <w:rPr>
          <w:rFonts w:hint="eastAsia" w:ascii="宋体" w:hAnsi="宋体" w:cs="宋体"/>
        </w:rPr>
      </w:pPr>
      <w:r>
        <w:rPr>
          <w:rFonts w:hint="eastAsia" w:ascii="宋体" w:hAnsi="宋体" w:cs="宋体"/>
        </w:rPr>
        <w:drawing>
          <wp:inline distT="0" distB="0" distL="114300" distR="114300">
            <wp:extent cx="842645" cy="436880"/>
            <wp:effectExtent l="0" t="0" r="14605" b="127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6"/>
                    <a:stretch>
                      <a:fillRect/>
                    </a:stretch>
                  </pic:blipFill>
                  <pic:spPr>
                    <a:xfrm>
                      <a:off x="0" y="0"/>
                      <a:ext cx="855222" cy="443474"/>
                    </a:xfrm>
                    <a:prstGeom prst="rect">
                      <a:avLst/>
                    </a:prstGeom>
                    <a:noFill/>
                    <a:ln>
                      <a:noFill/>
                    </a:ln>
                  </pic:spPr>
                </pic:pic>
              </a:graphicData>
            </a:graphic>
          </wp:inline>
        </w:drawing>
      </w:r>
    </w:p>
    <w:p w14:paraId="19706784">
      <w:pPr>
        <w:jc w:val="left"/>
        <w:rPr>
          <w:rFonts w:ascii="宋体" w:hAnsi="宋体" w:cs="宋体"/>
        </w:rPr>
      </w:pPr>
      <w:r>
        <w:rPr>
          <w:rFonts w:ascii="宋体" w:hAnsi="宋体" w:cs="宋体"/>
        </w:rPr>
        <w:t>如果投资者不打算长期持有股票，股票投资收益率是使股票投资</w:t>
      </w:r>
      <w:r>
        <w:rPr>
          <w:rFonts w:ascii="宋体" w:hAnsi="宋体" w:cs="宋体"/>
          <w:color w:val="FF0000"/>
        </w:rPr>
        <w:t>净现值为零时的贴现率</w:t>
      </w:r>
      <w:r>
        <w:rPr>
          <w:rFonts w:ascii="宋体" w:hAnsi="宋体" w:cs="宋体"/>
        </w:rPr>
        <w:t>，计算公式为：</w:t>
      </w:r>
    </w:p>
    <w:p w14:paraId="10744A9A">
      <w:pPr>
        <w:jc w:val="left"/>
        <w:rPr>
          <w:rFonts w:ascii="宋体" w:hAnsi="宋体" w:cs="宋体"/>
        </w:rPr>
      </w:pPr>
      <w:r>
        <w:rPr>
          <w:rFonts w:hint="eastAsia" w:ascii="宋体" w:hAnsi="宋体" w:cs="宋体"/>
        </w:rPr>
        <w:drawing>
          <wp:inline distT="0" distB="0" distL="114300" distR="114300">
            <wp:extent cx="2130425" cy="397510"/>
            <wp:effectExtent l="0" t="0" r="3175" b="254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7"/>
                    <a:stretch>
                      <a:fillRect/>
                    </a:stretch>
                  </pic:blipFill>
                  <pic:spPr>
                    <a:xfrm>
                      <a:off x="0" y="0"/>
                      <a:ext cx="2199009" cy="410352"/>
                    </a:xfrm>
                    <a:prstGeom prst="rect">
                      <a:avLst/>
                    </a:prstGeom>
                    <a:noFill/>
                    <a:ln>
                      <a:noFill/>
                    </a:ln>
                  </pic:spPr>
                </pic:pic>
              </a:graphicData>
            </a:graphic>
          </wp:inline>
        </w:drawing>
      </w:r>
    </w:p>
    <w:p w14:paraId="53E4D689">
      <w:pPr>
        <w:jc w:val="left"/>
        <w:rPr>
          <w:rFonts w:hint="eastAsia" w:ascii="宋体" w:hAnsi="宋体" w:cs="宋体"/>
        </w:rPr>
      </w:pPr>
      <w:r>
        <w:rPr>
          <w:rFonts w:hint="eastAsia" w:ascii="宋体" w:hAnsi="宋体" w:cs="宋体"/>
          <w:color w:val="FF0000"/>
        </w:rPr>
        <w:t>【例6-24】</w:t>
      </w:r>
      <w:r>
        <w:rPr>
          <w:rFonts w:hint="eastAsia" w:ascii="宋体" w:hAnsi="宋体" w:cs="宋体"/>
        </w:rPr>
        <w:t>某投资者2006年5月购入A公司股票1000股，每股购价3.2元；A公司2007年、2008年、2009年分别派分现金股利每股0.25元、0.32元、0.45元；该投资者2009年5月以每股3.5元的价格售出该股票，则A股票内部收益率的计算为：</w:t>
      </w:r>
    </w:p>
    <w:p w14:paraId="515A9D59">
      <w:pPr>
        <w:jc w:val="left"/>
        <w:rPr>
          <w:rFonts w:ascii="宋体" w:hAnsi="宋体" w:cs="宋体"/>
        </w:rPr>
      </w:pPr>
      <w:r>
        <w:rPr>
          <w:rFonts w:hint="eastAsia" w:ascii="宋体" w:hAnsi="宋体" w:cs="宋体"/>
        </w:rPr>
        <w:drawing>
          <wp:inline distT="0" distB="0" distL="114300" distR="114300">
            <wp:extent cx="3990975" cy="1106805"/>
            <wp:effectExtent l="0" t="0" r="9525" b="1714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8"/>
                    <a:stretch>
                      <a:fillRect/>
                    </a:stretch>
                  </pic:blipFill>
                  <pic:spPr>
                    <a:xfrm>
                      <a:off x="0" y="0"/>
                      <a:ext cx="4028415" cy="1117585"/>
                    </a:xfrm>
                    <a:prstGeom prst="rect">
                      <a:avLst/>
                    </a:prstGeom>
                    <a:noFill/>
                    <a:ln>
                      <a:noFill/>
                    </a:ln>
                  </pic:spPr>
                </pic:pic>
              </a:graphicData>
            </a:graphic>
          </wp:inline>
        </w:drawing>
      </w:r>
    </w:p>
    <w:p w14:paraId="41A1134C">
      <w:pPr>
        <w:jc w:val="left"/>
        <w:rPr>
          <w:rFonts w:ascii="宋体" w:hAnsi="宋体" w:cs="宋体"/>
        </w:rPr>
      </w:pPr>
    </w:p>
    <w:p w14:paraId="62F50CD0">
      <w:pPr>
        <w:jc w:val="left"/>
        <w:rPr>
          <w:rFonts w:ascii="宋体" w:hAnsi="宋体" w:cs="宋体"/>
        </w:rPr>
      </w:pPr>
      <w:r>
        <w:rPr>
          <w:rFonts w:hint="eastAsia" w:ascii="宋体" w:hAnsi="宋体" w:cs="宋体"/>
        </w:rPr>
        <w:t>【单选题】（2019年）某公司股票的当前市场价格为10元/股，今年发放的现金股利为0.2元/股（D0=0.2），预计未来每年股利增长率为5%，则该股票的内部收益率为（  ）。</w:t>
      </w:r>
    </w:p>
    <w:p w14:paraId="32F8B930">
      <w:pPr>
        <w:jc w:val="left"/>
        <w:rPr>
          <w:rFonts w:ascii="宋体" w:hAnsi="宋体" w:cs="宋体"/>
        </w:rPr>
      </w:pPr>
      <w:r>
        <w:rPr>
          <w:rFonts w:hint="eastAsia" w:ascii="宋体" w:hAnsi="宋体" w:cs="宋体"/>
        </w:rPr>
        <w:t xml:space="preserve">A.7%        </w:t>
      </w:r>
      <w:r>
        <w:rPr>
          <w:rFonts w:ascii="宋体" w:hAnsi="宋体" w:cs="宋体"/>
        </w:rPr>
        <w:t xml:space="preserve"> </w:t>
      </w:r>
      <w:r>
        <w:rPr>
          <w:rFonts w:hint="eastAsia" w:ascii="宋体" w:hAnsi="宋体" w:cs="宋体"/>
        </w:rPr>
        <w:t xml:space="preserve">B.5%                </w:t>
      </w:r>
    </w:p>
    <w:p w14:paraId="2CEEF059">
      <w:pPr>
        <w:jc w:val="left"/>
        <w:rPr>
          <w:rFonts w:ascii="宋体" w:hAnsi="宋体" w:cs="宋体"/>
        </w:rPr>
      </w:pPr>
      <w:r>
        <w:rPr>
          <w:rFonts w:hint="eastAsia" w:ascii="宋体" w:hAnsi="宋体" w:cs="宋体"/>
        </w:rPr>
        <w:t>C.7.1%　     D.2%</w:t>
      </w:r>
    </w:p>
    <w:p w14:paraId="33E1D19C">
      <w:pPr>
        <w:jc w:val="left"/>
        <w:rPr>
          <w:rFonts w:ascii="宋体" w:hAnsi="宋体" w:cs="宋体"/>
        </w:rPr>
      </w:pPr>
      <w:r>
        <w:rPr>
          <w:rFonts w:hint="eastAsia" w:ascii="宋体" w:hAnsi="宋体" w:cs="宋体"/>
        </w:rPr>
        <w:t>答案：C</w:t>
      </w:r>
    </w:p>
    <w:p w14:paraId="5E8665B6">
      <w:pPr>
        <w:jc w:val="left"/>
        <w:rPr>
          <w:rFonts w:ascii="宋体" w:hAnsi="宋体" w:cs="宋体"/>
        </w:rPr>
      </w:pPr>
      <w:r>
        <w:rPr>
          <w:rFonts w:hint="eastAsia" w:ascii="宋体" w:hAnsi="宋体" w:cs="宋体"/>
        </w:rPr>
        <w:t>解析：该股票的内部收益率＝D1/P0＋g＝0.2×（1＋5%）/10＋5%＝7.1%</w:t>
      </w:r>
    </w:p>
    <w:p w14:paraId="37243616">
      <w:pPr>
        <w:jc w:val="left"/>
        <w:rPr>
          <w:rFonts w:ascii="宋体" w:hAnsi="宋体" w:cs="宋体"/>
        </w:rPr>
      </w:pPr>
    </w:p>
    <w:p w14:paraId="6257E093">
      <w:pPr>
        <w:jc w:val="left"/>
        <w:rPr>
          <w:rFonts w:ascii="宋体" w:hAnsi="宋体" w:cs="宋体"/>
        </w:rPr>
      </w:pPr>
      <w:r>
        <w:rPr>
          <w:rFonts w:hint="eastAsia" w:ascii="宋体" w:hAnsi="宋体" w:cs="宋体"/>
        </w:rPr>
        <w:t>【计算分析题】（2021年）某投资者准备购买甲公司的股票，并打算长期持有。甲公司股票当前的市场价格为32元/股，预计未来3年每年股利均为2元/股，随后股利年增长率为10%。甲公司股票的β系数为2，当前无风险收益率为5%，市场平均收益率为10%。有关货币时间价值系数如下：（P/F，10%，3）＝0.7513，（P/F，15%，3）＝0.6575，（P/A，10%，3）＝2.4869，（P/A，15%，3）＝2.2832。</w:t>
      </w:r>
    </w:p>
    <w:p w14:paraId="201BBCE0">
      <w:pPr>
        <w:jc w:val="left"/>
        <w:rPr>
          <w:rFonts w:ascii="宋体" w:hAnsi="宋体" w:cs="宋体"/>
        </w:rPr>
      </w:pPr>
      <w:r>
        <w:rPr>
          <w:rFonts w:hint="eastAsia" w:ascii="宋体" w:hAnsi="宋体" w:cs="宋体"/>
        </w:rPr>
        <w:t>要求：</w:t>
      </w:r>
    </w:p>
    <w:p w14:paraId="52771C55">
      <w:pPr>
        <w:jc w:val="left"/>
        <w:rPr>
          <w:rFonts w:ascii="宋体" w:hAnsi="宋体" w:cs="宋体"/>
        </w:rPr>
      </w:pPr>
      <w:r>
        <w:rPr>
          <w:rFonts w:hint="eastAsia" w:ascii="宋体" w:hAnsi="宋体" w:cs="宋体"/>
        </w:rPr>
        <w:t>（1）采用资本资产定价模型计算甲公司股票的必要收益率。</w:t>
      </w:r>
    </w:p>
    <w:p w14:paraId="29B8A3DD">
      <w:pPr>
        <w:jc w:val="left"/>
        <w:rPr>
          <w:rFonts w:ascii="宋体" w:hAnsi="宋体" w:cs="宋体"/>
        </w:rPr>
      </w:pPr>
      <w:r>
        <w:rPr>
          <w:rFonts w:hint="eastAsia" w:ascii="宋体" w:hAnsi="宋体" w:cs="宋体"/>
        </w:rPr>
        <w:t>（2）根据要求（1）的计算结果作为投资者要求的收益率，采用股票估价模型计算甲公司股票的价值。</w:t>
      </w:r>
    </w:p>
    <w:p w14:paraId="27983721">
      <w:pPr>
        <w:jc w:val="left"/>
        <w:rPr>
          <w:rFonts w:ascii="宋体" w:hAnsi="宋体" w:cs="宋体"/>
        </w:rPr>
      </w:pPr>
      <w:r>
        <w:rPr>
          <w:rFonts w:hint="eastAsia" w:ascii="宋体" w:hAnsi="宋体" w:cs="宋体"/>
        </w:rPr>
        <w:t>（3）根据要求（2）的计算结果，判断该股票值不值得投资，并说明理由。</w:t>
      </w:r>
    </w:p>
    <w:p w14:paraId="2C7B7699">
      <w:pPr>
        <w:jc w:val="left"/>
        <w:rPr>
          <w:rFonts w:ascii="宋体" w:hAnsi="宋体" w:cs="宋体"/>
        </w:rPr>
      </w:pPr>
      <w:r>
        <w:rPr>
          <w:rFonts w:hint="eastAsia" w:ascii="宋体" w:hAnsi="宋体" w:cs="宋体"/>
        </w:rPr>
        <w:t>答案：</w:t>
      </w:r>
    </w:p>
    <w:p w14:paraId="1B14BACA">
      <w:pPr>
        <w:jc w:val="left"/>
        <w:rPr>
          <w:rFonts w:ascii="宋体" w:hAnsi="宋体" w:cs="宋体"/>
        </w:rPr>
      </w:pPr>
      <w:r>
        <w:rPr>
          <w:rFonts w:hint="eastAsia" w:ascii="宋体" w:hAnsi="宋体" w:cs="宋体"/>
        </w:rPr>
        <w:t>（1）必要收益率＝5%＋2×（10%－5%）＝15%</w:t>
      </w:r>
    </w:p>
    <w:p w14:paraId="75DC0E16">
      <w:pPr>
        <w:jc w:val="left"/>
        <w:rPr>
          <w:rFonts w:ascii="宋体" w:hAnsi="宋体" w:cs="宋体"/>
        </w:rPr>
      </w:pPr>
      <w:r>
        <w:rPr>
          <w:rFonts w:hint="eastAsia" w:ascii="宋体" w:hAnsi="宋体" w:cs="宋体"/>
        </w:rPr>
        <w:t>（2）第4年股利＝2×（1＋10%）＝2.20（元/股）</w:t>
      </w:r>
    </w:p>
    <w:p w14:paraId="2DBE35D7">
      <w:pPr>
        <w:jc w:val="left"/>
        <w:rPr>
          <w:rFonts w:ascii="宋体" w:hAnsi="宋体" w:cs="宋体"/>
        </w:rPr>
      </w:pPr>
      <w:r>
        <w:rPr>
          <w:rFonts w:hint="eastAsia" w:ascii="宋体" w:hAnsi="宋体" w:cs="宋体"/>
        </w:rPr>
        <w:t>第3年末股票价值＝2.20/（15%－10%）＝44（元）</w:t>
      </w:r>
    </w:p>
    <w:p w14:paraId="4965A6F0">
      <w:pPr>
        <w:jc w:val="left"/>
        <w:rPr>
          <w:rFonts w:ascii="宋体" w:hAnsi="宋体" w:cs="宋体"/>
        </w:rPr>
      </w:pPr>
      <w:r>
        <w:rPr>
          <w:rFonts w:hint="eastAsia" w:ascii="宋体" w:hAnsi="宋体" w:cs="宋体"/>
        </w:rPr>
        <w:t>甲股票价值＝2×（P/A，15%，3）＋44×（P/F，15%，3）＝2×2.2832＋44×0.6575＝33.50（元）</w:t>
      </w:r>
    </w:p>
    <w:p w14:paraId="0033387F">
      <w:pPr>
        <w:jc w:val="left"/>
        <w:rPr>
          <w:rFonts w:hint="eastAsia" w:ascii="宋体" w:hAnsi="宋体" w:cs="宋体"/>
        </w:rPr>
      </w:pPr>
      <w:r>
        <w:rPr>
          <w:rFonts w:hint="eastAsia" w:ascii="宋体" w:hAnsi="宋体" w:cs="宋体"/>
        </w:rPr>
        <w:t>（3）由于股票的价值33.50元高于股票的价格32元，该股票值得投资。</w:t>
      </w:r>
    </w:p>
    <w:p w14:paraId="07E595DC">
      <w:pPr>
        <w:overflowPunct w:val="0"/>
        <w:jc w:val="center"/>
        <w:rPr>
          <w:rFonts w:ascii="宋体" w:hAnsi="宋体" w:cs="宋体"/>
          <w:b/>
          <w:bCs/>
        </w:rPr>
      </w:pPr>
      <w:r>
        <w:rPr>
          <w:rFonts w:hint="eastAsia" w:ascii="宋体" w:hAnsi="宋体" w:cs="宋体"/>
          <w:b/>
          <w:bCs/>
        </w:rPr>
        <w:t>第五节  基金投资与期权投资</w:t>
      </w:r>
    </w:p>
    <w:p w14:paraId="61C00238">
      <w:pPr>
        <w:jc w:val="left"/>
        <w:rPr>
          <w:rFonts w:ascii="宋体" w:hAnsi="宋体" w:cs="宋体"/>
          <w:color w:val="FF0000"/>
        </w:rPr>
      </w:pPr>
      <w:r>
        <w:rPr>
          <w:rFonts w:hint="eastAsia" w:ascii="宋体" w:hAnsi="宋体" w:cs="宋体"/>
          <w:color w:val="FF0000"/>
        </w:rPr>
        <w:t>一、投资基金的概念</w:t>
      </w:r>
    </w:p>
    <w:p w14:paraId="2A93B05D">
      <w:pPr>
        <w:jc w:val="left"/>
        <w:rPr>
          <w:rFonts w:ascii="宋体" w:hAnsi="宋体" w:cs="宋体"/>
        </w:rPr>
      </w:pPr>
      <w:r>
        <w:rPr>
          <w:rFonts w:hint="eastAsia" w:ascii="宋体" w:hAnsi="宋体" w:cs="宋体"/>
        </w:rPr>
        <w:t>1.投资基金的含义</w:t>
      </w:r>
    </w:p>
    <w:p w14:paraId="2ECD72F5">
      <w:pPr>
        <w:jc w:val="left"/>
        <w:rPr>
          <w:rFonts w:ascii="宋体" w:hAnsi="宋体" w:cs="宋体"/>
        </w:rPr>
      </w:pPr>
      <w:r>
        <w:rPr>
          <w:rFonts w:hint="eastAsia" w:ascii="宋体" w:hAnsi="宋体" w:cs="宋体"/>
        </w:rPr>
        <w:t>投资基金属于集合投资方式，即投资者以购买基金份额的方式集聚资金，由基金管理人作为专业投资者进行管理，通过投资组合的方式进行投资，实现利益共享、风险共担。</w:t>
      </w:r>
    </w:p>
    <w:p w14:paraId="4BEB20AE">
      <w:pPr>
        <w:jc w:val="left"/>
        <w:rPr>
          <w:rFonts w:ascii="宋体" w:hAnsi="宋体" w:cs="宋体"/>
        </w:rPr>
      </w:pPr>
      <w:r>
        <w:rPr>
          <w:rFonts w:hint="eastAsia" w:ascii="宋体" w:hAnsi="宋体" w:cs="宋体"/>
        </w:rPr>
        <w:t>按照投资对象不同，投资基金可分为：</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8258"/>
      </w:tblGrid>
      <w:tr w14:paraId="6070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1529D9B0">
            <w:pPr>
              <w:jc w:val="left"/>
              <w:rPr>
                <w:rFonts w:ascii="宋体" w:hAnsi="宋体" w:cs="宋体"/>
              </w:rPr>
            </w:pPr>
            <w:r>
              <w:rPr>
                <w:rFonts w:hint="eastAsia" w:ascii="宋体" w:hAnsi="宋体" w:cs="宋体"/>
              </w:rPr>
              <w:t>证券投资基金</w:t>
            </w:r>
          </w:p>
        </w:tc>
        <w:tc>
          <w:tcPr>
            <w:tcW w:w="4073" w:type="pct"/>
          </w:tcPr>
          <w:p w14:paraId="0E43163B">
            <w:pPr>
              <w:jc w:val="left"/>
              <w:rPr>
                <w:rFonts w:ascii="宋体" w:hAnsi="宋体" w:cs="宋体"/>
              </w:rPr>
            </w:pPr>
            <w:r>
              <w:rPr>
                <w:rFonts w:hint="eastAsia" w:ascii="宋体" w:hAnsi="宋体" w:cs="宋体"/>
              </w:rPr>
              <w:t>投资于证交所或银行间市场上公开交易的有价证券，如股票、债券等</w:t>
            </w:r>
          </w:p>
        </w:tc>
      </w:tr>
      <w:tr w14:paraId="0A02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25416730">
            <w:pPr>
              <w:jc w:val="left"/>
              <w:rPr>
                <w:rFonts w:ascii="宋体" w:hAnsi="宋体" w:cs="宋体"/>
              </w:rPr>
            </w:pPr>
            <w:r>
              <w:rPr>
                <w:rFonts w:hint="eastAsia" w:ascii="宋体" w:hAnsi="宋体" w:cs="宋体"/>
              </w:rPr>
              <w:t>另类投资基金</w:t>
            </w:r>
          </w:p>
        </w:tc>
        <w:tc>
          <w:tcPr>
            <w:tcW w:w="4073" w:type="pct"/>
          </w:tcPr>
          <w:p w14:paraId="3556634B">
            <w:pPr>
              <w:jc w:val="left"/>
              <w:rPr>
                <w:rFonts w:ascii="宋体" w:hAnsi="宋体" w:cs="宋体"/>
              </w:rPr>
            </w:pPr>
            <w:r>
              <w:rPr>
                <w:rFonts w:hint="eastAsia" w:ascii="宋体" w:hAnsi="宋体" w:cs="宋体"/>
              </w:rPr>
              <w:t>风险投资基金，对冲基金，以及投资于实物资产如房地产、大宗商品、基础设施等。</w:t>
            </w:r>
          </w:p>
        </w:tc>
      </w:tr>
    </w:tbl>
    <w:p w14:paraId="1E234103">
      <w:pPr>
        <w:jc w:val="left"/>
        <w:rPr>
          <w:rFonts w:ascii="宋体" w:hAnsi="宋体" w:cs="宋体"/>
        </w:rPr>
      </w:pPr>
      <w:r>
        <w:rPr>
          <w:rFonts w:hint="eastAsia" w:ascii="宋体" w:hAnsi="宋体" w:cs="宋体"/>
          <w:color w:val="FF0000"/>
        </w:rPr>
        <w:t>【提示】</w:t>
      </w:r>
      <w:r>
        <w:rPr>
          <w:rFonts w:hint="eastAsia" w:ascii="宋体" w:hAnsi="宋体" w:cs="宋体"/>
        </w:rPr>
        <w:t>本教材介绍的投资基金为证券投资基金。</w:t>
      </w:r>
    </w:p>
    <w:p w14:paraId="3C0621FB">
      <w:pPr>
        <w:jc w:val="left"/>
        <w:rPr>
          <w:rFonts w:ascii="宋体" w:hAnsi="宋体" w:cs="宋体"/>
          <w:color w:val="FF0000"/>
        </w:rPr>
      </w:pPr>
      <w:r>
        <w:rPr>
          <w:rFonts w:hint="eastAsia" w:ascii="宋体" w:hAnsi="宋体" w:cs="宋体"/>
          <w:color w:val="FF0000"/>
        </w:rPr>
        <w:t>2.证券投资基金的概念</w:t>
      </w:r>
    </w:p>
    <w:p w14:paraId="7B01340E">
      <w:pPr>
        <w:jc w:val="left"/>
        <w:rPr>
          <w:rFonts w:ascii="宋体" w:hAnsi="宋体" w:cs="宋体"/>
        </w:rPr>
      </w:pPr>
      <w:r>
        <w:rPr>
          <w:rFonts w:hint="eastAsia" w:ascii="宋体" w:hAnsi="宋体" w:cs="宋体"/>
        </w:rPr>
        <w:t>证券投资基金以股票、债券等金融证券为投资对象，基金投资者通过购买基金份额的方式间接进行证券投资，由基金管理人进行专业化投资决策，由基金托管人（商业银行或其他金融机构）对资金进行托管。证券投资基金反映信托关系，是一种受益凭证，投资者购买基金份额则成为基金的受益人。</w:t>
      </w:r>
    </w:p>
    <w:p w14:paraId="7A32BC1D">
      <w:pPr>
        <w:jc w:val="left"/>
        <w:rPr>
          <w:rFonts w:ascii="宋体" w:hAnsi="宋体" w:cs="宋体"/>
          <w:color w:val="FF0000"/>
        </w:rPr>
      </w:pPr>
      <w:r>
        <w:rPr>
          <w:rFonts w:hint="eastAsia" w:ascii="宋体" w:hAnsi="宋体" w:cs="宋体"/>
          <w:color w:val="FF0000"/>
        </w:rPr>
        <w:t>二、证券投资基金的特点</w:t>
      </w:r>
    </w:p>
    <w:p w14:paraId="65A249D7">
      <w:pPr>
        <w:jc w:val="left"/>
        <w:rPr>
          <w:rFonts w:ascii="宋体" w:hAnsi="宋体" w:cs="宋体"/>
        </w:rPr>
      </w:pPr>
      <w:r>
        <w:rPr>
          <w:rFonts w:hint="eastAsia" w:ascii="宋体" w:hAnsi="宋体" w:cs="宋体"/>
        </w:rPr>
        <w:t>1.集合理财实现专业化管理；</w:t>
      </w:r>
    </w:p>
    <w:p w14:paraId="78FC45AC">
      <w:pPr>
        <w:jc w:val="left"/>
        <w:rPr>
          <w:rFonts w:ascii="宋体" w:hAnsi="宋体" w:cs="宋体"/>
        </w:rPr>
      </w:pPr>
      <w:r>
        <w:rPr>
          <w:rFonts w:hint="eastAsia" w:ascii="宋体" w:hAnsi="宋体" w:cs="宋体"/>
        </w:rPr>
        <w:t>2.通过组合投资以分散风险；</w:t>
      </w:r>
    </w:p>
    <w:p w14:paraId="7B1B0B17">
      <w:pPr>
        <w:jc w:val="left"/>
        <w:rPr>
          <w:rFonts w:ascii="宋体" w:hAnsi="宋体" w:cs="宋体"/>
        </w:rPr>
      </w:pPr>
      <w:r>
        <w:rPr>
          <w:rFonts w:hint="eastAsia" w:ascii="宋体" w:hAnsi="宋体" w:cs="宋体"/>
        </w:rPr>
        <w:t>3.投资者利益共享且风险共担；</w:t>
      </w:r>
    </w:p>
    <w:p w14:paraId="30289D10">
      <w:pPr>
        <w:jc w:val="left"/>
        <w:rPr>
          <w:rFonts w:ascii="宋体" w:hAnsi="宋体" w:cs="宋体"/>
        </w:rPr>
      </w:pPr>
      <w:r>
        <w:rPr>
          <w:rFonts w:hint="eastAsia" w:ascii="宋体" w:hAnsi="宋体" w:cs="宋体"/>
        </w:rPr>
        <w:t>4.权利隔离的运作机制；</w:t>
      </w:r>
    </w:p>
    <w:p w14:paraId="0C50E951">
      <w:pPr>
        <w:jc w:val="left"/>
        <w:rPr>
          <w:rFonts w:ascii="宋体" w:hAnsi="宋体" w:cs="宋体"/>
        </w:rPr>
      </w:pPr>
      <w:r>
        <w:rPr>
          <w:rFonts w:hint="eastAsia" w:ascii="宋体" w:hAnsi="宋体" w:cs="宋体"/>
        </w:rPr>
        <w:t>5.严格的监管制度。</w:t>
      </w:r>
    </w:p>
    <w:p w14:paraId="5821AA4A">
      <w:pPr>
        <w:jc w:val="left"/>
        <w:rPr>
          <w:rFonts w:ascii="宋体" w:hAnsi="宋体" w:cs="宋体"/>
        </w:rPr>
      </w:pPr>
    </w:p>
    <w:p w14:paraId="7EA5030D">
      <w:pPr>
        <w:jc w:val="left"/>
        <w:rPr>
          <w:rFonts w:ascii="宋体" w:hAnsi="宋体" w:cs="宋体"/>
        </w:rPr>
      </w:pPr>
      <w:r>
        <w:rPr>
          <w:rFonts w:hint="eastAsia" w:ascii="宋体" w:hAnsi="宋体" w:cs="宋体"/>
        </w:rPr>
        <w:t>【多选题】（2024年）关于证券投资基金的特点，下列表述正确的有（  ）。</w:t>
      </w:r>
    </w:p>
    <w:p w14:paraId="0EAA9C47">
      <w:pPr>
        <w:jc w:val="left"/>
        <w:rPr>
          <w:rFonts w:ascii="宋体" w:hAnsi="宋体" w:cs="宋体"/>
        </w:rPr>
      </w:pPr>
      <w:r>
        <w:rPr>
          <w:rFonts w:hint="eastAsia" w:ascii="宋体" w:hAnsi="宋体" w:cs="宋体"/>
        </w:rPr>
        <w:t>A.通过组合投资实现分散风险的目的</w:t>
      </w:r>
    </w:p>
    <w:p w14:paraId="40FA9112">
      <w:pPr>
        <w:jc w:val="left"/>
        <w:rPr>
          <w:rFonts w:ascii="宋体" w:hAnsi="宋体" w:cs="宋体"/>
        </w:rPr>
      </w:pPr>
      <w:r>
        <w:rPr>
          <w:rFonts w:hint="eastAsia" w:ascii="宋体" w:hAnsi="宋体" w:cs="宋体"/>
        </w:rPr>
        <w:t>B.投资者利益共享且风险共担</w:t>
      </w:r>
    </w:p>
    <w:p w14:paraId="49A403DC">
      <w:pPr>
        <w:jc w:val="left"/>
        <w:rPr>
          <w:rFonts w:ascii="宋体" w:hAnsi="宋体" w:cs="宋体"/>
        </w:rPr>
      </w:pPr>
      <w:r>
        <w:rPr>
          <w:rFonts w:hint="eastAsia" w:ascii="宋体" w:hAnsi="宋体" w:cs="宋体"/>
        </w:rPr>
        <w:t>C.基金托管人负责基金的投资工作</w:t>
      </w:r>
    </w:p>
    <w:p w14:paraId="53E5CA30">
      <w:pPr>
        <w:jc w:val="left"/>
        <w:rPr>
          <w:rFonts w:ascii="宋体" w:hAnsi="宋体" w:cs="宋体"/>
        </w:rPr>
      </w:pPr>
      <w:r>
        <w:rPr>
          <w:rFonts w:hint="eastAsia" w:ascii="宋体" w:hAnsi="宋体" w:cs="宋体"/>
        </w:rPr>
        <w:t>D.集合理财实现专业化管理</w:t>
      </w:r>
    </w:p>
    <w:p w14:paraId="4CEF11F6">
      <w:pPr>
        <w:jc w:val="left"/>
        <w:rPr>
          <w:rFonts w:ascii="宋体" w:hAnsi="宋体" w:cs="宋体"/>
        </w:rPr>
      </w:pPr>
      <w:r>
        <w:rPr>
          <w:rFonts w:hint="eastAsia" w:ascii="宋体" w:hAnsi="宋体" w:cs="宋体"/>
        </w:rPr>
        <w:t>答案：ABD </w:t>
      </w:r>
    </w:p>
    <w:p w14:paraId="7FA535D1">
      <w:pPr>
        <w:jc w:val="left"/>
        <w:rPr>
          <w:rFonts w:ascii="宋体" w:hAnsi="宋体" w:cs="宋体"/>
        </w:rPr>
      </w:pPr>
      <w:r>
        <w:rPr>
          <w:rFonts w:hint="eastAsia" w:ascii="宋体" w:hAnsi="宋体" w:cs="宋体"/>
        </w:rPr>
        <w:t>解析：证券投资基金的特点包括：集合理财实现专业化管理、通过组合投资实现分散风险的目的、投资者利益共享且风险共担、权力隔离的运作机制（参与基金运作的包括基金投资者、托管人、管理人，基金管理人只负责基金的投资工作，而基金财产则交与基金托管人，基金操作权力与资金管理权力相互隔离，形成了互相监督、互相制约的机制，从而有效地保障基金投资者的利益，所以选项C不正确）、严格的监管制度。</w:t>
      </w:r>
    </w:p>
    <w:p w14:paraId="4E3155FC">
      <w:pPr>
        <w:jc w:val="left"/>
        <w:rPr>
          <w:rFonts w:ascii="宋体" w:hAnsi="宋体" w:cs="宋体"/>
        </w:rPr>
      </w:pPr>
    </w:p>
    <w:p w14:paraId="5C52EC82">
      <w:pPr>
        <w:jc w:val="left"/>
        <w:rPr>
          <w:rFonts w:ascii="宋体" w:hAnsi="宋体" w:cs="宋体"/>
          <w:color w:val="FF0000"/>
        </w:rPr>
      </w:pPr>
      <w:r>
        <w:rPr>
          <w:rFonts w:hint="eastAsia" w:ascii="宋体" w:hAnsi="宋体" w:cs="宋体"/>
          <w:color w:val="FF0000"/>
        </w:rPr>
        <w:t>三、证券投资基金的分类（六种主要分类方式）</w:t>
      </w:r>
    </w:p>
    <w:p w14:paraId="6CB34D63">
      <w:pPr>
        <w:jc w:val="left"/>
        <w:rPr>
          <w:rFonts w:ascii="宋体" w:hAnsi="宋体" w:cs="宋体"/>
          <w:color w:val="FF0000"/>
        </w:rPr>
      </w:pPr>
      <w:r>
        <w:rPr>
          <w:rFonts w:hint="eastAsia" w:ascii="宋体" w:hAnsi="宋体" w:cs="宋体"/>
          <w:color w:val="FF0000"/>
        </w:rPr>
        <w:t>1.依据法律形式不同，证券投资基金可分为契约型基金和公司型基金</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8548"/>
      </w:tblGrid>
      <w:tr w14:paraId="4523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3D975E48">
            <w:pPr>
              <w:jc w:val="left"/>
              <w:rPr>
                <w:rFonts w:ascii="宋体" w:hAnsi="宋体" w:cs="宋体"/>
              </w:rPr>
            </w:pPr>
            <w:r>
              <w:rPr>
                <w:rFonts w:hint="eastAsia" w:ascii="宋体" w:hAnsi="宋体" w:cs="宋体"/>
              </w:rPr>
              <w:t>契约型基金</w:t>
            </w:r>
          </w:p>
        </w:tc>
        <w:tc>
          <w:tcPr>
            <w:tcW w:w="4216" w:type="pct"/>
          </w:tcPr>
          <w:p w14:paraId="7C4ED283">
            <w:pPr>
              <w:jc w:val="left"/>
              <w:rPr>
                <w:rFonts w:ascii="宋体" w:hAnsi="宋体" w:cs="宋体"/>
              </w:rPr>
            </w:pPr>
            <w:r>
              <w:rPr>
                <w:rFonts w:hint="eastAsia" w:ascii="宋体" w:hAnsi="宋体" w:cs="宋体"/>
              </w:rPr>
              <w:t>依据基金管理人、基金托管人之间签署基金合同设立，合同规定参与基金运作各方的权利与义务；投资者购买基金份额成为基金合同当事人，享有合同权利并承担相应义务</w:t>
            </w:r>
          </w:p>
        </w:tc>
      </w:tr>
      <w:tr w14:paraId="211C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19108DAE">
            <w:pPr>
              <w:jc w:val="left"/>
              <w:rPr>
                <w:rFonts w:ascii="宋体" w:hAnsi="宋体" w:cs="宋体"/>
              </w:rPr>
            </w:pPr>
            <w:r>
              <w:rPr>
                <w:rFonts w:hint="eastAsia" w:ascii="宋体" w:hAnsi="宋体" w:cs="宋体"/>
              </w:rPr>
              <w:t>公司型基金</w:t>
            </w:r>
          </w:p>
        </w:tc>
        <w:tc>
          <w:tcPr>
            <w:tcW w:w="4216" w:type="pct"/>
          </w:tcPr>
          <w:p w14:paraId="54D8E85F">
            <w:pPr>
              <w:jc w:val="left"/>
              <w:rPr>
                <w:rFonts w:ascii="宋体" w:hAnsi="宋体" w:cs="宋体"/>
              </w:rPr>
            </w:pPr>
            <w:r>
              <w:rPr>
                <w:rFonts w:hint="eastAsia" w:ascii="宋体" w:hAnsi="宋体" w:cs="宋体"/>
              </w:rPr>
              <w:t>依基金公司章程设立的独立法人，基金投资者为基金公司股东，依持股比例分享投资收益并承担有限责任，委托基金管理公司作为专业投资顾问来经营与管理基金资产——区别于一般股份公司</w:t>
            </w:r>
          </w:p>
        </w:tc>
      </w:tr>
    </w:tbl>
    <w:p w14:paraId="5EBB1765">
      <w:pPr>
        <w:jc w:val="left"/>
        <w:rPr>
          <w:rFonts w:ascii="宋体" w:hAnsi="宋体" w:cs="宋体"/>
          <w:color w:val="FF0000"/>
        </w:rPr>
      </w:pPr>
      <w:r>
        <w:rPr>
          <w:rFonts w:hint="eastAsia" w:ascii="宋体" w:hAnsi="宋体" w:cs="宋体"/>
          <w:color w:val="FF0000"/>
        </w:rPr>
        <w:t>2.依据运作方式不同，证券投资基金可分为封闭式基金和开放式基金</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8548"/>
      </w:tblGrid>
      <w:tr w14:paraId="33E8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6E580CDE">
            <w:pPr>
              <w:jc w:val="left"/>
              <w:rPr>
                <w:rFonts w:ascii="宋体" w:hAnsi="宋体" w:cs="宋体"/>
              </w:rPr>
            </w:pPr>
            <w:r>
              <w:rPr>
                <w:rFonts w:hint="eastAsia" w:ascii="宋体" w:hAnsi="宋体" w:cs="宋体"/>
              </w:rPr>
              <w:t>封闭式基金</w:t>
            </w:r>
          </w:p>
        </w:tc>
        <w:tc>
          <w:tcPr>
            <w:tcW w:w="4216" w:type="pct"/>
          </w:tcPr>
          <w:p w14:paraId="49D1DC65">
            <w:pPr>
              <w:jc w:val="left"/>
              <w:rPr>
                <w:rFonts w:ascii="宋体" w:hAnsi="宋体" w:cs="宋体"/>
              </w:rPr>
            </w:pPr>
            <w:r>
              <w:rPr>
                <w:rFonts w:hint="eastAsia" w:ascii="宋体" w:hAnsi="宋体" w:cs="宋体"/>
              </w:rPr>
              <w:t>基金份额持有人不得在基金约定的运作期内赎回基金，即基金份额在合同期限内固定不变，适合进行长期投资的投资者</w:t>
            </w:r>
          </w:p>
        </w:tc>
      </w:tr>
      <w:tr w14:paraId="6D52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0CEF7A85">
            <w:pPr>
              <w:jc w:val="left"/>
              <w:rPr>
                <w:rFonts w:ascii="宋体" w:hAnsi="宋体" w:cs="宋体"/>
              </w:rPr>
            </w:pPr>
            <w:r>
              <w:rPr>
                <w:rFonts w:hint="eastAsia" w:ascii="宋体" w:hAnsi="宋体" w:cs="宋体"/>
              </w:rPr>
              <w:t>开放式基金</w:t>
            </w:r>
          </w:p>
        </w:tc>
        <w:tc>
          <w:tcPr>
            <w:tcW w:w="4216" w:type="pct"/>
          </w:tcPr>
          <w:p w14:paraId="7CBB9399">
            <w:pPr>
              <w:jc w:val="left"/>
              <w:rPr>
                <w:rFonts w:ascii="宋体" w:hAnsi="宋体" w:cs="宋体"/>
              </w:rPr>
            </w:pPr>
            <w:r>
              <w:rPr>
                <w:rFonts w:hint="eastAsia" w:ascii="宋体" w:hAnsi="宋体" w:cs="宋体"/>
              </w:rPr>
              <w:t>可以在合同约定的时间和场所对基金进行申购或赎回，即基金份额不固定，适合强调流动资金管理的投资者</w:t>
            </w:r>
          </w:p>
        </w:tc>
      </w:tr>
    </w:tbl>
    <w:p w14:paraId="2BDAF97E">
      <w:pPr>
        <w:jc w:val="left"/>
        <w:rPr>
          <w:rFonts w:hint="eastAsia" w:ascii="宋体" w:hAnsi="宋体" w:cs="宋体"/>
          <w:color w:val="FF0000"/>
        </w:rPr>
      </w:pPr>
      <w:r>
        <w:rPr>
          <w:rFonts w:hint="eastAsia" w:ascii="宋体" w:hAnsi="宋体" w:cs="宋体"/>
          <w:color w:val="FF0000"/>
        </w:rPr>
        <w:t>3.依据投资对象不同，证券投资基金分为股票基金、债券基金、货币市场基金和混合基金</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0"/>
        <w:gridCol w:w="8548"/>
      </w:tblGrid>
      <w:tr w14:paraId="4364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5B501BB7">
            <w:pPr>
              <w:rPr>
                <w:rFonts w:ascii="宋体" w:hAnsi="宋体" w:cs="宋体"/>
              </w:rPr>
            </w:pPr>
            <w:r>
              <w:rPr>
                <w:rFonts w:hint="eastAsia" w:ascii="宋体" w:hAnsi="宋体" w:cs="宋体"/>
              </w:rPr>
              <w:t>股票基金</w:t>
            </w:r>
          </w:p>
        </w:tc>
        <w:tc>
          <w:tcPr>
            <w:tcW w:w="4216" w:type="pct"/>
          </w:tcPr>
          <w:p w14:paraId="0AFB0485">
            <w:pPr>
              <w:rPr>
                <w:rFonts w:ascii="宋体" w:hAnsi="宋体" w:cs="宋体"/>
              </w:rPr>
            </w:pPr>
            <w:r>
              <w:rPr>
                <w:rFonts w:hint="eastAsia" w:ascii="宋体" w:hAnsi="宋体" w:cs="宋体"/>
              </w:rPr>
              <w:t>基金资产80%以上投资于股票</w:t>
            </w:r>
          </w:p>
        </w:tc>
      </w:tr>
      <w:tr w14:paraId="392B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729ECD0A">
            <w:pPr>
              <w:rPr>
                <w:rFonts w:ascii="宋体" w:hAnsi="宋体" w:cs="宋体"/>
              </w:rPr>
            </w:pPr>
            <w:r>
              <w:rPr>
                <w:rFonts w:hint="eastAsia" w:ascii="宋体" w:hAnsi="宋体" w:cs="宋体"/>
              </w:rPr>
              <w:t>债券基金</w:t>
            </w:r>
          </w:p>
        </w:tc>
        <w:tc>
          <w:tcPr>
            <w:tcW w:w="4216" w:type="pct"/>
          </w:tcPr>
          <w:p w14:paraId="59102BC0">
            <w:pPr>
              <w:rPr>
                <w:rFonts w:ascii="宋体" w:hAnsi="宋体" w:cs="宋体"/>
              </w:rPr>
            </w:pPr>
            <w:r>
              <w:rPr>
                <w:rFonts w:hint="eastAsia" w:ascii="宋体" w:hAnsi="宋体" w:cs="宋体"/>
              </w:rPr>
              <w:t>基金资产80%以上投资于债券</w:t>
            </w:r>
          </w:p>
        </w:tc>
      </w:tr>
      <w:tr w14:paraId="2D3F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7C34F12B">
            <w:pPr>
              <w:rPr>
                <w:rFonts w:ascii="宋体" w:hAnsi="宋体" w:cs="宋体"/>
              </w:rPr>
            </w:pPr>
            <w:r>
              <w:rPr>
                <w:rFonts w:hint="eastAsia" w:ascii="宋体" w:hAnsi="宋体" w:cs="宋体"/>
              </w:rPr>
              <w:t>货币市场基金</w:t>
            </w:r>
          </w:p>
        </w:tc>
        <w:tc>
          <w:tcPr>
            <w:tcW w:w="4216" w:type="pct"/>
          </w:tcPr>
          <w:p w14:paraId="5636BD0A">
            <w:pPr>
              <w:rPr>
                <w:rFonts w:ascii="宋体" w:hAnsi="宋体" w:cs="宋体"/>
              </w:rPr>
            </w:pPr>
            <w:r>
              <w:rPr>
                <w:rFonts w:hint="eastAsia" w:ascii="宋体" w:hAnsi="宋体" w:cs="宋体"/>
              </w:rPr>
              <w:t>仅投资于货币市场工具</w:t>
            </w:r>
          </w:p>
        </w:tc>
      </w:tr>
      <w:tr w14:paraId="53E1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tcPr>
          <w:p w14:paraId="1940429A">
            <w:pPr>
              <w:rPr>
                <w:rFonts w:ascii="宋体" w:hAnsi="宋体" w:cs="宋体"/>
              </w:rPr>
            </w:pPr>
            <w:r>
              <w:rPr>
                <w:rFonts w:hint="eastAsia" w:ascii="宋体" w:hAnsi="宋体" w:cs="宋体"/>
              </w:rPr>
              <w:t>混合基金</w:t>
            </w:r>
          </w:p>
        </w:tc>
        <w:tc>
          <w:tcPr>
            <w:tcW w:w="4216" w:type="pct"/>
          </w:tcPr>
          <w:p w14:paraId="357DE6C7">
            <w:pPr>
              <w:rPr>
                <w:rFonts w:ascii="宋体" w:hAnsi="宋体" w:cs="宋体"/>
              </w:rPr>
            </w:pPr>
            <w:r>
              <w:rPr>
                <w:rFonts w:hint="eastAsia" w:ascii="宋体" w:hAnsi="宋体" w:cs="宋体"/>
              </w:rPr>
              <w:t>投资于股票、债券和货币市场工具，但股票投资和债券投资的比例不符合股票基金、债券基金规定</w:t>
            </w:r>
          </w:p>
        </w:tc>
      </w:tr>
    </w:tbl>
    <w:p w14:paraId="13789FB4">
      <w:pPr>
        <w:jc w:val="left"/>
        <w:rPr>
          <w:rFonts w:ascii="宋体" w:hAnsi="宋体" w:cs="宋体"/>
        </w:rPr>
      </w:pPr>
    </w:p>
    <w:p w14:paraId="6FEA414A">
      <w:pPr>
        <w:jc w:val="left"/>
        <w:rPr>
          <w:rFonts w:ascii="宋体" w:hAnsi="宋体" w:cs="宋体"/>
        </w:rPr>
      </w:pPr>
      <w:r>
        <w:rPr>
          <w:rFonts w:hint="eastAsia" w:ascii="宋体" w:hAnsi="宋体" w:cs="宋体"/>
        </w:rPr>
        <w:t>【单选题】（2021年）某基金全部投资中，10%投资于股票，5%投资于短期国债，85%投资于公司债券。该基金认定为（  ）。</w:t>
      </w:r>
    </w:p>
    <w:p w14:paraId="507034E9">
      <w:pPr>
        <w:jc w:val="left"/>
        <w:rPr>
          <w:rFonts w:ascii="宋体" w:hAnsi="宋体" w:cs="宋体"/>
        </w:rPr>
      </w:pPr>
      <w:r>
        <w:rPr>
          <w:rFonts w:hint="eastAsia" w:ascii="宋体" w:hAnsi="宋体" w:cs="宋体"/>
        </w:rPr>
        <w:t>A.货币市场基金</w:t>
      </w:r>
    </w:p>
    <w:p w14:paraId="43EE943C">
      <w:pPr>
        <w:jc w:val="left"/>
        <w:rPr>
          <w:rFonts w:ascii="宋体" w:hAnsi="宋体" w:cs="宋体"/>
        </w:rPr>
      </w:pPr>
      <w:r>
        <w:rPr>
          <w:rFonts w:hint="eastAsia" w:ascii="宋体" w:hAnsi="宋体" w:cs="宋体"/>
        </w:rPr>
        <w:t>B.股票基金</w:t>
      </w:r>
    </w:p>
    <w:p w14:paraId="0C7AAF21">
      <w:pPr>
        <w:jc w:val="left"/>
        <w:rPr>
          <w:rFonts w:ascii="宋体" w:hAnsi="宋体" w:cs="宋体"/>
        </w:rPr>
      </w:pPr>
      <w:r>
        <w:rPr>
          <w:rFonts w:hint="eastAsia" w:ascii="宋体" w:hAnsi="宋体" w:cs="宋体"/>
        </w:rPr>
        <w:t>C.债券基金</w:t>
      </w:r>
    </w:p>
    <w:p w14:paraId="68C0261E">
      <w:pPr>
        <w:jc w:val="left"/>
        <w:rPr>
          <w:rFonts w:ascii="宋体" w:hAnsi="宋体" w:cs="宋体"/>
        </w:rPr>
      </w:pPr>
      <w:r>
        <w:rPr>
          <w:rFonts w:hint="eastAsia" w:ascii="宋体" w:hAnsi="宋体" w:cs="宋体"/>
        </w:rPr>
        <w:t>D.混合基金</w:t>
      </w:r>
    </w:p>
    <w:p w14:paraId="7032D4F2">
      <w:pPr>
        <w:jc w:val="left"/>
        <w:rPr>
          <w:rFonts w:ascii="宋体" w:hAnsi="宋体" w:cs="宋体"/>
        </w:rPr>
      </w:pPr>
      <w:r>
        <w:rPr>
          <w:rFonts w:hint="eastAsia" w:ascii="宋体" w:hAnsi="宋体" w:cs="宋体"/>
        </w:rPr>
        <w:t>答案：C</w:t>
      </w:r>
    </w:p>
    <w:p w14:paraId="384FDD87">
      <w:pPr>
        <w:jc w:val="left"/>
        <w:rPr>
          <w:rFonts w:ascii="宋体" w:hAnsi="宋体" w:cs="宋体"/>
        </w:rPr>
      </w:pPr>
      <w:r>
        <w:rPr>
          <w:rFonts w:hint="eastAsia" w:ascii="宋体" w:hAnsi="宋体" w:cs="宋体"/>
        </w:rPr>
        <w:t>解析：根据中国证监会对基金类别的分类标准，股票基金为基金资产80%以上投资于股票的基金，债券基金为基金资产80%以上投资于债券的基金，仅投资于货币市场工具的为货币市场基金，投资于股票、债券和货币市场工具，但股票投资和债券投资的比例不符合股票基金、债券基金规定的，属于混合基金。</w:t>
      </w:r>
    </w:p>
    <w:p w14:paraId="7F493229">
      <w:pPr>
        <w:jc w:val="left"/>
        <w:rPr>
          <w:rFonts w:ascii="宋体" w:hAnsi="宋体" w:cs="宋体"/>
        </w:rPr>
      </w:pPr>
    </w:p>
    <w:p w14:paraId="27DA3C51">
      <w:pPr>
        <w:jc w:val="left"/>
        <w:rPr>
          <w:rFonts w:ascii="宋体" w:hAnsi="宋体" w:cs="宋体"/>
          <w:color w:val="FF0000"/>
        </w:rPr>
      </w:pPr>
      <w:r>
        <w:rPr>
          <w:rFonts w:hint="eastAsia" w:ascii="宋体" w:hAnsi="宋体" w:cs="宋体"/>
          <w:color w:val="FF0000"/>
        </w:rPr>
        <w:t>4.依据投资目标不同，证券投资基金可分为增长型基金、收入型基金和平衡型基金</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692"/>
      </w:tblGrid>
      <w:tr w14:paraId="29BA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3" w:type="pct"/>
          </w:tcPr>
          <w:p w14:paraId="71851CE9">
            <w:pPr>
              <w:jc w:val="left"/>
              <w:rPr>
                <w:rFonts w:ascii="宋体" w:hAnsi="宋体" w:cs="宋体"/>
              </w:rPr>
            </w:pPr>
            <w:r>
              <w:rPr>
                <w:rFonts w:hint="eastAsia" w:ascii="宋体" w:hAnsi="宋体" w:cs="宋体"/>
              </w:rPr>
              <w:t>增长型基金</w:t>
            </w:r>
          </w:p>
        </w:tc>
        <w:tc>
          <w:tcPr>
            <w:tcW w:w="4287" w:type="pct"/>
          </w:tcPr>
          <w:p w14:paraId="460254D5">
            <w:pPr>
              <w:jc w:val="left"/>
              <w:rPr>
                <w:rFonts w:ascii="宋体" w:hAnsi="宋体" w:cs="宋体"/>
              </w:rPr>
            </w:pPr>
            <w:r>
              <w:rPr>
                <w:rFonts w:hint="eastAsia" w:ascii="宋体" w:hAnsi="宋体" w:cs="宋体"/>
              </w:rPr>
              <w:t>以获得资本增值为目标，较少考虑当期收入，主要投资于具有较好增长潜力的股票</w:t>
            </w:r>
          </w:p>
        </w:tc>
      </w:tr>
      <w:tr w14:paraId="4680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695A1612">
            <w:pPr>
              <w:jc w:val="left"/>
              <w:rPr>
                <w:rFonts w:ascii="宋体" w:hAnsi="宋体" w:cs="宋体"/>
              </w:rPr>
            </w:pPr>
            <w:r>
              <w:rPr>
                <w:rFonts w:hint="eastAsia" w:ascii="宋体" w:hAnsi="宋体" w:cs="宋体"/>
              </w:rPr>
              <w:t>收入型基金</w:t>
            </w:r>
          </w:p>
        </w:tc>
        <w:tc>
          <w:tcPr>
            <w:tcW w:w="4287" w:type="pct"/>
          </w:tcPr>
          <w:p w14:paraId="6A7E1730">
            <w:pPr>
              <w:jc w:val="left"/>
              <w:rPr>
                <w:rFonts w:ascii="宋体" w:hAnsi="宋体" w:cs="宋体"/>
              </w:rPr>
            </w:pPr>
            <w:r>
              <w:rPr>
                <w:rFonts w:hint="eastAsia" w:ascii="宋体" w:hAnsi="宋体" w:cs="宋体"/>
              </w:rPr>
              <w:t>关注能否取得稳定的经常性收入、投资对象集中于风险较低的蓝筹股、公司及政府债券等</w:t>
            </w:r>
          </w:p>
        </w:tc>
      </w:tr>
      <w:tr w14:paraId="5AA41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09AF0930">
            <w:pPr>
              <w:jc w:val="left"/>
              <w:rPr>
                <w:rFonts w:ascii="宋体" w:hAnsi="宋体" w:cs="宋体"/>
              </w:rPr>
            </w:pPr>
            <w:r>
              <w:rPr>
                <w:rFonts w:hint="eastAsia" w:ascii="宋体" w:hAnsi="宋体" w:cs="宋体"/>
              </w:rPr>
              <w:t>平衡型基金</w:t>
            </w:r>
          </w:p>
        </w:tc>
        <w:tc>
          <w:tcPr>
            <w:tcW w:w="4287" w:type="pct"/>
          </w:tcPr>
          <w:p w14:paraId="1600B29E">
            <w:pPr>
              <w:jc w:val="left"/>
              <w:rPr>
                <w:rFonts w:ascii="宋体" w:hAnsi="宋体" w:cs="宋体"/>
              </w:rPr>
            </w:pPr>
            <w:r>
              <w:rPr>
                <w:rFonts w:hint="eastAsia" w:ascii="宋体" w:hAnsi="宋体" w:cs="宋体"/>
              </w:rPr>
              <w:t>既关注是否能够获得资本增值，也关注收入问题</w:t>
            </w:r>
          </w:p>
        </w:tc>
      </w:tr>
    </w:tbl>
    <w:p w14:paraId="401AC98A">
      <w:pPr>
        <w:jc w:val="left"/>
        <w:rPr>
          <w:rFonts w:ascii="宋体" w:hAnsi="宋体" w:cs="宋体"/>
          <w:color w:val="FF0000"/>
        </w:rPr>
      </w:pPr>
      <w:r>
        <w:rPr>
          <w:rFonts w:hint="eastAsia" w:ascii="宋体" w:hAnsi="宋体" w:cs="宋体"/>
          <w:color w:val="FF0000"/>
        </w:rPr>
        <w:t>【提示】基金收益与风险由高至低的顺序为：增长型＞平衡型＞收入型</w:t>
      </w:r>
    </w:p>
    <w:p w14:paraId="630158B6">
      <w:pPr>
        <w:jc w:val="left"/>
        <w:rPr>
          <w:rFonts w:ascii="宋体" w:hAnsi="宋体" w:cs="宋体"/>
          <w:color w:val="FF0000"/>
        </w:rPr>
      </w:pPr>
      <w:r>
        <w:rPr>
          <w:rFonts w:hint="eastAsia" w:ascii="宋体" w:hAnsi="宋体" w:cs="宋体"/>
          <w:color w:val="FF0000"/>
        </w:rPr>
        <w:t>5.依据投资理念不同，证券投资基金可分为主动型基金和被动（指数）型基金</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7822"/>
      </w:tblGrid>
      <w:tr w14:paraId="5C0D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tcPr>
          <w:p w14:paraId="17D3D336">
            <w:pPr>
              <w:jc w:val="left"/>
              <w:rPr>
                <w:rFonts w:ascii="宋体" w:hAnsi="宋体" w:cs="宋体"/>
              </w:rPr>
            </w:pPr>
            <w:r>
              <w:rPr>
                <w:rFonts w:hint="eastAsia" w:ascii="宋体" w:hAnsi="宋体" w:cs="宋体"/>
              </w:rPr>
              <w:t>主动型基金</w:t>
            </w:r>
          </w:p>
        </w:tc>
        <w:tc>
          <w:tcPr>
            <w:tcW w:w="3858" w:type="pct"/>
          </w:tcPr>
          <w:p w14:paraId="0468E84C">
            <w:pPr>
              <w:jc w:val="left"/>
              <w:rPr>
                <w:rFonts w:ascii="宋体" w:hAnsi="宋体" w:cs="宋体"/>
              </w:rPr>
            </w:pPr>
            <w:r>
              <w:rPr>
                <w:rFonts w:hint="eastAsia" w:ascii="宋体" w:hAnsi="宋体" w:cs="宋体"/>
              </w:rPr>
              <w:t>由基金经理主动操盘投资于超越基准组合表现的投资组合</w:t>
            </w:r>
          </w:p>
        </w:tc>
      </w:tr>
      <w:tr w14:paraId="3288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pct"/>
          </w:tcPr>
          <w:p w14:paraId="724CF5F9">
            <w:pPr>
              <w:jc w:val="left"/>
              <w:rPr>
                <w:rFonts w:ascii="宋体" w:hAnsi="宋体" w:cs="宋体"/>
              </w:rPr>
            </w:pPr>
            <w:r>
              <w:rPr>
                <w:rFonts w:hint="eastAsia" w:ascii="宋体" w:hAnsi="宋体" w:cs="宋体"/>
              </w:rPr>
              <w:t>被动（指数）型基金</w:t>
            </w:r>
          </w:p>
        </w:tc>
        <w:tc>
          <w:tcPr>
            <w:tcW w:w="3858" w:type="pct"/>
          </w:tcPr>
          <w:p w14:paraId="35D726A7">
            <w:pPr>
              <w:jc w:val="left"/>
              <w:rPr>
                <w:rFonts w:ascii="宋体" w:hAnsi="宋体" w:cs="宋体"/>
              </w:rPr>
            </w:pPr>
            <w:r>
              <w:rPr>
                <w:rFonts w:hint="eastAsia" w:ascii="宋体" w:hAnsi="宋体" w:cs="宋体"/>
              </w:rPr>
              <w:t>期望通过复制指数的表现，选取特定的指数成分股作为投资对象，不期望能够超越基准组合，只求能够与所复制的指数表现同步</w:t>
            </w:r>
          </w:p>
        </w:tc>
      </w:tr>
    </w:tbl>
    <w:p w14:paraId="2ACD4741">
      <w:pPr>
        <w:jc w:val="left"/>
        <w:rPr>
          <w:rFonts w:hint="eastAsia" w:ascii="宋体" w:hAnsi="宋体" w:cs="宋体"/>
          <w:color w:val="FF0000"/>
        </w:rPr>
      </w:pPr>
      <w:r>
        <w:rPr>
          <w:rFonts w:hint="eastAsia" w:ascii="宋体" w:hAnsi="宋体" w:cs="宋体"/>
          <w:color w:val="FF0000"/>
        </w:rPr>
        <w:t>6.依据募集方式不同，证券投资基金可分为私募基金和公募基金</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8692"/>
      </w:tblGrid>
      <w:tr w14:paraId="59BF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3F4A7E0B">
            <w:pPr>
              <w:jc w:val="left"/>
              <w:rPr>
                <w:rFonts w:ascii="宋体" w:hAnsi="宋体" w:cs="宋体"/>
              </w:rPr>
            </w:pPr>
            <w:r>
              <w:rPr>
                <w:rFonts w:hint="eastAsia" w:ascii="宋体" w:hAnsi="宋体" w:cs="宋体"/>
              </w:rPr>
              <w:t>私募基金</w:t>
            </w:r>
          </w:p>
        </w:tc>
        <w:tc>
          <w:tcPr>
            <w:tcW w:w="4287" w:type="pct"/>
          </w:tcPr>
          <w:p w14:paraId="6E0CD6B1">
            <w:pPr>
              <w:jc w:val="left"/>
              <w:rPr>
                <w:rFonts w:ascii="宋体" w:hAnsi="宋体" w:cs="宋体"/>
              </w:rPr>
            </w:pPr>
            <w:r>
              <w:rPr>
                <w:rFonts w:hint="eastAsia" w:ascii="宋体" w:hAnsi="宋体" w:cs="宋体"/>
              </w:rPr>
              <w:t>面向特定投资者采取非公开方式发售，投资者的风险承受能力较高，单个投资者涉及的资金量较大</w:t>
            </w:r>
          </w:p>
        </w:tc>
      </w:tr>
      <w:tr w14:paraId="1304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pct"/>
          </w:tcPr>
          <w:p w14:paraId="08DB3769">
            <w:pPr>
              <w:jc w:val="left"/>
              <w:rPr>
                <w:rFonts w:ascii="宋体" w:hAnsi="宋体" w:cs="宋体"/>
              </w:rPr>
            </w:pPr>
            <w:r>
              <w:rPr>
                <w:rFonts w:hint="eastAsia" w:ascii="宋体" w:hAnsi="宋体" w:cs="宋体"/>
              </w:rPr>
              <w:t>公募基金</w:t>
            </w:r>
          </w:p>
        </w:tc>
        <w:tc>
          <w:tcPr>
            <w:tcW w:w="4287" w:type="pct"/>
          </w:tcPr>
          <w:p w14:paraId="06056A12">
            <w:pPr>
              <w:jc w:val="left"/>
              <w:rPr>
                <w:rFonts w:ascii="宋体" w:hAnsi="宋体" w:cs="宋体"/>
              </w:rPr>
            </w:pPr>
            <w:r>
              <w:rPr>
                <w:rFonts w:hint="eastAsia" w:ascii="宋体" w:hAnsi="宋体" w:cs="宋体"/>
              </w:rPr>
              <w:t>面向社会公众公开发售，募集对象不确定，投资金额较低，适合中小投资者，监管更为严格、信息透明度要求更高</w:t>
            </w:r>
          </w:p>
        </w:tc>
      </w:tr>
    </w:tbl>
    <w:p w14:paraId="1CE65BBD">
      <w:pPr>
        <w:jc w:val="left"/>
        <w:rPr>
          <w:rFonts w:ascii="宋体" w:hAnsi="宋体" w:cs="宋体"/>
        </w:rPr>
      </w:pPr>
    </w:p>
    <w:p w14:paraId="67C23BEA">
      <w:pPr>
        <w:jc w:val="left"/>
        <w:rPr>
          <w:rFonts w:ascii="宋体" w:hAnsi="宋体" w:cs="宋体"/>
        </w:rPr>
      </w:pPr>
      <w:r>
        <w:rPr>
          <w:rFonts w:hint="eastAsia" w:ascii="宋体" w:hAnsi="宋体" w:cs="宋体"/>
        </w:rPr>
        <w:t>【单选题】（2021年）私募基金与公募基金对比，下列选项中不属于公募基金特点的是（  ）。</w:t>
      </w:r>
    </w:p>
    <w:p w14:paraId="15CF3A1E">
      <w:pPr>
        <w:jc w:val="left"/>
        <w:rPr>
          <w:rFonts w:ascii="宋体" w:hAnsi="宋体" w:cs="宋体"/>
        </w:rPr>
      </w:pPr>
      <w:r>
        <w:rPr>
          <w:rFonts w:hint="eastAsia" w:ascii="宋体" w:hAnsi="宋体" w:cs="宋体"/>
        </w:rPr>
        <w:t>A.监管宽松</w:t>
      </w:r>
    </w:p>
    <w:p w14:paraId="7F726996">
      <w:pPr>
        <w:jc w:val="left"/>
        <w:rPr>
          <w:rFonts w:ascii="宋体" w:hAnsi="宋体" w:cs="宋体"/>
        </w:rPr>
      </w:pPr>
      <w:r>
        <w:rPr>
          <w:rFonts w:hint="eastAsia" w:ascii="宋体" w:hAnsi="宋体" w:cs="宋体"/>
        </w:rPr>
        <w:t>B.发行对象不确定</w:t>
      </w:r>
    </w:p>
    <w:p w14:paraId="425C3705">
      <w:pPr>
        <w:jc w:val="left"/>
        <w:rPr>
          <w:rFonts w:ascii="宋体" w:hAnsi="宋体" w:cs="宋体"/>
        </w:rPr>
      </w:pPr>
      <w:r>
        <w:rPr>
          <w:rFonts w:hint="eastAsia" w:ascii="宋体" w:hAnsi="宋体" w:cs="宋体"/>
        </w:rPr>
        <w:t>C.投资金额较低</w:t>
      </w:r>
    </w:p>
    <w:p w14:paraId="12EBE7B6">
      <w:pPr>
        <w:jc w:val="left"/>
        <w:rPr>
          <w:rFonts w:ascii="宋体" w:hAnsi="宋体" w:cs="宋体"/>
        </w:rPr>
      </w:pPr>
      <w:r>
        <w:rPr>
          <w:rFonts w:hint="eastAsia" w:ascii="宋体" w:hAnsi="宋体" w:cs="宋体"/>
        </w:rPr>
        <w:t>D.要求更高的信息透明度</w:t>
      </w:r>
    </w:p>
    <w:p w14:paraId="549CD042">
      <w:pPr>
        <w:jc w:val="left"/>
        <w:rPr>
          <w:rFonts w:ascii="宋体" w:hAnsi="宋体" w:cs="宋体"/>
        </w:rPr>
      </w:pPr>
      <w:r>
        <w:rPr>
          <w:rFonts w:hint="eastAsia" w:ascii="宋体" w:hAnsi="宋体" w:cs="宋体"/>
        </w:rPr>
        <w:t>答案：A</w:t>
      </w:r>
    </w:p>
    <w:p w14:paraId="44E5ECB3">
      <w:pPr>
        <w:jc w:val="left"/>
        <w:rPr>
          <w:rFonts w:ascii="宋体" w:hAnsi="宋体" w:cs="宋体"/>
        </w:rPr>
      </w:pPr>
      <w:r>
        <w:rPr>
          <w:rFonts w:hint="eastAsia" w:ascii="宋体" w:hAnsi="宋体" w:cs="宋体"/>
        </w:rPr>
        <w:t>解析：公募基金可以面向社会公众公开发售，募集对象不确定，投资金额较低，适合中小投资者，由于公募基金涉及的投资者数量较多，因此受到更加严格的监管并要求更高的信息透明度。</w:t>
      </w:r>
    </w:p>
    <w:p w14:paraId="0E4D2CCC">
      <w:pPr>
        <w:jc w:val="left"/>
        <w:rPr>
          <w:rFonts w:ascii="宋体" w:hAnsi="宋体" w:cs="宋体"/>
        </w:rPr>
      </w:pPr>
    </w:p>
    <w:p w14:paraId="5CE214E1">
      <w:pPr>
        <w:jc w:val="left"/>
        <w:rPr>
          <w:rFonts w:ascii="宋体" w:hAnsi="宋体" w:cs="宋体"/>
          <w:color w:val="FF0000"/>
        </w:rPr>
      </w:pPr>
      <w:r>
        <w:rPr>
          <w:rFonts w:hint="eastAsia" w:ascii="宋体" w:hAnsi="宋体" w:cs="宋体"/>
          <w:color w:val="FF0000"/>
        </w:rPr>
        <w:t>四、证券投资基金业绩评价</w:t>
      </w:r>
    </w:p>
    <w:p w14:paraId="5949C487">
      <w:pPr>
        <w:jc w:val="left"/>
        <w:rPr>
          <w:rFonts w:ascii="宋体" w:hAnsi="宋体" w:cs="宋体"/>
          <w:color w:val="FF0000"/>
        </w:rPr>
      </w:pPr>
      <w:r>
        <w:rPr>
          <w:rFonts w:hint="eastAsia" w:ascii="宋体" w:hAnsi="宋体" w:cs="宋体"/>
          <w:color w:val="FF0000"/>
        </w:rPr>
        <w:t>1.业绩评价时考虑的因素</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6"/>
        <w:gridCol w:w="8112"/>
      </w:tblGrid>
      <w:tr w14:paraId="7469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108D1A2E">
            <w:pPr>
              <w:jc w:val="left"/>
              <w:rPr>
                <w:rFonts w:ascii="宋体" w:hAnsi="宋体" w:cs="宋体"/>
              </w:rPr>
            </w:pPr>
            <w:r>
              <w:rPr>
                <w:rFonts w:hint="eastAsia" w:ascii="宋体" w:hAnsi="宋体" w:cs="宋体"/>
              </w:rPr>
              <w:t>投资目标与范围</w:t>
            </w:r>
          </w:p>
        </w:tc>
        <w:tc>
          <w:tcPr>
            <w:tcW w:w="4001" w:type="pct"/>
          </w:tcPr>
          <w:p w14:paraId="26DF5F6D">
            <w:pPr>
              <w:jc w:val="left"/>
              <w:rPr>
                <w:rFonts w:ascii="宋体" w:hAnsi="宋体" w:cs="宋体"/>
              </w:rPr>
            </w:pPr>
            <w:r>
              <w:rPr>
                <w:rFonts w:hint="eastAsia" w:ascii="宋体" w:hAnsi="宋体" w:cs="宋体"/>
              </w:rPr>
              <w:t>两种投资目标与范围不同的基金不具有可比性，不能作为基金投资决策的选择标准</w:t>
            </w:r>
          </w:p>
        </w:tc>
      </w:tr>
      <w:tr w14:paraId="1BA5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4CE3927B">
            <w:pPr>
              <w:jc w:val="left"/>
              <w:rPr>
                <w:rFonts w:ascii="宋体" w:hAnsi="宋体" w:cs="宋体"/>
              </w:rPr>
            </w:pPr>
            <w:r>
              <w:rPr>
                <w:rFonts w:hint="eastAsia" w:ascii="宋体" w:hAnsi="宋体" w:cs="宋体"/>
              </w:rPr>
              <w:t>风险水平</w:t>
            </w:r>
          </w:p>
        </w:tc>
        <w:tc>
          <w:tcPr>
            <w:tcW w:w="4001" w:type="pct"/>
          </w:tcPr>
          <w:p w14:paraId="261FD2B4">
            <w:pPr>
              <w:jc w:val="left"/>
              <w:rPr>
                <w:rFonts w:ascii="宋体" w:hAnsi="宋体" w:cs="宋体"/>
              </w:rPr>
            </w:pPr>
            <w:r>
              <w:rPr>
                <w:rFonts w:hint="eastAsia" w:ascii="宋体" w:hAnsi="宋体" w:cs="宋体"/>
              </w:rPr>
              <w:t>财务学的基本理论是高风险高收益，但对于基金业绩评价时应当以风险调整后的收益为评价指标，已有的调整模型包括夏普比率、特雷诺比率、詹森α等</w:t>
            </w:r>
          </w:p>
        </w:tc>
      </w:tr>
      <w:tr w14:paraId="041D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2DB3F315">
            <w:pPr>
              <w:jc w:val="left"/>
              <w:rPr>
                <w:rFonts w:ascii="宋体" w:hAnsi="宋体" w:cs="宋体"/>
              </w:rPr>
            </w:pPr>
            <w:r>
              <w:rPr>
                <w:rFonts w:hint="eastAsia" w:ascii="宋体" w:hAnsi="宋体" w:cs="宋体"/>
              </w:rPr>
              <w:t>基金规模</w:t>
            </w:r>
          </w:p>
        </w:tc>
        <w:tc>
          <w:tcPr>
            <w:tcW w:w="4001" w:type="pct"/>
          </w:tcPr>
          <w:p w14:paraId="3D13AC16">
            <w:pPr>
              <w:jc w:val="left"/>
              <w:rPr>
                <w:rFonts w:ascii="宋体" w:hAnsi="宋体" w:cs="宋体"/>
              </w:rPr>
            </w:pPr>
            <w:r>
              <w:rPr>
                <w:rFonts w:hint="eastAsia" w:ascii="宋体" w:hAnsi="宋体" w:cs="宋体"/>
              </w:rPr>
              <w:t>随着基金规模的增加，基金的平均成本会下降。另外，非系统性风险也会随着基金规模的增加而降低。但基金规模过大也会对投资对象选择以及被投资对象流动性产生不利影响</w:t>
            </w:r>
          </w:p>
        </w:tc>
      </w:tr>
      <w:tr w14:paraId="32E6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0E0F48BE">
            <w:pPr>
              <w:jc w:val="left"/>
              <w:rPr>
                <w:rFonts w:ascii="宋体" w:hAnsi="宋体" w:cs="宋体"/>
              </w:rPr>
            </w:pPr>
            <w:r>
              <w:rPr>
                <w:rFonts w:hint="eastAsia" w:ascii="宋体" w:hAnsi="宋体" w:cs="宋体"/>
              </w:rPr>
              <w:t>时间区间</w:t>
            </w:r>
          </w:p>
        </w:tc>
        <w:tc>
          <w:tcPr>
            <w:tcW w:w="4001" w:type="pct"/>
          </w:tcPr>
          <w:p w14:paraId="01A37AD7">
            <w:pPr>
              <w:jc w:val="left"/>
              <w:rPr>
                <w:rFonts w:ascii="宋体" w:hAnsi="宋体" w:cs="宋体"/>
              </w:rPr>
            </w:pPr>
            <w:r>
              <w:rPr>
                <w:rFonts w:hint="eastAsia" w:ascii="宋体" w:hAnsi="宋体" w:cs="宋体"/>
              </w:rPr>
              <w:t>可以采用多个时间段的业绩进行比较，比如选择近一个月、近三个月或者近一年等</w:t>
            </w:r>
          </w:p>
        </w:tc>
      </w:tr>
    </w:tbl>
    <w:p w14:paraId="48AAC65D">
      <w:pPr>
        <w:jc w:val="left"/>
        <w:rPr>
          <w:rFonts w:ascii="宋体" w:hAnsi="宋体" w:cs="宋体"/>
          <w:color w:val="FF0000"/>
        </w:rPr>
      </w:pPr>
      <w:r>
        <w:rPr>
          <w:rFonts w:hint="eastAsia" w:ascii="宋体" w:hAnsi="宋体" w:cs="宋体"/>
          <w:color w:val="FF0000"/>
        </w:rPr>
        <w:t>2.系统评估指标评估基金业绩</w:t>
      </w:r>
    </w:p>
    <w:p w14:paraId="48563DA1">
      <w:pPr>
        <w:jc w:val="left"/>
        <w:rPr>
          <w:rFonts w:ascii="宋体" w:hAnsi="宋体" w:cs="宋体"/>
          <w:color w:val="FF0000"/>
        </w:rPr>
      </w:pPr>
      <w:r>
        <w:rPr>
          <w:rFonts w:hint="eastAsia" w:ascii="宋体" w:hAnsi="宋体" w:cs="宋体"/>
          <w:color w:val="FF0000"/>
        </w:rPr>
        <w:t>（1）绝对收益</w:t>
      </w:r>
    </w:p>
    <w:p w14:paraId="018C48D7">
      <w:pPr>
        <w:jc w:val="left"/>
        <w:rPr>
          <w:rFonts w:hint="eastAsia" w:ascii="宋体" w:hAnsi="宋体" w:cs="宋体"/>
        </w:rPr>
      </w:pPr>
      <w:r>
        <w:rPr>
          <w:rFonts w:hint="eastAsia" w:ascii="宋体" w:hAnsi="宋体" w:cs="宋体"/>
        </w:rPr>
        <w:t>基金绝对收益指标不关注与业绩基准之间的差异，测量的是证券或投资组合的增值或贬值，在一定时期内获得的回报情况，一般用</w:t>
      </w:r>
      <w:r>
        <w:rPr>
          <w:rFonts w:hint="eastAsia" w:ascii="宋体" w:hAnsi="宋体" w:cs="宋体"/>
          <w:color w:val="FF0000"/>
        </w:rPr>
        <w:t>百分比</w:t>
      </w:r>
      <w:r>
        <w:rPr>
          <w:rFonts w:hint="eastAsia" w:ascii="宋体" w:hAnsi="宋体" w:cs="宋体"/>
        </w:rPr>
        <w:t>形式的收益率衡量。具体包括持有</w:t>
      </w:r>
      <w:r>
        <w:rPr>
          <w:rFonts w:hint="eastAsia" w:ascii="宋体" w:hAnsi="宋体" w:cs="宋体"/>
          <w:color w:val="FF0000"/>
        </w:rPr>
        <w:t>期间收益率、现金流和时间加权收益率、平均收益率</w:t>
      </w:r>
      <w:r>
        <w:rPr>
          <w:rFonts w:hint="eastAsia" w:ascii="宋体" w:hAnsi="宋体" w:cs="宋体"/>
        </w:rPr>
        <w:t>三种形式。</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5"/>
        <w:gridCol w:w="7243"/>
      </w:tblGrid>
      <w:tr w14:paraId="251A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Pr>
          <w:p w14:paraId="61099A89">
            <w:pPr>
              <w:jc w:val="left"/>
              <w:rPr>
                <w:rFonts w:ascii="宋体" w:hAnsi="宋体" w:cs="宋体"/>
              </w:rPr>
            </w:pPr>
            <w:r>
              <w:rPr>
                <w:rFonts w:hint="eastAsia" w:ascii="宋体" w:hAnsi="宋体" w:cs="宋体"/>
              </w:rPr>
              <w:t>分类</w:t>
            </w:r>
          </w:p>
        </w:tc>
        <w:tc>
          <w:tcPr>
            <w:tcW w:w="3572" w:type="pct"/>
          </w:tcPr>
          <w:p w14:paraId="5B60CFF7">
            <w:pPr>
              <w:jc w:val="left"/>
              <w:rPr>
                <w:rFonts w:ascii="宋体" w:hAnsi="宋体" w:cs="宋体"/>
              </w:rPr>
            </w:pPr>
            <w:r>
              <w:rPr>
                <w:rFonts w:hint="eastAsia" w:ascii="宋体" w:hAnsi="宋体" w:cs="宋体"/>
              </w:rPr>
              <w:t>公式</w:t>
            </w:r>
          </w:p>
        </w:tc>
      </w:tr>
      <w:tr w14:paraId="3C98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Pr>
          <w:p w14:paraId="0CD9DCCA">
            <w:pPr>
              <w:jc w:val="left"/>
              <w:rPr>
                <w:rFonts w:ascii="宋体" w:hAnsi="宋体" w:cs="宋体"/>
              </w:rPr>
            </w:pPr>
            <w:r>
              <w:rPr>
                <w:rFonts w:hint="eastAsia" w:ascii="宋体" w:hAnsi="宋体" w:cs="宋体"/>
              </w:rPr>
              <w:t>期间收益率</w:t>
            </w:r>
          </w:p>
        </w:tc>
        <w:tc>
          <w:tcPr>
            <w:tcW w:w="3572" w:type="pct"/>
          </w:tcPr>
          <w:p w14:paraId="3AB118B3">
            <w:pPr>
              <w:jc w:val="left"/>
              <w:rPr>
                <w:rFonts w:ascii="宋体" w:hAnsi="宋体" w:cs="宋体"/>
              </w:rPr>
            </w:pPr>
            <w:r>
              <w:rPr>
                <w:rFonts w:hint="eastAsia" w:ascii="宋体" w:hAnsi="宋体" w:cs="宋体"/>
              </w:rPr>
              <w:t>持有期间收益率=（期末资产价格 - 期初资产价格+持有期间红利收入）/期初资产价格*100%</w:t>
            </w:r>
          </w:p>
        </w:tc>
      </w:tr>
      <w:tr w14:paraId="1839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Pr>
          <w:p w14:paraId="619775E6">
            <w:pPr>
              <w:jc w:val="left"/>
              <w:rPr>
                <w:rFonts w:ascii="宋体" w:hAnsi="宋体" w:cs="宋体"/>
              </w:rPr>
            </w:pPr>
            <w:r>
              <w:rPr>
                <w:rFonts w:hint="eastAsia" w:ascii="宋体" w:hAnsi="宋体" w:cs="宋体"/>
              </w:rPr>
              <w:t>现金流和时间加权收益率</w:t>
            </w:r>
          </w:p>
        </w:tc>
        <w:tc>
          <w:tcPr>
            <w:tcW w:w="3572" w:type="pct"/>
          </w:tcPr>
          <w:p w14:paraId="10C0BF41">
            <w:pPr>
              <w:jc w:val="left"/>
              <w:rPr>
                <w:rFonts w:ascii="宋体" w:hAnsi="宋体" w:cs="宋体"/>
              </w:rPr>
            </w:pPr>
            <w:r>
              <w:rPr>
                <w:rFonts w:hint="eastAsia" w:ascii="宋体" w:hAnsi="宋体" w:cs="宋体"/>
              </w:rPr>
              <w:t>将收益率计算区间划分为</w:t>
            </w:r>
            <w:r>
              <w:rPr>
                <w:rFonts w:hint="eastAsia" w:ascii="宋体" w:hAnsi="宋体" w:cs="宋体"/>
                <w:color w:val="FF0000"/>
              </w:rPr>
              <w:t>若干子区间</w:t>
            </w:r>
            <w:r>
              <w:rPr>
                <w:rFonts w:hint="eastAsia" w:ascii="宋体" w:hAnsi="宋体" w:cs="宋体"/>
              </w:rPr>
              <w:t>，每个子区间以现金流发生时间划分，以各个子区间收益率为基础计算整个期间的绝对收益水平。</w:t>
            </w:r>
          </w:p>
        </w:tc>
      </w:tr>
      <w:tr w14:paraId="0BC4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8" w:type="pct"/>
          </w:tcPr>
          <w:p w14:paraId="75A0C8F1">
            <w:pPr>
              <w:jc w:val="left"/>
              <w:rPr>
                <w:rFonts w:ascii="宋体" w:hAnsi="宋体" w:cs="宋体"/>
              </w:rPr>
            </w:pPr>
            <w:r>
              <w:rPr>
                <w:rFonts w:hint="eastAsia" w:ascii="宋体" w:hAnsi="宋体" w:cs="宋体"/>
              </w:rPr>
              <w:t>平均收益率</w:t>
            </w:r>
          </w:p>
        </w:tc>
        <w:tc>
          <w:tcPr>
            <w:tcW w:w="3572" w:type="pct"/>
          </w:tcPr>
          <w:p w14:paraId="00DBF1FA">
            <w:pPr>
              <w:jc w:val="left"/>
              <w:rPr>
                <w:rFonts w:ascii="宋体" w:hAnsi="宋体" w:cs="宋体"/>
              </w:rPr>
            </w:pPr>
            <w:r>
              <w:rPr>
                <w:rFonts w:hint="eastAsia" w:ascii="宋体" w:hAnsi="宋体" w:cs="宋体"/>
              </w:rPr>
              <w:t>算数平均和几何平均</w:t>
            </w:r>
          </w:p>
        </w:tc>
      </w:tr>
    </w:tbl>
    <w:p w14:paraId="0F74FBF1">
      <w:pPr>
        <w:jc w:val="left"/>
        <w:rPr>
          <w:rFonts w:ascii="宋体" w:hAnsi="宋体" w:cs="宋体"/>
        </w:rPr>
      </w:pPr>
      <w:r>
        <w:rPr>
          <w:rFonts w:hint="eastAsia" w:ascii="宋体" w:hAnsi="宋体" w:cs="宋体"/>
          <w:color w:val="FF0000"/>
        </w:rPr>
        <w:t>【教材解释】</w:t>
      </w:r>
      <w:r>
        <w:rPr>
          <w:rFonts w:hint="eastAsia" w:ascii="宋体" w:hAnsi="宋体" w:cs="宋体"/>
        </w:rPr>
        <w:t>某股票基金2019年5月1日有大客户进行了申购，9月1日进行了分红，上述两个时点即为现金流发生的时点。因此，将2019年以上述两个时点划分为三个阶段，假设三个阶段的收益率分别为－6%、5%、4%，则该基金当年的现金流和时间加权收益率为：</w:t>
      </w:r>
    </w:p>
    <w:p w14:paraId="59BDD555">
      <w:pPr>
        <w:jc w:val="left"/>
        <w:rPr>
          <w:rFonts w:ascii="宋体" w:hAnsi="宋体" w:cs="宋体"/>
        </w:rPr>
      </w:pPr>
      <w:r>
        <w:rPr>
          <w:rFonts w:hint="eastAsia" w:ascii="宋体" w:hAnsi="宋体" w:cs="宋体"/>
          <w:color w:val="FF0000"/>
        </w:rPr>
        <w:t>答案：</w:t>
      </w:r>
      <w:r>
        <w:rPr>
          <w:rFonts w:hint="eastAsia" w:ascii="宋体" w:hAnsi="宋体" w:cs="宋体"/>
        </w:rPr>
        <w:t>（1－6%）×（1＋5%）×（1＋4%）－1＝2.65%</w:t>
      </w:r>
    </w:p>
    <w:p w14:paraId="6FFE172C">
      <w:pPr>
        <w:jc w:val="left"/>
        <w:rPr>
          <w:rFonts w:ascii="宋体" w:hAnsi="宋体" w:cs="宋体"/>
        </w:rPr>
      </w:pPr>
      <w:r>
        <w:rPr>
          <w:rFonts w:hint="eastAsia" w:ascii="宋体" w:hAnsi="宋体" w:cs="宋体"/>
          <w:color w:val="FF0000"/>
        </w:rPr>
        <w:t>【例6-25】</w:t>
      </w:r>
      <w:r>
        <w:rPr>
          <w:rFonts w:hint="eastAsia" w:ascii="宋体" w:hAnsi="宋体" w:cs="宋体"/>
        </w:rPr>
        <w:t>某基金近三年的收益率分别为6%、8%、10%，分别计算其三年的算术平均收益率与几何平均收益率。</w:t>
      </w:r>
    </w:p>
    <w:p w14:paraId="018D28D1">
      <w:pPr>
        <w:jc w:val="left"/>
        <w:rPr>
          <w:rFonts w:ascii="宋体" w:hAnsi="宋体" w:cs="宋体"/>
        </w:rPr>
      </w:pPr>
      <w:r>
        <w:rPr>
          <w:rFonts w:hint="eastAsia" w:ascii="宋体" w:hAnsi="宋体" w:cs="宋体"/>
        </w:rPr>
        <w:t>算术平均收益率＝（6%＋8%＋10%）÷3×100%＝8%</w:t>
      </w:r>
    </w:p>
    <w:p w14:paraId="64E35389">
      <w:pPr>
        <w:jc w:val="left"/>
        <w:rPr>
          <w:rFonts w:ascii="宋体" w:hAnsi="宋体" w:cs="宋体"/>
        </w:rPr>
      </w:pPr>
      <w:r>
        <w:rPr>
          <w:rFonts w:hint="eastAsia" w:ascii="宋体" w:hAnsi="宋体" w:cs="宋体"/>
        </w:rPr>
        <w:t>几何平均收益率＝</w:t>
      </w:r>
      <w:r>
        <w:rPr>
          <w:rFonts w:hint="eastAsia" w:ascii="宋体" w:hAnsi="宋体" w:cs="宋体"/>
        </w:rPr>
        <w:drawing>
          <wp:inline distT="0" distB="0" distL="114300" distR="114300">
            <wp:extent cx="2814320" cy="302260"/>
            <wp:effectExtent l="0" t="0" r="508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9"/>
                    <a:stretch>
                      <a:fillRect/>
                    </a:stretch>
                  </pic:blipFill>
                  <pic:spPr>
                    <a:xfrm>
                      <a:off x="0" y="0"/>
                      <a:ext cx="2908845" cy="312638"/>
                    </a:xfrm>
                    <a:prstGeom prst="rect">
                      <a:avLst/>
                    </a:prstGeom>
                    <a:noFill/>
                    <a:ln>
                      <a:noFill/>
                    </a:ln>
                  </pic:spPr>
                </pic:pic>
              </a:graphicData>
            </a:graphic>
          </wp:inline>
        </w:drawing>
      </w:r>
      <w:r>
        <w:rPr>
          <w:rFonts w:hint="eastAsia" w:ascii="宋体" w:hAnsi="宋体" w:cs="宋体"/>
        </w:rPr>
        <w:t>＝7.99%</w:t>
      </w:r>
    </w:p>
    <w:p w14:paraId="633014B1">
      <w:pPr>
        <w:jc w:val="left"/>
        <w:rPr>
          <w:rFonts w:ascii="宋体" w:hAnsi="宋体" w:cs="宋体"/>
          <w:color w:val="FF0000"/>
        </w:rPr>
      </w:pPr>
      <w:r>
        <w:rPr>
          <w:rFonts w:hint="eastAsia" w:ascii="宋体" w:hAnsi="宋体" w:cs="宋体"/>
          <w:color w:val="FF0000"/>
        </w:rPr>
        <w:t>（2）相对收益</w:t>
      </w:r>
    </w:p>
    <w:p w14:paraId="43BF89BD">
      <w:pPr>
        <w:jc w:val="left"/>
        <w:rPr>
          <w:rFonts w:ascii="宋体" w:hAnsi="宋体" w:cs="宋体"/>
        </w:rPr>
      </w:pPr>
      <w:r>
        <w:rPr>
          <w:rFonts w:hint="eastAsia" w:ascii="宋体" w:hAnsi="宋体" w:cs="宋体"/>
        </w:rPr>
        <w:t>基金的相对收益，是基金相对于一定业绩比较基准的收益，如沪深300指数，上证50指数等。</w:t>
      </w:r>
    </w:p>
    <w:p w14:paraId="3C119A82">
      <w:pPr>
        <w:jc w:val="left"/>
        <w:rPr>
          <w:rFonts w:ascii="宋体" w:hAnsi="宋体" w:cs="宋体"/>
          <w:color w:val="FF0000"/>
        </w:rPr>
      </w:pPr>
      <w:r>
        <w:rPr>
          <w:rFonts w:hint="eastAsia" w:ascii="宋体" w:hAnsi="宋体" w:cs="宋体"/>
          <w:color w:val="FF0000"/>
        </w:rPr>
        <w:t>二、私募股权投资基金</w:t>
      </w:r>
    </w:p>
    <w:p w14:paraId="11571B25">
      <w:pPr>
        <w:jc w:val="left"/>
        <w:rPr>
          <w:rFonts w:ascii="宋体" w:hAnsi="宋体" w:cs="宋体"/>
          <w:color w:val="FF0000"/>
        </w:rPr>
      </w:pPr>
      <w:r>
        <w:rPr>
          <w:rFonts w:hint="eastAsia" w:ascii="宋体" w:hAnsi="宋体" w:cs="宋体"/>
          <w:color w:val="FF0000"/>
        </w:rPr>
        <w:t>1.私募股权投资基金的特点</w:t>
      </w:r>
    </w:p>
    <w:p w14:paraId="040880F9">
      <w:pPr>
        <w:jc w:val="left"/>
        <w:rPr>
          <w:rFonts w:ascii="宋体" w:hAnsi="宋体" w:cs="宋体"/>
        </w:rPr>
      </w:pPr>
      <w:r>
        <w:rPr>
          <w:rFonts w:hint="eastAsia" w:ascii="宋体" w:hAnsi="宋体" w:cs="宋体"/>
        </w:rPr>
        <w:t>（1）较长的投资周期;</w:t>
      </w:r>
    </w:p>
    <w:p w14:paraId="4E970D68">
      <w:pPr>
        <w:jc w:val="left"/>
        <w:rPr>
          <w:rFonts w:ascii="宋体" w:hAnsi="宋体" w:cs="宋体"/>
        </w:rPr>
      </w:pPr>
      <w:r>
        <w:rPr>
          <w:rFonts w:hint="eastAsia" w:ascii="宋体" w:hAnsi="宋体" w:cs="宋体"/>
        </w:rPr>
        <w:t>（2）较大的投资收益波动性;</w:t>
      </w:r>
    </w:p>
    <w:p w14:paraId="5971C377">
      <w:pPr>
        <w:jc w:val="left"/>
        <w:rPr>
          <w:rFonts w:ascii="宋体" w:hAnsi="宋体" w:cs="宋体"/>
        </w:rPr>
      </w:pPr>
      <w:r>
        <w:rPr>
          <w:rFonts w:hint="eastAsia" w:ascii="宋体" w:hAnsi="宋体" w:cs="宋体"/>
        </w:rPr>
        <w:t>（3）对投资决策与管理的专业要求较高，投后需进行非财务资源注入</w:t>
      </w:r>
    </w:p>
    <w:p w14:paraId="58E5D3E2">
      <w:pPr>
        <w:jc w:val="left"/>
        <w:rPr>
          <w:rFonts w:ascii="宋体" w:hAnsi="宋体" w:cs="宋体"/>
          <w:color w:val="FF0000"/>
        </w:rPr>
      </w:pPr>
      <w:r>
        <w:rPr>
          <w:rFonts w:hint="eastAsia" w:ascii="宋体" w:hAnsi="宋体" w:cs="宋体"/>
          <w:color w:val="FF0000"/>
        </w:rPr>
        <w:t>2.私募股权投资基金的退出方式</w:t>
      </w:r>
    </w:p>
    <w:p w14:paraId="4C48A58B">
      <w:pPr>
        <w:jc w:val="left"/>
        <w:rPr>
          <w:rFonts w:ascii="宋体" w:hAnsi="宋体" w:cs="宋体"/>
        </w:rPr>
      </w:pPr>
      <w:r>
        <w:rPr>
          <w:rFonts w:hint="eastAsia" w:ascii="宋体" w:hAnsi="宋体" w:cs="宋体"/>
        </w:rPr>
        <w:t>（1）股份上市转让或挂牌转让</w:t>
      </w:r>
    </w:p>
    <w:p w14:paraId="6C0D4BCD">
      <w:pPr>
        <w:jc w:val="left"/>
        <w:rPr>
          <w:rFonts w:ascii="宋体" w:hAnsi="宋体" w:cs="宋体"/>
        </w:rPr>
      </w:pPr>
      <w:r>
        <w:rPr>
          <w:rFonts w:hint="eastAsia" w:ascii="宋体" w:hAnsi="宋体" w:cs="宋体"/>
        </w:rPr>
        <w:t>（2）股权转让</w:t>
      </w:r>
    </w:p>
    <w:p w14:paraId="4C430F48">
      <w:pPr>
        <w:jc w:val="left"/>
        <w:rPr>
          <w:rFonts w:ascii="宋体" w:hAnsi="宋体" w:cs="宋体"/>
        </w:rPr>
      </w:pPr>
      <w:r>
        <w:rPr>
          <w:rFonts w:hint="eastAsia" w:ascii="宋体" w:hAnsi="宋体" w:cs="宋体"/>
        </w:rPr>
        <w:t>（3）清算退出</w:t>
      </w:r>
    </w:p>
    <w:p w14:paraId="7AFBD168">
      <w:pPr>
        <w:jc w:val="left"/>
        <w:rPr>
          <w:rFonts w:ascii="宋体" w:hAnsi="宋体" w:cs="宋体"/>
          <w:color w:val="FF0000"/>
        </w:rPr>
      </w:pPr>
      <w:r>
        <w:rPr>
          <w:rFonts w:hint="eastAsia" w:ascii="宋体" w:hAnsi="宋体" w:cs="宋体"/>
          <w:color w:val="FF0000"/>
        </w:rPr>
        <w:t>3.私募股权基金和风险投资基金的区别</w:t>
      </w:r>
    </w:p>
    <w:p w14:paraId="203F27D6">
      <w:pPr>
        <w:jc w:val="left"/>
        <w:rPr>
          <w:rFonts w:ascii="宋体" w:hAnsi="宋体" w:cs="宋体"/>
        </w:rPr>
      </w:pPr>
      <w:r>
        <w:rPr>
          <w:rFonts w:hint="eastAsia" w:ascii="宋体" w:hAnsi="宋体" w:cs="宋体"/>
        </w:rPr>
        <w:t>（1）另类投资基金包括私募股权投资基金（PE)、风险投资基金（VC）等；</w:t>
      </w:r>
    </w:p>
    <w:p w14:paraId="7F739CD2">
      <w:pPr>
        <w:jc w:val="left"/>
        <w:rPr>
          <w:rFonts w:ascii="宋体" w:hAnsi="宋体" w:cs="宋体"/>
        </w:rPr>
      </w:pPr>
      <w:r>
        <w:rPr>
          <w:rFonts w:hint="eastAsia" w:ascii="宋体" w:hAnsi="宋体" w:cs="宋体"/>
        </w:rPr>
        <w:t>（2）私募股权基金主要投资于已进入发展阶段的拟上市公司；</w:t>
      </w:r>
    </w:p>
    <w:p w14:paraId="7C6B66D1">
      <w:pPr>
        <w:jc w:val="left"/>
        <w:rPr>
          <w:rFonts w:hint="eastAsia" w:ascii="宋体" w:hAnsi="宋体" w:cs="宋体"/>
        </w:rPr>
      </w:pPr>
      <w:r>
        <w:rPr>
          <w:rFonts w:hint="eastAsia" w:ascii="宋体" w:hAnsi="宋体" w:cs="宋体"/>
        </w:rPr>
        <w:t>（3）风险投资基金主要投资于刚刚起步的初创型企业，以高新技术企业或项目为主。</w:t>
      </w:r>
    </w:p>
    <w:p w14:paraId="2B0607D8">
      <w:pPr>
        <w:overflowPunct w:val="0"/>
        <w:jc w:val="center"/>
        <w:rPr>
          <w:rFonts w:ascii="宋体" w:hAnsi="宋体" w:cs="宋体"/>
          <w:b/>
          <w:bCs/>
        </w:rPr>
      </w:pPr>
      <w:r>
        <w:rPr>
          <w:rFonts w:hint="eastAsia" w:ascii="宋体" w:hAnsi="宋体" w:cs="宋体"/>
          <w:b/>
          <w:bCs/>
        </w:rPr>
        <w:t>第五节  基金投资与期权投资</w:t>
      </w:r>
    </w:p>
    <w:p w14:paraId="7613619D">
      <w:pPr>
        <w:jc w:val="left"/>
        <w:rPr>
          <w:rFonts w:ascii="宋体" w:hAnsi="宋体" w:cs="宋体"/>
          <w:color w:val="FF0000"/>
        </w:rPr>
      </w:pPr>
      <w:r>
        <w:rPr>
          <w:rFonts w:hint="eastAsia" w:ascii="宋体" w:hAnsi="宋体" w:cs="宋体"/>
          <w:color w:val="FF0000"/>
        </w:rPr>
        <w:t>三、期权合约</w:t>
      </w:r>
    </w:p>
    <w:p w14:paraId="7DC2E6FA">
      <w:pPr>
        <w:jc w:val="left"/>
        <w:rPr>
          <w:rFonts w:ascii="宋体" w:hAnsi="宋体" w:cs="宋体"/>
        </w:rPr>
      </w:pPr>
      <w:r>
        <w:rPr>
          <w:rFonts w:hint="eastAsia" w:ascii="宋体" w:hAnsi="宋体" w:cs="宋体"/>
        </w:rPr>
        <w:t>（一）期权合约的概念及构成要素</w:t>
      </w:r>
    </w:p>
    <w:p w14:paraId="5B7A604B">
      <w:pPr>
        <w:jc w:val="left"/>
        <w:rPr>
          <w:rFonts w:ascii="宋体" w:hAnsi="宋体" w:cs="宋体"/>
        </w:rPr>
      </w:pPr>
      <w:r>
        <w:rPr>
          <w:rFonts w:hint="eastAsia" w:ascii="宋体" w:hAnsi="宋体" w:cs="宋体"/>
        </w:rPr>
        <w:t>1.期权合约的概念</w:t>
      </w:r>
    </w:p>
    <w:p w14:paraId="76474C92">
      <w:pPr>
        <w:jc w:val="left"/>
        <w:rPr>
          <w:rFonts w:ascii="宋体" w:hAnsi="宋体" w:cs="宋体"/>
        </w:rPr>
      </w:pPr>
      <w:r>
        <w:rPr>
          <w:rFonts w:hint="eastAsia" w:ascii="宋体" w:hAnsi="宋体" w:cs="宋体"/>
        </w:rPr>
        <w:t>期权合约，又称选择权合约，是指合约持有人可以选择在某一特定时期或该日期之前的任何时间以约定价格买入或者卖出标的资产的合约，合约持有人可以选择行权或不行权。</w:t>
      </w:r>
    </w:p>
    <w:p w14:paraId="65990C6F">
      <w:pPr>
        <w:jc w:val="left"/>
        <w:rPr>
          <w:rFonts w:ascii="宋体" w:hAnsi="宋体" w:cs="宋体"/>
        </w:rPr>
      </w:pPr>
      <w:r>
        <w:rPr>
          <w:rFonts w:hint="eastAsia" w:ascii="宋体" w:hAnsi="宋体" w:cs="宋体"/>
        </w:rPr>
        <w:t>2.期权合约的要素</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8258"/>
      </w:tblGrid>
      <w:tr w14:paraId="675F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64BBAFDB">
            <w:pPr>
              <w:jc w:val="left"/>
              <w:rPr>
                <w:rFonts w:ascii="宋体" w:hAnsi="宋体" w:cs="宋体"/>
              </w:rPr>
            </w:pPr>
            <w:r>
              <w:rPr>
                <w:rFonts w:hint="eastAsia" w:ascii="宋体" w:hAnsi="宋体" w:cs="宋体"/>
              </w:rPr>
              <w:t>要素名称</w:t>
            </w:r>
          </w:p>
        </w:tc>
        <w:tc>
          <w:tcPr>
            <w:tcW w:w="4073" w:type="pct"/>
          </w:tcPr>
          <w:p w14:paraId="13855436">
            <w:pPr>
              <w:jc w:val="left"/>
              <w:rPr>
                <w:rFonts w:ascii="宋体" w:hAnsi="宋体" w:cs="宋体"/>
              </w:rPr>
            </w:pPr>
            <w:r>
              <w:rPr>
                <w:rFonts w:hint="eastAsia" w:ascii="宋体" w:hAnsi="宋体" w:cs="宋体"/>
              </w:rPr>
              <w:t>含义</w:t>
            </w:r>
          </w:p>
        </w:tc>
      </w:tr>
      <w:tr w14:paraId="258E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6FD4E273">
            <w:pPr>
              <w:jc w:val="left"/>
              <w:rPr>
                <w:rFonts w:ascii="宋体" w:hAnsi="宋体" w:cs="宋体"/>
              </w:rPr>
            </w:pPr>
            <w:r>
              <w:rPr>
                <w:rFonts w:hint="eastAsia" w:ascii="宋体" w:hAnsi="宋体" w:cs="宋体"/>
              </w:rPr>
              <w:t>标的资产</w:t>
            </w:r>
          </w:p>
        </w:tc>
        <w:tc>
          <w:tcPr>
            <w:tcW w:w="4073" w:type="pct"/>
          </w:tcPr>
          <w:p w14:paraId="39A92AB9">
            <w:pPr>
              <w:jc w:val="left"/>
              <w:rPr>
                <w:rFonts w:ascii="宋体" w:hAnsi="宋体" w:cs="宋体"/>
              </w:rPr>
            </w:pPr>
            <w:r>
              <w:rPr>
                <w:rFonts w:hint="eastAsia" w:ascii="宋体" w:hAnsi="宋体" w:cs="宋体"/>
              </w:rPr>
              <w:t>期权合约中约定交易的资产，包括商品、金融资产、利率、汇率或综合价格指数等</w:t>
            </w:r>
          </w:p>
        </w:tc>
      </w:tr>
      <w:tr w14:paraId="751F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910F20F">
            <w:pPr>
              <w:jc w:val="left"/>
              <w:rPr>
                <w:rFonts w:ascii="宋体" w:hAnsi="宋体" w:cs="宋体"/>
              </w:rPr>
            </w:pPr>
            <w:r>
              <w:rPr>
                <w:rFonts w:hint="eastAsia" w:ascii="宋体" w:hAnsi="宋体" w:cs="宋体"/>
              </w:rPr>
              <w:t>期权买方</w:t>
            </w:r>
          </w:p>
        </w:tc>
        <w:tc>
          <w:tcPr>
            <w:tcW w:w="4073" w:type="pct"/>
          </w:tcPr>
          <w:p w14:paraId="17AF80BA">
            <w:pPr>
              <w:jc w:val="left"/>
              <w:rPr>
                <w:rFonts w:ascii="宋体" w:hAnsi="宋体" w:cs="宋体"/>
              </w:rPr>
            </w:pPr>
            <w:r>
              <w:rPr>
                <w:rFonts w:hint="eastAsia" w:ascii="宋体" w:hAnsi="宋体" w:cs="宋体"/>
              </w:rPr>
              <w:t>也称：期权的多头。买方通过支付期权费用，获取期权合约规定的权利</w:t>
            </w:r>
          </w:p>
        </w:tc>
      </w:tr>
      <w:tr w14:paraId="6BA6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3CA0013B">
            <w:pPr>
              <w:jc w:val="left"/>
              <w:rPr>
                <w:rFonts w:ascii="宋体" w:hAnsi="宋体" w:cs="宋体"/>
              </w:rPr>
            </w:pPr>
            <w:r>
              <w:rPr>
                <w:rFonts w:hint="eastAsia" w:ascii="宋体" w:hAnsi="宋体" w:cs="宋体"/>
              </w:rPr>
              <w:t>期权卖方</w:t>
            </w:r>
          </w:p>
        </w:tc>
        <w:tc>
          <w:tcPr>
            <w:tcW w:w="4073" w:type="pct"/>
          </w:tcPr>
          <w:p w14:paraId="0489CD3F">
            <w:pPr>
              <w:jc w:val="left"/>
              <w:rPr>
                <w:rFonts w:ascii="宋体" w:hAnsi="宋体" w:cs="宋体"/>
              </w:rPr>
            </w:pPr>
            <w:r>
              <w:rPr>
                <w:rFonts w:hint="eastAsia" w:ascii="宋体" w:hAnsi="宋体" w:cs="宋体"/>
              </w:rPr>
              <w:t>也称：期权的空头。卖出期权的一方通过获得买方支付的合约购买费用，承担在规定时间内履行期权合约义务的责任。</w:t>
            </w:r>
          </w:p>
        </w:tc>
      </w:tr>
      <w:tr w14:paraId="5946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4749B1D1">
            <w:pPr>
              <w:jc w:val="left"/>
              <w:rPr>
                <w:rFonts w:ascii="宋体" w:hAnsi="宋体" w:cs="宋体"/>
              </w:rPr>
            </w:pPr>
            <w:r>
              <w:rPr>
                <w:rFonts w:hint="eastAsia" w:ascii="宋体" w:hAnsi="宋体" w:cs="宋体"/>
              </w:rPr>
              <w:t>执行价格</w:t>
            </w:r>
          </w:p>
        </w:tc>
        <w:tc>
          <w:tcPr>
            <w:tcW w:w="4073" w:type="pct"/>
          </w:tcPr>
          <w:p w14:paraId="35632C71">
            <w:pPr>
              <w:jc w:val="left"/>
              <w:rPr>
                <w:rFonts w:ascii="宋体" w:hAnsi="宋体" w:cs="宋体"/>
              </w:rPr>
            </w:pPr>
            <w:r>
              <w:rPr>
                <w:rFonts w:hint="eastAsia" w:ascii="宋体" w:hAnsi="宋体" w:cs="宋体"/>
              </w:rPr>
              <w:t>依据合约规定，期权买方在行权时所实际执行的价格</w:t>
            </w:r>
          </w:p>
        </w:tc>
      </w:tr>
      <w:tr w14:paraId="4B06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4DAB4A9C">
            <w:pPr>
              <w:jc w:val="left"/>
              <w:rPr>
                <w:rFonts w:ascii="宋体" w:hAnsi="宋体" w:cs="宋体"/>
              </w:rPr>
            </w:pPr>
            <w:r>
              <w:rPr>
                <w:rFonts w:hint="eastAsia" w:ascii="宋体" w:hAnsi="宋体" w:cs="宋体"/>
              </w:rPr>
              <w:t>期权费用</w:t>
            </w:r>
          </w:p>
        </w:tc>
        <w:tc>
          <w:tcPr>
            <w:tcW w:w="4073" w:type="pct"/>
          </w:tcPr>
          <w:p w14:paraId="1D0A004A">
            <w:pPr>
              <w:jc w:val="left"/>
              <w:rPr>
                <w:rFonts w:ascii="宋体" w:hAnsi="宋体" w:cs="宋体"/>
              </w:rPr>
            </w:pPr>
            <w:r>
              <w:rPr>
                <w:rFonts w:hint="eastAsia" w:ascii="宋体" w:hAnsi="宋体" w:cs="宋体"/>
              </w:rPr>
              <w:t>期权买方为获取期权合约所赋予的权利而向卖方支付的费用，一旦支付，无论买方是否选择行权，费用不予退回</w:t>
            </w:r>
          </w:p>
        </w:tc>
      </w:tr>
      <w:tr w14:paraId="7E90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7" w:type="pct"/>
          </w:tcPr>
          <w:p w14:paraId="0B6B3F35">
            <w:pPr>
              <w:jc w:val="left"/>
              <w:rPr>
                <w:rFonts w:ascii="宋体" w:hAnsi="宋体" w:cs="宋体"/>
              </w:rPr>
            </w:pPr>
            <w:r>
              <w:rPr>
                <w:rFonts w:hint="eastAsia" w:ascii="宋体" w:hAnsi="宋体" w:cs="宋体"/>
              </w:rPr>
              <w:t>通知日与到期日</w:t>
            </w:r>
          </w:p>
        </w:tc>
        <w:tc>
          <w:tcPr>
            <w:tcW w:w="4073" w:type="pct"/>
          </w:tcPr>
          <w:p w14:paraId="7857B784">
            <w:pPr>
              <w:jc w:val="left"/>
              <w:rPr>
                <w:rFonts w:ascii="宋体" w:hAnsi="宋体" w:cs="宋体"/>
              </w:rPr>
            </w:pPr>
            <w:r>
              <w:rPr>
                <w:rFonts w:hint="eastAsia" w:ascii="宋体" w:hAnsi="宋体" w:cs="宋体"/>
              </w:rPr>
              <w:t>知日为预先确定的交货日之前的某一天；到期日为期权合约必须履行的时间点</w:t>
            </w:r>
          </w:p>
        </w:tc>
      </w:tr>
    </w:tbl>
    <w:p w14:paraId="64476121">
      <w:pPr>
        <w:jc w:val="left"/>
        <w:rPr>
          <w:rFonts w:ascii="宋体" w:hAnsi="宋体" w:cs="宋体"/>
        </w:rPr>
      </w:pPr>
      <w:r>
        <w:rPr>
          <w:rFonts w:hint="eastAsia" w:ascii="宋体" w:hAnsi="宋体" w:cs="宋体"/>
        </w:rPr>
        <w:t>（二）期权的类型</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5"/>
        <w:gridCol w:w="7533"/>
      </w:tblGrid>
      <w:tr w14:paraId="0DEC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tcPr>
          <w:p w14:paraId="585499B9">
            <w:pPr>
              <w:rPr>
                <w:rFonts w:ascii="宋体" w:hAnsi="宋体" w:cs="宋体"/>
              </w:rPr>
            </w:pPr>
            <w:r>
              <w:rPr>
                <w:rFonts w:hint="eastAsia" w:ascii="宋体" w:hAnsi="宋体" w:cs="宋体"/>
              </w:rPr>
              <w:t>期权分类的标准</w:t>
            </w:r>
          </w:p>
        </w:tc>
        <w:tc>
          <w:tcPr>
            <w:tcW w:w="3715" w:type="pct"/>
          </w:tcPr>
          <w:p w14:paraId="421A3C9E">
            <w:pPr>
              <w:rPr>
                <w:rFonts w:ascii="宋体" w:hAnsi="宋体" w:cs="宋体"/>
              </w:rPr>
            </w:pPr>
            <w:r>
              <w:rPr>
                <w:rFonts w:hint="eastAsia" w:ascii="宋体" w:hAnsi="宋体" w:cs="宋体"/>
              </w:rPr>
              <w:t>期权的种类</w:t>
            </w:r>
          </w:p>
        </w:tc>
      </w:tr>
      <w:tr w14:paraId="1813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restart"/>
          </w:tcPr>
          <w:p w14:paraId="696EB77B">
            <w:pPr>
              <w:rPr>
                <w:rFonts w:ascii="宋体" w:hAnsi="宋体" w:cs="宋体"/>
              </w:rPr>
            </w:pPr>
            <w:r>
              <w:rPr>
                <w:rFonts w:hint="eastAsia" w:ascii="宋体" w:hAnsi="宋体" w:cs="宋体"/>
              </w:rPr>
              <w:t>按执行时间的不同</w:t>
            </w:r>
          </w:p>
        </w:tc>
        <w:tc>
          <w:tcPr>
            <w:tcW w:w="3715" w:type="pct"/>
          </w:tcPr>
          <w:p w14:paraId="639CE429">
            <w:pPr>
              <w:rPr>
                <w:rFonts w:ascii="宋体" w:hAnsi="宋体" w:cs="宋体"/>
              </w:rPr>
            </w:pPr>
            <w:r>
              <w:rPr>
                <w:rFonts w:hint="eastAsia" w:ascii="宋体" w:hAnsi="宋体" w:cs="宋体"/>
              </w:rPr>
              <w:t>欧式期权：只能在到期日行权。</w:t>
            </w:r>
          </w:p>
        </w:tc>
      </w:tr>
      <w:tr w14:paraId="0842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continue"/>
          </w:tcPr>
          <w:p w14:paraId="5240C1E1">
            <w:pPr>
              <w:jc w:val="left"/>
              <w:rPr>
                <w:rFonts w:ascii="宋体" w:hAnsi="宋体" w:cs="宋体"/>
              </w:rPr>
            </w:pPr>
          </w:p>
        </w:tc>
        <w:tc>
          <w:tcPr>
            <w:tcW w:w="3715" w:type="pct"/>
          </w:tcPr>
          <w:p w14:paraId="73132CC9">
            <w:pPr>
              <w:rPr>
                <w:rFonts w:ascii="宋体" w:hAnsi="宋体" w:cs="宋体"/>
              </w:rPr>
            </w:pPr>
            <w:r>
              <w:rPr>
                <w:rFonts w:hint="eastAsia" w:ascii="宋体" w:hAnsi="宋体" w:cs="宋体"/>
              </w:rPr>
              <w:t>美式期权：可以在到期日前任何时点行权。</w:t>
            </w:r>
          </w:p>
        </w:tc>
      </w:tr>
      <w:tr w14:paraId="2D28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restart"/>
          </w:tcPr>
          <w:p w14:paraId="6A8EB4FB">
            <w:pPr>
              <w:rPr>
                <w:rFonts w:ascii="宋体" w:hAnsi="宋体" w:cs="宋体"/>
              </w:rPr>
            </w:pPr>
            <w:r>
              <w:rPr>
                <w:rFonts w:hint="eastAsia" w:ascii="宋体" w:hAnsi="宋体" w:cs="宋体"/>
              </w:rPr>
              <w:t>按期权买方的权利不同</w:t>
            </w:r>
          </w:p>
        </w:tc>
        <w:tc>
          <w:tcPr>
            <w:tcW w:w="3715" w:type="pct"/>
          </w:tcPr>
          <w:p w14:paraId="29A3969F">
            <w:pPr>
              <w:rPr>
                <w:rFonts w:ascii="宋体" w:hAnsi="宋体" w:cs="宋体"/>
              </w:rPr>
            </w:pPr>
            <w:r>
              <w:rPr>
                <w:rFonts w:hint="eastAsia" w:ascii="宋体" w:hAnsi="宋体" w:cs="宋体"/>
              </w:rPr>
              <w:t>看涨期权：指期权赋予持有人在到期日或到期日之前任何时间，以固定价格购买标的资产的权利。</w:t>
            </w:r>
          </w:p>
        </w:tc>
      </w:tr>
      <w:tr w14:paraId="7E2D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pct"/>
            <w:vMerge w:val="continue"/>
          </w:tcPr>
          <w:p w14:paraId="7532CD47">
            <w:pPr>
              <w:jc w:val="left"/>
              <w:rPr>
                <w:rFonts w:ascii="宋体" w:hAnsi="宋体" w:cs="宋体"/>
              </w:rPr>
            </w:pPr>
          </w:p>
        </w:tc>
        <w:tc>
          <w:tcPr>
            <w:tcW w:w="3715" w:type="pct"/>
          </w:tcPr>
          <w:p w14:paraId="03106011">
            <w:pPr>
              <w:rPr>
                <w:rFonts w:ascii="宋体" w:hAnsi="宋体" w:cs="宋体"/>
              </w:rPr>
            </w:pPr>
            <w:r>
              <w:rPr>
                <w:rFonts w:hint="eastAsia" w:ascii="宋体" w:hAnsi="宋体" w:cs="宋体"/>
              </w:rPr>
              <w:t>看跌期权：指期权赋予持有人在到期日或到期日之前任何时间，以固定价格出售标的资产的权利。</w:t>
            </w:r>
          </w:p>
        </w:tc>
      </w:tr>
    </w:tbl>
    <w:p w14:paraId="631F93E4">
      <w:pPr>
        <w:jc w:val="left"/>
        <w:rPr>
          <w:rFonts w:ascii="宋体" w:hAnsi="宋体" w:cs="宋体"/>
        </w:rPr>
      </w:pPr>
      <w:r>
        <w:rPr>
          <w:rFonts w:hint="eastAsia" w:ascii="宋体" w:hAnsi="宋体" w:cs="宋体"/>
        </w:rPr>
        <w:t>（三）期权到期日价值与净损益的计算</w:t>
      </w:r>
    </w:p>
    <w:p w14:paraId="06B5B86B">
      <w:pPr>
        <w:jc w:val="left"/>
        <w:rPr>
          <w:rFonts w:ascii="宋体" w:hAnsi="宋体" w:cs="宋体"/>
        </w:rPr>
      </w:pPr>
      <w:r>
        <w:rPr>
          <w:rFonts w:hint="eastAsia" w:ascii="宋体" w:hAnsi="宋体" w:cs="宋体"/>
        </w:rPr>
        <w:t>1.买入看涨期权合约</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6953"/>
      </w:tblGrid>
      <w:tr w14:paraId="7D06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tcPr>
          <w:p w14:paraId="0D501FB5">
            <w:pPr>
              <w:jc w:val="left"/>
              <w:rPr>
                <w:rFonts w:ascii="宋体" w:hAnsi="宋体" w:cs="宋体"/>
              </w:rPr>
            </w:pPr>
            <w:r>
              <w:rPr>
                <w:rFonts w:hint="eastAsia" w:ascii="宋体" w:hAnsi="宋体" w:cs="宋体"/>
              </w:rPr>
              <w:t>买入看涨期权到期日价值V</w:t>
            </w:r>
          </w:p>
          <w:p w14:paraId="4C0B2228">
            <w:pPr>
              <w:jc w:val="left"/>
              <w:rPr>
                <w:rFonts w:ascii="宋体" w:hAnsi="宋体" w:cs="宋体"/>
              </w:rPr>
            </w:pPr>
            <w:r>
              <w:rPr>
                <w:rFonts w:hint="eastAsia" w:ascii="宋体" w:hAnsi="宋体" w:cs="宋体"/>
              </w:rPr>
              <w:t> </w:t>
            </w:r>
          </w:p>
        </w:tc>
        <w:tc>
          <w:tcPr>
            <w:tcW w:w="3429" w:type="pct"/>
          </w:tcPr>
          <w:p w14:paraId="1489D79E">
            <w:pPr>
              <w:jc w:val="left"/>
              <w:rPr>
                <w:rFonts w:ascii="宋体" w:hAnsi="宋体" w:cs="宋体"/>
              </w:rPr>
            </w:pPr>
            <w:r>
              <w:rPr>
                <w:rFonts w:hint="eastAsia" w:ascii="宋体" w:hAnsi="宋体" w:cs="宋体"/>
              </w:rPr>
              <w:t>若到期日标的资产市价Am大于执行价格X，期权持有人会选择执行期权。</w:t>
            </w:r>
          </w:p>
          <w:p w14:paraId="635AF40E">
            <w:pPr>
              <w:jc w:val="left"/>
              <w:rPr>
                <w:rFonts w:ascii="宋体" w:hAnsi="宋体" w:cs="宋体"/>
              </w:rPr>
            </w:pPr>
            <w:r>
              <w:rPr>
                <w:rFonts w:hint="eastAsia" w:ascii="宋体" w:hAnsi="宋体" w:cs="宋体"/>
              </w:rPr>
              <w:t>买入看涨期权的到期日价值=Max（Am-X，0）</w:t>
            </w:r>
          </w:p>
          <w:p w14:paraId="1AAC53D7">
            <w:pPr>
              <w:jc w:val="left"/>
              <w:rPr>
                <w:rFonts w:ascii="宋体" w:hAnsi="宋体" w:cs="宋体"/>
              </w:rPr>
            </w:pPr>
            <w:r>
              <w:rPr>
                <w:rFonts w:hint="eastAsia" w:ascii="宋体" w:hAnsi="宋体" w:cs="宋体"/>
              </w:rPr>
              <w:t>其中：Am：标的资产市价；     X：期权执行价格</w:t>
            </w:r>
          </w:p>
        </w:tc>
      </w:tr>
      <w:tr w14:paraId="0239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1" w:type="pct"/>
          </w:tcPr>
          <w:p w14:paraId="5FD87A4B">
            <w:pPr>
              <w:jc w:val="left"/>
              <w:rPr>
                <w:rFonts w:ascii="宋体" w:hAnsi="宋体" w:cs="宋体"/>
              </w:rPr>
            </w:pPr>
            <w:r>
              <w:rPr>
                <w:rFonts w:hint="eastAsia" w:ascii="宋体" w:hAnsi="宋体" w:cs="宋体"/>
              </w:rPr>
              <w:t>买入看涨期权到期日净损益P</w:t>
            </w:r>
          </w:p>
        </w:tc>
        <w:tc>
          <w:tcPr>
            <w:tcW w:w="3429" w:type="pct"/>
          </w:tcPr>
          <w:p w14:paraId="07A2B450">
            <w:pPr>
              <w:jc w:val="left"/>
              <w:rPr>
                <w:rFonts w:ascii="宋体" w:hAnsi="宋体" w:cs="宋体"/>
              </w:rPr>
            </w:pPr>
            <w:r>
              <w:rPr>
                <w:rFonts w:hint="eastAsia" w:ascii="宋体" w:hAnsi="宋体" w:cs="宋体"/>
              </w:rPr>
              <w:t>P=V-期权费用 =MAX（Am-X,0）-期权费用</w:t>
            </w:r>
          </w:p>
        </w:tc>
      </w:tr>
    </w:tbl>
    <w:p w14:paraId="004902B5">
      <w:pPr>
        <w:jc w:val="left"/>
        <w:rPr>
          <w:rFonts w:ascii="宋体" w:hAnsi="宋体" w:cs="宋体"/>
        </w:rPr>
      </w:pPr>
      <w:r>
        <w:rPr>
          <w:rFonts w:hint="eastAsia" w:ascii="宋体" w:hAnsi="宋体" w:cs="宋体"/>
          <w:color w:val="FF0000"/>
        </w:rPr>
        <w:t>【提示】</w:t>
      </w:r>
      <w:r>
        <w:rPr>
          <w:rFonts w:hint="eastAsia" w:ascii="宋体" w:hAnsi="宋体" w:cs="宋体"/>
        </w:rPr>
        <w:t>买入看涨期权方的净损益损失最大为期权费用，净收益则没有上限</w:t>
      </w:r>
    </w:p>
    <w:p w14:paraId="46405976">
      <w:pPr>
        <w:jc w:val="left"/>
        <w:rPr>
          <w:rFonts w:ascii="宋体" w:hAnsi="宋体" w:cs="宋体"/>
        </w:rPr>
      </w:pPr>
      <w:r>
        <w:rPr>
          <w:rFonts w:hint="eastAsia" w:ascii="宋体" w:hAnsi="宋体" w:cs="宋体"/>
        </w:rPr>
        <w:t>【例】王某花2元/份购入以A股票为标的的欧式看涨期权，期限为三个月，执行价格为20元/股：</w:t>
      </w:r>
    </w:p>
    <w:p w14:paraId="3885742F">
      <w:pPr>
        <w:jc w:val="left"/>
        <w:rPr>
          <w:rFonts w:ascii="宋体" w:hAnsi="宋体" w:cs="宋体"/>
        </w:rPr>
      </w:pPr>
      <w:r>
        <w:rPr>
          <w:rFonts w:hint="eastAsia" w:ascii="宋体" w:hAnsi="宋体" w:cs="宋体"/>
        </w:rPr>
        <w:t>（1）若三个月后市价为23元/股</w:t>
      </w:r>
    </w:p>
    <w:p w14:paraId="37F0B293">
      <w:pPr>
        <w:jc w:val="left"/>
        <w:rPr>
          <w:rFonts w:ascii="宋体" w:hAnsi="宋体" w:cs="宋体"/>
        </w:rPr>
      </w:pPr>
      <w:r>
        <w:rPr>
          <w:rFonts w:hint="eastAsia" w:ascii="宋体" w:hAnsi="宋体" w:cs="宋体"/>
        </w:rPr>
        <w:t>应该行权，期权到期日价值为3元（23元-20元），期权净损益为1元（3元-2元）。</w:t>
      </w:r>
    </w:p>
    <w:p w14:paraId="02BEA717">
      <w:pPr>
        <w:jc w:val="left"/>
        <w:rPr>
          <w:rFonts w:ascii="宋体" w:hAnsi="宋体" w:cs="宋体"/>
        </w:rPr>
      </w:pPr>
      <w:r>
        <w:rPr>
          <w:rFonts w:hint="eastAsia" w:ascii="宋体" w:hAnsi="宋体" w:cs="宋体"/>
        </w:rPr>
        <w:t>（2）若三个月后市价为21元/股</w:t>
      </w:r>
    </w:p>
    <w:p w14:paraId="5BEF785F">
      <w:pPr>
        <w:jc w:val="left"/>
        <w:rPr>
          <w:rFonts w:ascii="宋体" w:hAnsi="宋体" w:cs="宋体"/>
        </w:rPr>
      </w:pPr>
      <w:r>
        <w:rPr>
          <w:rFonts w:hint="eastAsia" w:ascii="宋体" w:hAnsi="宋体" w:cs="宋体"/>
        </w:rPr>
        <w:t>应该行权，期权到期日价值为1元，期权净损益为-1（1-2）。</w:t>
      </w:r>
    </w:p>
    <w:p w14:paraId="3232D7A9">
      <w:pPr>
        <w:jc w:val="left"/>
        <w:rPr>
          <w:rFonts w:ascii="宋体" w:hAnsi="宋体" w:cs="宋体"/>
        </w:rPr>
      </w:pPr>
      <w:r>
        <w:rPr>
          <w:rFonts w:hint="eastAsia" w:ascii="宋体" w:hAnsi="宋体" w:cs="宋体"/>
        </w:rPr>
        <w:t>（3）若三个月后市价为19元/股</w:t>
      </w:r>
    </w:p>
    <w:p w14:paraId="34302BAF">
      <w:pPr>
        <w:jc w:val="left"/>
        <w:rPr>
          <w:rFonts w:ascii="宋体" w:hAnsi="宋体" w:cs="宋体"/>
        </w:rPr>
      </w:pPr>
      <w:r>
        <w:rPr>
          <w:rFonts w:hint="eastAsia" w:ascii="宋体" w:hAnsi="宋体" w:cs="宋体"/>
        </w:rPr>
        <w:t>不行权，期权到期日价值为0元，期权净损益为-2（0-2）。</w:t>
      </w:r>
      <w:r>
        <w:rPr>
          <w:rFonts w:hint="eastAsia" w:ascii="宋体" w:hAnsi="宋体" w:cs="宋体"/>
        </w:rPr>
        <w:tab/>
      </w:r>
    </w:p>
    <w:p w14:paraId="02F43196">
      <w:pPr>
        <w:jc w:val="left"/>
        <w:rPr>
          <w:rFonts w:ascii="宋体" w:hAnsi="宋体" w:cs="宋体"/>
        </w:rPr>
      </w:pPr>
    </w:p>
    <w:p w14:paraId="7DD2E57C">
      <w:pPr>
        <w:jc w:val="left"/>
        <w:rPr>
          <w:rFonts w:ascii="宋体" w:hAnsi="宋体" w:cs="宋体"/>
        </w:rPr>
      </w:pPr>
      <w:r>
        <w:rPr>
          <w:rFonts w:hint="eastAsia" w:ascii="宋体" w:hAnsi="宋体" w:cs="宋体"/>
        </w:rPr>
        <w:t>【单选题】（2023年）关于投资者买入看涨期权的净损失，下列表述正确的是（  ）。</w:t>
      </w:r>
    </w:p>
    <w:p w14:paraId="599DE5CE">
      <w:pPr>
        <w:jc w:val="left"/>
        <w:rPr>
          <w:rFonts w:ascii="宋体" w:hAnsi="宋体" w:cs="宋体"/>
        </w:rPr>
      </w:pPr>
      <w:r>
        <w:rPr>
          <w:rFonts w:hint="eastAsia" w:ascii="宋体" w:hAnsi="宋体" w:cs="宋体"/>
        </w:rPr>
        <w:t>A.净损失最大为 0</w:t>
      </w:r>
    </w:p>
    <w:p w14:paraId="7C70AF20">
      <w:pPr>
        <w:jc w:val="left"/>
        <w:rPr>
          <w:rFonts w:ascii="宋体" w:hAnsi="宋体" w:cs="宋体"/>
        </w:rPr>
      </w:pPr>
      <w:r>
        <w:rPr>
          <w:rFonts w:hint="eastAsia" w:ascii="宋体" w:hAnsi="宋体" w:cs="宋体"/>
        </w:rPr>
        <w:t>B.净损失最大为标的资产市场价格</w:t>
      </w:r>
    </w:p>
    <w:p w14:paraId="4F59FDB7">
      <w:pPr>
        <w:jc w:val="left"/>
        <w:rPr>
          <w:rFonts w:ascii="宋体" w:hAnsi="宋体" w:cs="宋体"/>
        </w:rPr>
      </w:pPr>
      <w:r>
        <w:rPr>
          <w:rFonts w:hint="eastAsia" w:ascii="宋体" w:hAnsi="宋体" w:cs="宋体"/>
        </w:rPr>
        <w:t>C.净损失最大为期权费用</w:t>
      </w:r>
    </w:p>
    <w:p w14:paraId="12102FF1">
      <w:pPr>
        <w:jc w:val="left"/>
        <w:rPr>
          <w:rFonts w:ascii="宋体" w:hAnsi="宋体" w:cs="宋体"/>
        </w:rPr>
      </w:pPr>
      <w:r>
        <w:rPr>
          <w:rFonts w:hint="eastAsia" w:ascii="宋体" w:hAnsi="宋体" w:cs="宋体"/>
        </w:rPr>
        <w:t>D.净损失最大为执行价格</w:t>
      </w:r>
    </w:p>
    <w:p w14:paraId="0DAFF1AA">
      <w:pPr>
        <w:jc w:val="left"/>
        <w:rPr>
          <w:rFonts w:ascii="宋体" w:hAnsi="宋体" w:cs="宋体"/>
        </w:rPr>
      </w:pPr>
      <w:r>
        <w:rPr>
          <w:rFonts w:hint="eastAsia" w:ascii="宋体" w:hAnsi="宋体" w:cs="宋体"/>
        </w:rPr>
        <w:t>答案：C</w:t>
      </w:r>
    </w:p>
    <w:p w14:paraId="3635C9E4">
      <w:pPr>
        <w:jc w:val="left"/>
        <w:rPr>
          <w:rFonts w:ascii="宋体" w:hAnsi="宋体" w:cs="宋体"/>
        </w:rPr>
      </w:pPr>
      <w:r>
        <w:rPr>
          <w:rFonts w:hint="eastAsia" w:ascii="宋体" w:hAnsi="宋体" w:cs="宋体"/>
        </w:rPr>
        <w:t>解析：买入看涨期权的净损益=max(到期日标的资产市场价格-执行价格，0)-期权费用，因此买入看涨期权的到期日价值最小值为0，所以买入看涨期权的净损失最大为期权费用，选项C 正确。</w:t>
      </w:r>
    </w:p>
    <w:p w14:paraId="0BDCF93B">
      <w:pPr>
        <w:jc w:val="left"/>
        <w:rPr>
          <w:rFonts w:ascii="宋体" w:hAnsi="宋体" w:cs="宋体"/>
        </w:rPr>
      </w:pPr>
    </w:p>
    <w:p w14:paraId="687BB116">
      <w:pPr>
        <w:jc w:val="left"/>
        <w:rPr>
          <w:rFonts w:ascii="宋体" w:hAnsi="宋体" w:cs="宋体"/>
        </w:rPr>
      </w:pPr>
      <w:r>
        <w:rPr>
          <w:rFonts w:hint="eastAsia" w:ascii="宋体" w:hAnsi="宋体" w:cs="宋体"/>
        </w:rPr>
        <w:t>【多选题】甲公司股票目前市价为20元，有1股以该股票为标的资产的看涨期权，期限为6个月，执行价格为24元，期权价格为4元。若到期日股价为30元，则下列各项中，正确的有（ ）。</w:t>
      </w:r>
    </w:p>
    <w:p w14:paraId="41F598AE">
      <w:pPr>
        <w:jc w:val="left"/>
        <w:rPr>
          <w:rFonts w:ascii="宋体" w:hAnsi="宋体" w:cs="宋体"/>
        </w:rPr>
      </w:pPr>
      <w:r>
        <w:rPr>
          <w:rFonts w:hint="eastAsia" w:ascii="宋体" w:hAnsi="宋体" w:cs="宋体"/>
        </w:rPr>
        <w:t>A.买入看涨期权到期日价值为6元</w:t>
      </w:r>
    </w:p>
    <w:p w14:paraId="249F2460">
      <w:pPr>
        <w:jc w:val="left"/>
        <w:rPr>
          <w:rFonts w:ascii="宋体" w:hAnsi="宋体" w:cs="宋体"/>
        </w:rPr>
      </w:pPr>
      <w:r>
        <w:rPr>
          <w:rFonts w:hint="eastAsia" w:ascii="宋体" w:hAnsi="宋体" w:cs="宋体"/>
        </w:rPr>
        <w:t>B.买入看涨期权到期日价值为-6元</w:t>
      </w:r>
    </w:p>
    <w:p w14:paraId="6764A1D7">
      <w:pPr>
        <w:jc w:val="left"/>
        <w:rPr>
          <w:rFonts w:ascii="宋体" w:hAnsi="宋体" w:cs="宋体"/>
        </w:rPr>
      </w:pPr>
      <w:r>
        <w:rPr>
          <w:rFonts w:hint="eastAsia" w:ascii="宋体" w:hAnsi="宋体" w:cs="宋体"/>
        </w:rPr>
        <w:t>C.买入看涨期权净损益为2元</w:t>
      </w:r>
    </w:p>
    <w:p w14:paraId="7FD8A80F">
      <w:pPr>
        <w:jc w:val="left"/>
        <w:rPr>
          <w:rFonts w:ascii="宋体" w:hAnsi="宋体" w:cs="宋体"/>
        </w:rPr>
      </w:pPr>
      <w:r>
        <w:rPr>
          <w:rFonts w:hint="eastAsia" w:ascii="宋体" w:hAnsi="宋体" w:cs="宋体"/>
        </w:rPr>
        <w:t>D.买入看涨期权净损益为-2元</w:t>
      </w:r>
    </w:p>
    <w:p w14:paraId="623F9980">
      <w:pPr>
        <w:jc w:val="left"/>
        <w:rPr>
          <w:rFonts w:ascii="宋体" w:hAnsi="宋体" w:cs="宋体"/>
        </w:rPr>
      </w:pPr>
      <w:r>
        <w:rPr>
          <w:rFonts w:hint="eastAsia" w:ascii="宋体" w:hAnsi="宋体" w:cs="宋体"/>
        </w:rPr>
        <w:t>答案：AC</w:t>
      </w:r>
    </w:p>
    <w:p w14:paraId="7512F84A">
      <w:pPr>
        <w:jc w:val="left"/>
        <w:rPr>
          <w:rFonts w:ascii="宋体" w:hAnsi="宋体" w:cs="宋体"/>
        </w:rPr>
      </w:pPr>
      <w:r>
        <w:rPr>
          <w:rFonts w:hint="eastAsia" w:ascii="宋体" w:hAnsi="宋体" w:cs="宋体"/>
        </w:rPr>
        <w:t>解析：买入看涨期权到期日价值为=30-24=6（元）；买入看涨期权净损益=6-4=2（元）</w:t>
      </w:r>
    </w:p>
    <w:p w14:paraId="770F0A78">
      <w:pPr>
        <w:jc w:val="left"/>
        <w:rPr>
          <w:rFonts w:ascii="宋体" w:hAnsi="宋体" w:cs="宋体"/>
        </w:rPr>
      </w:pPr>
    </w:p>
    <w:p w14:paraId="0FAC95CA">
      <w:pPr>
        <w:jc w:val="left"/>
        <w:rPr>
          <w:rFonts w:ascii="宋体" w:hAnsi="宋体" w:cs="宋体"/>
        </w:rPr>
      </w:pPr>
      <w:r>
        <w:rPr>
          <w:rFonts w:hint="eastAsia" w:ascii="宋体" w:hAnsi="宋体" w:cs="宋体"/>
        </w:rPr>
        <w:t>2.卖出看涨期权合约</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0C58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7268B4D">
            <w:pPr>
              <w:jc w:val="left"/>
              <w:rPr>
                <w:rFonts w:ascii="宋体" w:hAnsi="宋体" w:cs="宋体"/>
              </w:rPr>
            </w:pPr>
            <w:r>
              <w:rPr>
                <w:rFonts w:hint="eastAsia" w:ascii="宋体" w:hAnsi="宋体" w:cs="宋体"/>
              </w:rPr>
              <w:t>卖出看涨期权到期日价值V</w:t>
            </w:r>
          </w:p>
        </w:tc>
        <w:tc>
          <w:tcPr>
            <w:tcW w:w="2500" w:type="pct"/>
          </w:tcPr>
          <w:p w14:paraId="20CC725A">
            <w:pPr>
              <w:jc w:val="left"/>
              <w:rPr>
                <w:rFonts w:ascii="宋体" w:hAnsi="宋体" w:cs="宋体"/>
              </w:rPr>
            </w:pPr>
            <w:r>
              <w:rPr>
                <w:rFonts w:hint="eastAsia" w:ascii="宋体" w:hAnsi="宋体" w:cs="宋体"/>
              </w:rPr>
              <w:t>V=-Max（Am-X，0）</w:t>
            </w:r>
          </w:p>
        </w:tc>
      </w:tr>
      <w:tr w14:paraId="5AD7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53F20B3B">
            <w:pPr>
              <w:jc w:val="left"/>
              <w:rPr>
                <w:rFonts w:ascii="宋体" w:hAnsi="宋体" w:cs="宋体"/>
              </w:rPr>
            </w:pPr>
            <w:r>
              <w:rPr>
                <w:rFonts w:hint="eastAsia" w:ascii="宋体" w:hAnsi="宋体" w:cs="宋体"/>
              </w:rPr>
              <w:t>卖出看涨期权到期日净损益P</w:t>
            </w:r>
          </w:p>
        </w:tc>
        <w:tc>
          <w:tcPr>
            <w:tcW w:w="2500" w:type="pct"/>
          </w:tcPr>
          <w:p w14:paraId="73072E92">
            <w:pPr>
              <w:jc w:val="left"/>
              <w:rPr>
                <w:rFonts w:ascii="宋体" w:hAnsi="宋体" w:cs="宋体"/>
              </w:rPr>
            </w:pPr>
            <w:r>
              <w:rPr>
                <w:rFonts w:hint="eastAsia" w:ascii="宋体" w:hAnsi="宋体" w:cs="宋体"/>
              </w:rPr>
              <w:t>P=V+期权费用</w:t>
            </w:r>
          </w:p>
        </w:tc>
      </w:tr>
    </w:tbl>
    <w:p w14:paraId="3C36CA2F">
      <w:pPr>
        <w:jc w:val="left"/>
        <w:rPr>
          <w:rFonts w:ascii="宋体" w:hAnsi="宋体" w:cs="宋体"/>
        </w:rPr>
      </w:pPr>
      <w:r>
        <w:rPr>
          <w:rFonts w:hint="eastAsia" w:ascii="宋体" w:hAnsi="宋体" w:cs="宋体"/>
          <w:color w:val="FF0000"/>
        </w:rPr>
        <w:t>【提示】</w:t>
      </w:r>
      <w:r>
        <w:rPr>
          <w:rFonts w:hint="eastAsia" w:ascii="宋体" w:hAnsi="宋体" w:cs="宋体"/>
        </w:rPr>
        <w:t>卖出看涨期权方的净损失没有下限，净收益最大为期权费用</w:t>
      </w:r>
    </w:p>
    <w:p w14:paraId="39345D5A">
      <w:pPr>
        <w:jc w:val="left"/>
        <w:rPr>
          <w:rFonts w:ascii="宋体" w:hAnsi="宋体" w:cs="宋体"/>
        </w:rPr>
      </w:pPr>
      <w:r>
        <w:rPr>
          <w:rFonts w:hint="eastAsia" w:ascii="宋体" w:hAnsi="宋体" w:cs="宋体"/>
        </w:rPr>
        <w:t>【例】王某花2元/份购入以A股票为标的的欧式看跌期权，期限为三个月，执行价格为20元/股：</w:t>
      </w:r>
    </w:p>
    <w:p w14:paraId="2B59802C">
      <w:pPr>
        <w:jc w:val="left"/>
        <w:rPr>
          <w:rFonts w:ascii="宋体" w:hAnsi="宋体" w:cs="宋体"/>
        </w:rPr>
      </w:pPr>
      <w:r>
        <w:rPr>
          <w:rFonts w:hint="eastAsia" w:ascii="宋体" w:hAnsi="宋体" w:cs="宋体"/>
        </w:rPr>
        <w:t>（1）若三个月后市价为17元/股</w:t>
      </w:r>
    </w:p>
    <w:p w14:paraId="1A01C4EE">
      <w:pPr>
        <w:jc w:val="left"/>
        <w:rPr>
          <w:rFonts w:ascii="宋体" w:hAnsi="宋体" w:cs="宋体"/>
        </w:rPr>
      </w:pPr>
      <w:r>
        <w:rPr>
          <w:rFonts w:hint="eastAsia" w:ascii="宋体" w:hAnsi="宋体" w:cs="宋体"/>
        </w:rPr>
        <w:t>应该行权，期权净收入（即到期日价值）为3元（20元-17元），期权净损益为1元（3-2）。</w:t>
      </w:r>
    </w:p>
    <w:p w14:paraId="7EAA1815">
      <w:pPr>
        <w:jc w:val="left"/>
        <w:rPr>
          <w:rFonts w:ascii="宋体" w:hAnsi="宋体" w:cs="宋体"/>
        </w:rPr>
      </w:pPr>
      <w:r>
        <w:rPr>
          <w:rFonts w:hint="eastAsia" w:ascii="宋体" w:hAnsi="宋体" w:cs="宋体"/>
        </w:rPr>
        <w:t>（2）若三个月后市价为19元/股</w:t>
      </w:r>
    </w:p>
    <w:p w14:paraId="28001426">
      <w:pPr>
        <w:jc w:val="left"/>
        <w:rPr>
          <w:rFonts w:ascii="宋体" w:hAnsi="宋体" w:cs="宋体"/>
        </w:rPr>
      </w:pPr>
      <w:r>
        <w:rPr>
          <w:rFonts w:hint="eastAsia" w:ascii="宋体" w:hAnsi="宋体" w:cs="宋体"/>
        </w:rPr>
        <w:t>应该行权，期权净收入（即到期日价值）为1元，期权净损益为-1（1-2）。</w:t>
      </w:r>
    </w:p>
    <w:p w14:paraId="7553D75F">
      <w:pPr>
        <w:jc w:val="left"/>
        <w:rPr>
          <w:rFonts w:ascii="宋体" w:hAnsi="宋体" w:cs="宋体"/>
        </w:rPr>
      </w:pPr>
      <w:r>
        <w:rPr>
          <w:rFonts w:hint="eastAsia" w:ascii="宋体" w:hAnsi="宋体" w:cs="宋体"/>
        </w:rPr>
        <w:t>（3）若三个月后市价为21元/股</w:t>
      </w:r>
    </w:p>
    <w:p w14:paraId="4EAA4C98">
      <w:pPr>
        <w:jc w:val="left"/>
        <w:rPr>
          <w:rFonts w:ascii="宋体" w:hAnsi="宋体" w:cs="宋体"/>
        </w:rPr>
      </w:pPr>
      <w:r>
        <w:rPr>
          <w:rFonts w:hint="eastAsia" w:ascii="宋体" w:hAnsi="宋体" w:cs="宋体"/>
        </w:rPr>
        <w:t>不行权，期权净收入（即到期日价值）为为0元，期权净损益为-2（0-2）。</w:t>
      </w:r>
    </w:p>
    <w:p w14:paraId="51B26132">
      <w:pPr>
        <w:jc w:val="left"/>
        <w:rPr>
          <w:rFonts w:ascii="宋体" w:hAnsi="宋体" w:cs="宋体"/>
        </w:rPr>
      </w:pPr>
      <w:r>
        <w:rPr>
          <w:rFonts w:hint="eastAsia" w:ascii="宋体" w:hAnsi="宋体" w:cs="宋体"/>
        </w:rPr>
        <w:t>3.买入看跌期权合约</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9"/>
        <w:gridCol w:w="7099"/>
      </w:tblGrid>
      <w:tr w14:paraId="28C3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2D3FCB6F">
            <w:pPr>
              <w:jc w:val="left"/>
              <w:rPr>
                <w:rFonts w:ascii="宋体" w:hAnsi="宋体" w:cs="宋体"/>
              </w:rPr>
            </w:pPr>
            <w:r>
              <w:rPr>
                <w:rFonts w:hint="eastAsia" w:ascii="宋体" w:hAnsi="宋体" w:cs="宋体"/>
              </w:rPr>
              <w:t>买入看跌期权到期日价值V</w:t>
            </w:r>
          </w:p>
        </w:tc>
        <w:tc>
          <w:tcPr>
            <w:tcW w:w="3501" w:type="pct"/>
          </w:tcPr>
          <w:p w14:paraId="6475D2FC">
            <w:pPr>
              <w:jc w:val="left"/>
              <w:rPr>
                <w:rFonts w:ascii="宋体" w:hAnsi="宋体" w:cs="宋体"/>
              </w:rPr>
            </w:pPr>
            <w:r>
              <w:rPr>
                <w:rFonts w:hint="eastAsia" w:ascii="宋体" w:hAnsi="宋体" w:cs="宋体"/>
              </w:rPr>
              <w:t>若到期日标的资产市价Am小于执行价格X，期权持有人会选择执行期权。</w:t>
            </w:r>
          </w:p>
          <w:p w14:paraId="6A486ACF">
            <w:pPr>
              <w:jc w:val="left"/>
              <w:rPr>
                <w:rFonts w:ascii="宋体" w:hAnsi="宋体" w:cs="宋体"/>
              </w:rPr>
            </w:pPr>
            <w:r>
              <w:rPr>
                <w:rFonts w:hint="eastAsia" w:ascii="宋体" w:hAnsi="宋体" w:cs="宋体"/>
              </w:rPr>
              <w:t>V=Max（X-Am，0）</w:t>
            </w:r>
          </w:p>
        </w:tc>
      </w:tr>
      <w:tr w14:paraId="21DC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9" w:type="pct"/>
          </w:tcPr>
          <w:p w14:paraId="11B81305">
            <w:pPr>
              <w:jc w:val="left"/>
              <w:rPr>
                <w:rFonts w:ascii="宋体" w:hAnsi="宋体" w:cs="宋体"/>
              </w:rPr>
            </w:pPr>
            <w:r>
              <w:rPr>
                <w:rFonts w:hint="eastAsia" w:ascii="宋体" w:hAnsi="宋体" w:cs="宋体"/>
              </w:rPr>
              <w:t>买入看跌期权到期日净损益P</w:t>
            </w:r>
          </w:p>
        </w:tc>
        <w:tc>
          <w:tcPr>
            <w:tcW w:w="3501" w:type="pct"/>
          </w:tcPr>
          <w:p w14:paraId="4F5248AE">
            <w:pPr>
              <w:jc w:val="left"/>
              <w:rPr>
                <w:rFonts w:ascii="宋体" w:hAnsi="宋体" w:cs="宋体"/>
              </w:rPr>
            </w:pPr>
            <w:r>
              <w:rPr>
                <w:rFonts w:hint="eastAsia" w:ascii="宋体" w:hAnsi="宋体" w:cs="宋体"/>
              </w:rPr>
              <w:t>P=V-期权费用</w:t>
            </w:r>
          </w:p>
        </w:tc>
      </w:tr>
    </w:tbl>
    <w:p w14:paraId="48CFD812">
      <w:pPr>
        <w:jc w:val="left"/>
        <w:rPr>
          <w:rFonts w:ascii="宋体" w:hAnsi="宋体" w:cs="宋体"/>
        </w:rPr>
      </w:pPr>
      <w:r>
        <w:rPr>
          <w:rFonts w:hint="eastAsia" w:ascii="宋体" w:hAnsi="宋体" w:cs="宋体"/>
          <w:color w:val="FF0000"/>
        </w:rPr>
        <w:t>【提示】</w:t>
      </w:r>
      <w:r>
        <w:rPr>
          <w:rFonts w:hint="eastAsia" w:ascii="宋体" w:hAnsi="宋体" w:cs="宋体"/>
        </w:rPr>
        <w:t>买入看跌期权方的净损失最大为期权费用，净收益上线为X-期权费用，即标的资产市场价格Am降至0</w:t>
      </w:r>
    </w:p>
    <w:p w14:paraId="5B9D6790">
      <w:pPr>
        <w:jc w:val="left"/>
        <w:rPr>
          <w:rFonts w:ascii="宋体" w:hAnsi="宋体" w:cs="宋体"/>
        </w:rPr>
      </w:pPr>
      <w:r>
        <w:rPr>
          <w:rFonts w:hint="eastAsia" w:ascii="宋体" w:hAnsi="宋体" w:cs="宋体"/>
        </w:rPr>
        <w:t>4.卖出看跌期权合约</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14:paraId="257D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5FFA3CC9">
            <w:pPr>
              <w:jc w:val="left"/>
              <w:rPr>
                <w:rFonts w:ascii="宋体" w:hAnsi="宋体" w:cs="宋体"/>
              </w:rPr>
            </w:pPr>
            <w:r>
              <w:rPr>
                <w:rFonts w:hint="eastAsia" w:ascii="宋体" w:hAnsi="宋体" w:cs="宋体"/>
              </w:rPr>
              <w:t>卖出看跌期权到期日价值V</w:t>
            </w:r>
          </w:p>
        </w:tc>
        <w:tc>
          <w:tcPr>
            <w:tcW w:w="2500" w:type="pct"/>
          </w:tcPr>
          <w:p w14:paraId="5788FC7B">
            <w:pPr>
              <w:jc w:val="left"/>
              <w:rPr>
                <w:rFonts w:ascii="宋体" w:hAnsi="宋体" w:cs="宋体"/>
              </w:rPr>
            </w:pPr>
            <w:r>
              <w:rPr>
                <w:rFonts w:hint="eastAsia" w:ascii="宋体" w:hAnsi="宋体" w:cs="宋体"/>
              </w:rPr>
              <w:t>V=-Max（X-Am，0）</w:t>
            </w:r>
          </w:p>
        </w:tc>
      </w:tr>
      <w:tr w14:paraId="0545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14:paraId="10CC05FD">
            <w:pPr>
              <w:jc w:val="left"/>
              <w:rPr>
                <w:rFonts w:ascii="宋体" w:hAnsi="宋体" w:cs="宋体"/>
              </w:rPr>
            </w:pPr>
            <w:r>
              <w:rPr>
                <w:rFonts w:hint="eastAsia" w:ascii="宋体" w:hAnsi="宋体" w:cs="宋体"/>
              </w:rPr>
              <w:t>卖出看跌期权到期日净损益P</w:t>
            </w:r>
          </w:p>
        </w:tc>
        <w:tc>
          <w:tcPr>
            <w:tcW w:w="2500" w:type="pct"/>
          </w:tcPr>
          <w:p w14:paraId="7067B6F9">
            <w:pPr>
              <w:jc w:val="left"/>
              <w:rPr>
                <w:rFonts w:ascii="宋体" w:hAnsi="宋体" w:cs="宋体"/>
              </w:rPr>
            </w:pPr>
            <w:r>
              <w:rPr>
                <w:rFonts w:hint="eastAsia" w:ascii="宋体" w:hAnsi="宋体" w:cs="宋体"/>
              </w:rPr>
              <w:t>P=V+期权费用</w:t>
            </w:r>
          </w:p>
        </w:tc>
      </w:tr>
    </w:tbl>
    <w:p w14:paraId="31D9CD2B">
      <w:pPr>
        <w:jc w:val="left"/>
        <w:rPr>
          <w:rFonts w:ascii="宋体" w:hAnsi="宋体" w:cs="宋体"/>
        </w:rPr>
      </w:pPr>
      <w:r>
        <w:rPr>
          <w:rFonts w:hint="eastAsia" w:ascii="宋体" w:hAnsi="宋体" w:cs="宋体"/>
        </w:rPr>
        <w:t>【提示】卖出看跌期权方的净收益最大为期权费用，净损失最大为X-期权费用，即标的资产市场价格Am降至0</w:t>
      </w:r>
    </w:p>
    <w:p w14:paraId="34D80FEE">
      <w:pPr>
        <w:jc w:val="left"/>
        <w:rPr>
          <w:rFonts w:hint="eastAsia" w:ascii="宋体" w:hAnsi="宋体" w:cs="宋体"/>
        </w:rPr>
      </w:pPr>
      <w:r>
        <w:rPr>
          <w:rFonts w:hint="eastAsia" w:ascii="宋体" w:hAnsi="宋体" w:cs="宋体"/>
        </w:rPr>
        <w:t>总结</w:t>
      </w:r>
    </w:p>
    <w:p w14:paraId="6A1DA428">
      <w:pPr>
        <w:jc w:val="left"/>
        <w:rPr>
          <w:rFonts w:ascii="宋体" w:hAnsi="宋体" w:cs="宋体"/>
        </w:rPr>
      </w:pPr>
      <w:r>
        <w:rPr>
          <w:rFonts w:hint="eastAsia" w:ascii="宋体" w:hAnsi="宋体" w:cs="宋体"/>
        </w:rPr>
        <w:drawing>
          <wp:inline distT="0" distB="0" distL="114300" distR="114300">
            <wp:extent cx="3870960" cy="5104765"/>
            <wp:effectExtent l="0" t="0" r="152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0"/>
                    <a:stretch>
                      <a:fillRect/>
                    </a:stretch>
                  </pic:blipFill>
                  <pic:spPr>
                    <a:xfrm>
                      <a:off x="0" y="0"/>
                      <a:ext cx="3870960" cy="5104765"/>
                    </a:xfrm>
                    <a:prstGeom prst="rect">
                      <a:avLst/>
                    </a:prstGeom>
                    <a:noFill/>
                    <a:ln>
                      <a:noFill/>
                    </a:ln>
                  </pic:spPr>
                </pic:pic>
              </a:graphicData>
            </a:graphic>
          </wp:inline>
        </w:drawing>
      </w:r>
    </w:p>
    <w:p w14:paraId="68F8DECD">
      <w:pPr>
        <w:jc w:val="left"/>
        <w:rPr>
          <w:rFonts w:hint="eastAsia" w:ascii="宋体" w:hAnsi="宋体" w:cs="宋体"/>
        </w:rPr>
      </w:pPr>
      <w:bookmarkStart w:id="0" w:name="_GoBack"/>
      <w:bookmarkEnd w:id="0"/>
    </w:p>
    <w:sectPr>
      <w:pgSz w:w="11906" w:h="16838"/>
      <w:pgMar w:top="850" w:right="850" w:bottom="85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M0YTRhZWZiMTg1YWU3YjQ2ZjIxZWJlYjA3MDI5ZjAifQ=="/>
  </w:docVars>
  <w:rsids>
    <w:rsidRoot w:val="135D5531"/>
    <w:rsid w:val="000420B2"/>
    <w:rsid w:val="000F76C1"/>
    <w:rsid w:val="001F192C"/>
    <w:rsid w:val="00263D61"/>
    <w:rsid w:val="002A1721"/>
    <w:rsid w:val="003B71E3"/>
    <w:rsid w:val="00401D9A"/>
    <w:rsid w:val="00515E9F"/>
    <w:rsid w:val="00687A40"/>
    <w:rsid w:val="009036D3"/>
    <w:rsid w:val="00A36AE3"/>
    <w:rsid w:val="00AA0512"/>
    <w:rsid w:val="00AC2ED9"/>
    <w:rsid w:val="00AE0A92"/>
    <w:rsid w:val="00B80ABF"/>
    <w:rsid w:val="00F50C80"/>
    <w:rsid w:val="00F64395"/>
    <w:rsid w:val="00F958C2"/>
    <w:rsid w:val="04043713"/>
    <w:rsid w:val="06F537E7"/>
    <w:rsid w:val="078B5EF9"/>
    <w:rsid w:val="08BA0844"/>
    <w:rsid w:val="0C2030B4"/>
    <w:rsid w:val="0E99714E"/>
    <w:rsid w:val="135D5531"/>
    <w:rsid w:val="14E37374"/>
    <w:rsid w:val="1684659B"/>
    <w:rsid w:val="17417CFA"/>
    <w:rsid w:val="182757CA"/>
    <w:rsid w:val="19A05834"/>
    <w:rsid w:val="1AA11864"/>
    <w:rsid w:val="212B00D9"/>
    <w:rsid w:val="236C49D9"/>
    <w:rsid w:val="2587D78F"/>
    <w:rsid w:val="2A1A518F"/>
    <w:rsid w:val="2C0559CB"/>
    <w:rsid w:val="2F154177"/>
    <w:rsid w:val="2F283EAA"/>
    <w:rsid w:val="2FDE0A0C"/>
    <w:rsid w:val="30004E27"/>
    <w:rsid w:val="34715F1D"/>
    <w:rsid w:val="35E52AF5"/>
    <w:rsid w:val="387719FE"/>
    <w:rsid w:val="43374264"/>
    <w:rsid w:val="4B550AA9"/>
    <w:rsid w:val="4F922168"/>
    <w:rsid w:val="514836E7"/>
    <w:rsid w:val="518A40F8"/>
    <w:rsid w:val="537D11A8"/>
    <w:rsid w:val="59154BEF"/>
    <w:rsid w:val="5FD6198B"/>
    <w:rsid w:val="5FEF7F48"/>
    <w:rsid w:val="67A535E2"/>
    <w:rsid w:val="68753EF9"/>
    <w:rsid w:val="68921DB9"/>
    <w:rsid w:val="6AC81AA4"/>
    <w:rsid w:val="6F315D76"/>
    <w:rsid w:val="712B2DAA"/>
    <w:rsid w:val="7B4C229B"/>
    <w:rsid w:val="7D6B2EAC"/>
    <w:rsid w:val="7DA55C93"/>
    <w:rsid w:val="7FEE2732"/>
    <w:rsid w:val="7FEF8A34"/>
    <w:rsid w:val="DFEE79FD"/>
    <w:rsid w:val="F7FFBA63"/>
    <w:rsid w:val="FCFF50AA"/>
    <w:rsid w:val="FE7FA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microsoft.com/office/2007/relationships/hdphoto" Target="media/image5.wdp"/><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1278</Words>
  <Characters>1301</Characters>
  <Lines>10</Lines>
  <Paragraphs>2</Paragraphs>
  <TotalTime>0</TotalTime>
  <ScaleCrop>false</ScaleCrop>
  <LinksUpToDate>false</LinksUpToDate>
  <CharactersWithSpaces>1326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2025-04-14T06:53:00Z</dcterms:created>
  <dc:creator>Administrator</dc:creator>
  <cp:lastModifiedBy>万rui</cp:lastModifiedBy>
  <dcterms:modified xsi:type="dcterms:W3CDTF">2025-06-12T13:59:36Z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2D36A11BE6C0405FA43A6AA7D427FFFD</vt:lpwstr>
  </property>
  <property fmtid="{D5CDD505-2E9C-101B-9397-08002B2CF9AE}" pid="4" name="KSOTemplateDocerSaveRecord">
    <vt:lpwstr>eyJoZGlkIjoiMDdmZTA1YTA4OTI5NmFhMzZlMzcxNDMxODgzNWVlNzAiLCJ1c2VySWQiOiIyMzc3NTM5ODgifQ==</vt:lpwstr>
  </property>
</Properties>
</file>