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17F8D">
      <w:pPr>
        <w:overflowPunct w:val="0"/>
        <w:jc w:val="center"/>
        <w:rPr>
          <w:rFonts w:ascii="宋体" w:hAnsi="宋体" w:cs="宋体"/>
          <w:b/>
          <w:bCs/>
        </w:rPr>
      </w:pPr>
      <w:r>
        <w:rPr>
          <w:rFonts w:hint="eastAsia" w:ascii="宋体" w:hAnsi="宋体" w:cs="宋体"/>
          <w:b/>
          <w:bCs/>
        </w:rPr>
        <w:t>第十七章</w:t>
      </w:r>
      <w:r>
        <w:rPr>
          <w:rFonts w:ascii="宋体" w:hAnsi="宋体" w:cs="宋体"/>
          <w:b/>
          <w:bCs/>
        </w:rPr>
        <w:t xml:space="preserve"> </w:t>
      </w:r>
      <w:r>
        <w:rPr>
          <w:rFonts w:hint="eastAsia" w:ascii="宋体" w:hAnsi="宋体" w:cs="宋体"/>
          <w:b/>
          <w:bCs/>
        </w:rPr>
        <w:t>所得税</w:t>
      </w:r>
    </w:p>
    <w:p w14:paraId="728A129E">
      <w:pPr>
        <w:overflowPunct w:val="0"/>
        <w:jc w:val="left"/>
        <w:rPr>
          <w:rFonts w:hint="eastAsia" w:ascii="宋体" w:hAnsi="宋体" w:cs="宋体"/>
          <w:b/>
          <w:bCs/>
        </w:rPr>
      </w:pPr>
      <w:r>
        <w:rPr>
          <w:rFonts w:hint="eastAsia" w:ascii="宋体" w:hAnsi="宋体" w:cs="宋体"/>
          <w:b/>
          <w:bCs/>
        </w:rPr>
        <w:t>考情分析</w:t>
      </w:r>
    </w:p>
    <w:p w14:paraId="752EBEAE">
      <w:pPr>
        <w:jc w:val="left"/>
        <w:rPr>
          <w:rFonts w:ascii="宋体" w:hAnsi="宋体" w:cs="宋体"/>
        </w:rPr>
      </w:pPr>
      <w:r>
        <w:rPr>
          <w:rFonts w:hint="eastAsia" w:ascii="宋体" w:hAnsi="宋体" w:cs="宋体"/>
        </w:rPr>
        <w:t>本章属于传统三大难点章节，需要以前面基础章节核算为前提，需要掌握所得税分录的编制，重点需要关注资产负债计税基础、暂时性差异和永久性差异，递延所得税的确认等，2025年预计分值6-16分左右。</w:t>
      </w:r>
    </w:p>
    <w:p w14:paraId="27361295">
      <w:pPr>
        <w:jc w:val="left"/>
        <w:rPr>
          <w:rFonts w:ascii="宋体" w:hAnsi="宋体" w:cs="宋体"/>
        </w:rPr>
      </w:pPr>
    </w:p>
    <w:p w14:paraId="2C3F462F">
      <w:pPr>
        <w:overflowPunct w:val="0"/>
        <w:jc w:val="center"/>
        <w:rPr>
          <w:rFonts w:hint="eastAsia" w:ascii="宋体" w:hAnsi="宋体" w:cs="宋体"/>
          <w:b/>
          <w:bCs/>
        </w:rPr>
      </w:pPr>
      <w:r>
        <w:rPr>
          <w:rFonts w:hint="eastAsia" w:ascii="宋体" w:hAnsi="宋体" w:cs="宋体"/>
          <w:b/>
          <w:bCs/>
        </w:rPr>
        <w:t>第一节  计税基础与暂时性差异</w:t>
      </w:r>
    </w:p>
    <w:p w14:paraId="074227A8">
      <w:pPr>
        <w:jc w:val="left"/>
        <w:rPr>
          <w:rFonts w:ascii="宋体" w:hAnsi="宋体" w:cs="宋体"/>
          <w:color w:val="FF0000"/>
        </w:rPr>
      </w:pPr>
      <w:r>
        <w:rPr>
          <w:rFonts w:hint="eastAsia" w:ascii="宋体" w:hAnsi="宋体" w:cs="宋体"/>
          <w:color w:val="FF0000"/>
        </w:rPr>
        <w:t>一、所得税核算的基本原理和程序</w:t>
      </w:r>
    </w:p>
    <w:p w14:paraId="46A1CBEA">
      <w:pPr>
        <w:jc w:val="left"/>
        <w:rPr>
          <w:rFonts w:hint="eastAsia" w:ascii="宋体" w:hAnsi="宋体" w:cs="宋体"/>
        </w:rPr>
      </w:pPr>
      <w:r>
        <w:rPr>
          <w:rFonts w:hint="eastAsia" w:ascii="宋体" w:hAnsi="宋体" w:cs="宋体"/>
        </w:rPr>
        <w:t>所得税会计是研究处理</w:t>
      </w:r>
      <w:r>
        <w:rPr>
          <w:rFonts w:hint="eastAsia" w:ascii="宋体" w:hAnsi="宋体" w:cs="宋体"/>
          <w:color w:val="FF0000"/>
        </w:rPr>
        <w:t>会计收益</w:t>
      </w:r>
      <w:r>
        <w:rPr>
          <w:rFonts w:hint="eastAsia" w:ascii="宋体" w:hAnsi="宋体" w:cs="宋体"/>
        </w:rPr>
        <w:t>和</w:t>
      </w:r>
      <w:r>
        <w:rPr>
          <w:rFonts w:hint="eastAsia" w:ascii="宋体" w:hAnsi="宋体" w:cs="宋体"/>
          <w:color w:val="FF0000"/>
        </w:rPr>
        <w:t>应税收益</w:t>
      </w:r>
      <w:r>
        <w:rPr>
          <w:rFonts w:hint="eastAsia" w:ascii="宋体" w:hAnsi="宋体" w:cs="宋体"/>
        </w:rPr>
        <w:t>差异的会计处理和方法。</w:t>
      </w:r>
    </w:p>
    <w:p w14:paraId="65AF618B">
      <w:pPr>
        <w:jc w:val="left"/>
        <w:rPr>
          <w:rFonts w:ascii="宋体" w:hAnsi="宋体" w:cs="宋体"/>
          <w:color w:val="FF0000"/>
        </w:rPr>
      </w:pPr>
      <w:r>
        <w:rPr>
          <w:rFonts w:hint="eastAsia" w:ascii="宋体" w:hAnsi="宋体" w:cs="宋体"/>
          <w:color w:val="FF0000"/>
        </w:rPr>
        <w:t>（一）理论基础</w:t>
      </w:r>
    </w:p>
    <w:p w14:paraId="3860B73E">
      <w:pPr>
        <w:jc w:val="left"/>
        <w:rPr>
          <w:rFonts w:ascii="宋体" w:hAnsi="宋体" w:cs="宋体"/>
        </w:rPr>
      </w:pPr>
      <w:r>
        <w:rPr>
          <w:rFonts w:hint="eastAsia" w:ascii="宋体" w:hAnsi="宋体" w:cs="宋体"/>
        </w:rPr>
        <w:t>案例引入：假设老庄有限公司本期除获得国债利息100万元外，没有其他任何收入和费用。</w:t>
      </w:r>
    </w:p>
    <w:p w14:paraId="33FAC76A">
      <w:pPr>
        <w:jc w:val="left"/>
        <w:rPr>
          <w:rFonts w:ascii="宋体" w:hAnsi="宋体" w:cs="宋体"/>
        </w:rPr>
      </w:pPr>
      <w:r>
        <w:rPr>
          <w:rFonts w:hint="eastAsia" w:ascii="宋体" w:hAnsi="宋体" w:cs="宋体"/>
        </w:rPr>
        <w:t>税法规定，企业获得的国债利息免所得税。则该企业当期应交所得税为：</w:t>
      </w:r>
    </w:p>
    <w:p w14:paraId="7C432895">
      <w:pPr>
        <w:jc w:val="left"/>
        <w:rPr>
          <w:rFonts w:hint="eastAsia" w:ascii="宋体" w:hAnsi="宋体" w:cs="宋体"/>
          <w:color w:val="FF0000"/>
        </w:rPr>
      </w:pPr>
      <w:r>
        <w:rPr>
          <w:rFonts w:hint="eastAsia" w:ascii="宋体" w:hAnsi="宋体" w:cs="宋体"/>
          <w:color w:val="FF0000"/>
        </w:rPr>
        <w:t>应交所得税=会计利润100万×25%=25万？？？</w:t>
      </w:r>
    </w:p>
    <w:p w14:paraId="45DD4904">
      <w:pPr>
        <w:jc w:val="left"/>
        <w:rPr>
          <w:rFonts w:ascii="宋体" w:hAnsi="宋体" w:cs="宋体"/>
        </w:rPr>
      </w:pPr>
      <w:r>
        <w:rPr>
          <w:rFonts w:hint="eastAsia" w:ascii="宋体" w:hAnsi="宋体" w:cs="宋体"/>
        </w:rPr>
        <w:t xml:space="preserve">应交所得税=应纳税所得额×所得税税率  </w:t>
      </w:r>
    </w:p>
    <w:p w14:paraId="70959F5B">
      <w:pPr>
        <w:jc w:val="left"/>
        <w:rPr>
          <w:rFonts w:ascii="宋体" w:hAnsi="宋体" w:cs="宋体"/>
          <w:color w:val="FF0000"/>
        </w:rPr>
      </w:pPr>
      <w:r>
        <w:rPr>
          <w:rFonts w:hint="eastAsia" w:ascii="宋体" w:hAnsi="宋体" w:cs="宋体"/>
          <w:color w:val="FF0000"/>
        </w:rPr>
        <w:t>应纳税所得额</w:t>
      </w:r>
    </w:p>
    <w:p w14:paraId="67C34508">
      <w:pPr>
        <w:jc w:val="left"/>
        <w:rPr>
          <w:rFonts w:ascii="宋体" w:hAnsi="宋体" w:cs="宋体"/>
          <w:color w:val="FF0000"/>
        </w:rPr>
      </w:pPr>
      <w:r>
        <w:rPr>
          <w:rFonts w:hint="eastAsia" w:ascii="宋体" w:hAnsi="宋体" w:cs="宋体"/>
          <w:color w:val="FF0000"/>
        </w:rPr>
        <w:t>=税前会计利润（利润总额）+纳税调整增加额</w:t>
      </w:r>
    </w:p>
    <w:p w14:paraId="3743D0A9">
      <w:pPr>
        <w:jc w:val="left"/>
        <w:rPr>
          <w:rFonts w:hint="eastAsia" w:ascii="宋体" w:hAnsi="宋体" w:cs="宋体"/>
          <w:color w:val="FF0000"/>
        </w:rPr>
      </w:pPr>
      <w:r>
        <w:rPr>
          <w:rFonts w:hint="eastAsia" w:ascii="宋体" w:hAnsi="宋体" w:cs="宋体"/>
          <w:color w:val="FF0000"/>
        </w:rPr>
        <w:t xml:space="preserve">                         -纳税调整减少额</w:t>
      </w:r>
    </w:p>
    <w:p w14:paraId="1E57FD5E">
      <w:pPr>
        <w:jc w:val="left"/>
        <w:rPr>
          <w:rFonts w:ascii="宋体" w:hAnsi="宋体" w:cs="宋体"/>
        </w:rPr>
      </w:pPr>
      <w:r>
        <w:rPr>
          <w:rFonts w:hint="eastAsia" w:ascii="宋体" w:hAnsi="宋体" w:cs="宋体"/>
        </w:rPr>
        <w:t>借：所得税费用（当期所得税）</w:t>
      </w:r>
    </w:p>
    <w:p w14:paraId="16DF03F3">
      <w:pPr>
        <w:jc w:val="left"/>
        <w:rPr>
          <w:rFonts w:hint="eastAsia" w:ascii="宋体" w:hAnsi="宋体" w:cs="宋体"/>
          <w:color w:val="FF0000"/>
        </w:rPr>
      </w:pPr>
      <w:r>
        <w:rPr>
          <w:rFonts w:hint="eastAsia" w:ascii="宋体" w:hAnsi="宋体" w:cs="宋体"/>
        </w:rPr>
        <w:t>　　</w:t>
      </w:r>
      <w:r>
        <w:rPr>
          <w:rFonts w:hint="eastAsia" w:ascii="宋体" w:hAnsi="宋体" w:cs="宋体"/>
          <w:color w:val="FF0000"/>
        </w:rPr>
        <w:t xml:space="preserve">贷：应交税费—应交所得税  </w:t>
      </w:r>
    </w:p>
    <w:p w14:paraId="2053FEE2">
      <w:pPr>
        <w:jc w:val="left"/>
        <w:rPr>
          <w:rFonts w:ascii="宋体" w:hAnsi="宋体" w:cs="宋体"/>
          <w:color w:val="FF0000"/>
        </w:rPr>
      </w:pPr>
      <w:r>
        <w:rPr>
          <w:rFonts w:hint="eastAsia" w:ascii="宋体" w:hAnsi="宋体" w:cs="宋体"/>
          <w:color w:val="FF0000"/>
        </w:rPr>
        <w:t>1、纳税调整增加额</w:t>
      </w:r>
    </w:p>
    <w:p w14:paraId="25741A0F">
      <w:pPr>
        <w:jc w:val="left"/>
        <w:rPr>
          <w:rFonts w:hint="eastAsia" w:ascii="宋体" w:hAnsi="宋体" w:cs="宋体"/>
        </w:rPr>
      </w:pPr>
      <w:r>
        <w:rPr>
          <w:rFonts w:hint="eastAsia" w:ascii="宋体" w:hAnsi="宋体" w:cs="宋体"/>
        </w:rPr>
        <w:t>（1）按</w:t>
      </w:r>
      <w:r>
        <w:rPr>
          <w:rFonts w:hint="eastAsia" w:ascii="宋体" w:hAnsi="宋体" w:cs="宋体"/>
          <w:color w:val="FF0000"/>
        </w:rPr>
        <w:t>会计</w:t>
      </w:r>
      <w:r>
        <w:rPr>
          <w:rFonts w:hint="eastAsia" w:ascii="宋体" w:hAnsi="宋体" w:cs="宋体"/>
        </w:rPr>
        <w:t>准则规定核算时</w:t>
      </w:r>
      <w:r>
        <w:rPr>
          <w:rFonts w:hint="eastAsia" w:ascii="宋体" w:hAnsi="宋体" w:cs="宋体"/>
          <w:color w:val="FF0000"/>
        </w:rPr>
        <w:t>不作为收益</w:t>
      </w:r>
      <w:r>
        <w:rPr>
          <w:rFonts w:hint="eastAsia" w:ascii="宋体" w:hAnsi="宋体" w:cs="宋体"/>
        </w:rPr>
        <w:t>计入财务报表，但在计算</w:t>
      </w:r>
      <w:r>
        <w:rPr>
          <w:rFonts w:hint="eastAsia" w:ascii="宋体" w:hAnsi="宋体" w:cs="宋体"/>
          <w:color w:val="FF0000"/>
        </w:rPr>
        <w:t>应纳税所得额时作为收益</w:t>
      </w:r>
      <w:r>
        <w:rPr>
          <w:rFonts w:hint="eastAsia" w:ascii="宋体" w:hAnsi="宋体" w:cs="宋体"/>
        </w:rPr>
        <w:t>需要交纳所得税。</w:t>
      </w:r>
    </w:p>
    <w:p w14:paraId="57345468">
      <w:pPr>
        <w:jc w:val="left"/>
        <w:rPr>
          <w:rFonts w:ascii="宋体" w:hAnsi="宋体" w:cs="宋体"/>
          <w:color w:val="FF0000"/>
        </w:rPr>
      </w:pPr>
      <w:r>
        <w:rPr>
          <w:rFonts w:hint="eastAsia" w:ascii="宋体" w:hAnsi="宋体" w:cs="宋体"/>
          <w:color w:val="FF0000"/>
        </w:rPr>
        <w:t>【例】</w:t>
      </w:r>
      <w:r>
        <w:rPr>
          <w:rFonts w:hint="eastAsia" w:ascii="宋体" w:hAnsi="宋体" w:cs="宋体"/>
        </w:rPr>
        <w:t>甲公司2025年</w:t>
      </w:r>
      <w:r>
        <w:rPr>
          <w:rFonts w:hint="eastAsia" w:ascii="宋体" w:hAnsi="宋体" w:cs="宋体"/>
          <w:color w:val="FF0000"/>
        </w:rPr>
        <w:t>税前会计利润为600万元</w:t>
      </w:r>
      <w:r>
        <w:rPr>
          <w:rFonts w:hint="eastAsia" w:ascii="宋体" w:hAnsi="宋体" w:cs="宋体"/>
        </w:rPr>
        <w:t>，2025年12月12日向A公司销售一批商品，开出的增值税专用发票上注明的销售价格为</w:t>
      </w:r>
      <w:r>
        <w:rPr>
          <w:rFonts w:hint="eastAsia" w:ascii="宋体" w:hAnsi="宋体" w:cs="宋体"/>
          <w:color w:val="FF0000"/>
        </w:rPr>
        <w:t>300万元</w:t>
      </w:r>
      <w:r>
        <w:rPr>
          <w:rFonts w:hint="eastAsia" w:ascii="宋体" w:hAnsi="宋体" w:cs="宋体"/>
        </w:rPr>
        <w:t>，增值税税额为39万元，款项尚未收到；该批商品成本</w:t>
      </w:r>
      <w:r>
        <w:rPr>
          <w:rFonts w:hint="eastAsia" w:ascii="宋体" w:hAnsi="宋体" w:cs="宋体"/>
          <w:color w:val="FF0000"/>
        </w:rPr>
        <w:t>为200万元。</w:t>
      </w:r>
    </w:p>
    <w:p w14:paraId="7C8534E1">
      <w:pPr>
        <w:jc w:val="left"/>
        <w:rPr>
          <w:rFonts w:hint="eastAsia" w:ascii="宋体" w:hAnsi="宋体" w:cs="宋体"/>
        </w:rPr>
      </w:pPr>
      <w:r>
        <w:rPr>
          <w:rFonts w:hint="eastAsia" w:ascii="宋体" w:hAnsi="宋体" w:cs="宋体"/>
        </w:rPr>
        <w:t>甲公司在销售时已知A公司资金周转发生困难，但为了减少存货积压，同时也为了维持与A公司长期建立的商业关系，甲公司仍将商品发往A公司且办妥托收手续。</w:t>
      </w:r>
    </w:p>
    <w:p w14:paraId="4AD7CEFA">
      <w:pPr>
        <w:jc w:val="left"/>
        <w:rPr>
          <w:rFonts w:ascii="宋体" w:hAnsi="宋体" w:cs="宋体"/>
          <w:color w:val="FF0000"/>
        </w:rPr>
      </w:pPr>
      <w:r>
        <w:rPr>
          <w:rFonts w:hint="eastAsia" w:ascii="宋体" w:hAnsi="宋体" w:cs="宋体"/>
          <w:color w:val="FF0000"/>
        </w:rPr>
        <w:t>会计处理：</w:t>
      </w:r>
    </w:p>
    <w:p w14:paraId="55CA301A">
      <w:pPr>
        <w:jc w:val="left"/>
        <w:rPr>
          <w:rFonts w:ascii="宋体" w:hAnsi="宋体" w:cs="宋体"/>
        </w:rPr>
      </w:pPr>
      <w:r>
        <w:rPr>
          <w:rFonts w:hint="eastAsia" w:ascii="宋体" w:hAnsi="宋体" w:cs="宋体"/>
        </w:rPr>
        <w:t>借：发出商品    200</w:t>
      </w:r>
    </w:p>
    <w:p w14:paraId="170BE936">
      <w:pPr>
        <w:jc w:val="left"/>
        <w:rPr>
          <w:rFonts w:ascii="宋体" w:hAnsi="宋体" w:cs="宋体"/>
        </w:rPr>
      </w:pPr>
      <w:r>
        <w:rPr>
          <w:rFonts w:hint="eastAsia" w:ascii="宋体" w:hAnsi="宋体" w:cs="宋体"/>
        </w:rPr>
        <w:t>　　贷：库存商品    200</w:t>
      </w:r>
    </w:p>
    <w:p w14:paraId="24ADB60D">
      <w:pPr>
        <w:jc w:val="left"/>
        <w:rPr>
          <w:rFonts w:ascii="宋体" w:hAnsi="宋体" w:cs="宋体"/>
          <w:color w:val="FF0000"/>
        </w:rPr>
      </w:pPr>
      <w:r>
        <w:rPr>
          <w:rFonts w:hint="eastAsia" w:ascii="宋体" w:hAnsi="宋体" w:cs="宋体"/>
          <w:color w:val="FF0000"/>
        </w:rPr>
        <w:t>应交所得税=[600+（300-200）]×25%</w:t>
      </w:r>
    </w:p>
    <w:p w14:paraId="4BBFFA45">
      <w:pPr>
        <w:jc w:val="left"/>
        <w:rPr>
          <w:rFonts w:hint="eastAsia" w:ascii="宋体" w:hAnsi="宋体" w:cs="宋体"/>
          <w:color w:val="FF0000"/>
        </w:rPr>
      </w:pPr>
      <w:r>
        <w:rPr>
          <w:rFonts w:hint="eastAsia" w:ascii="宋体" w:hAnsi="宋体" w:cs="宋体"/>
          <w:color w:val="FF0000"/>
        </w:rPr>
        <w:t xml:space="preserve">          =175（万元）</w:t>
      </w:r>
    </w:p>
    <w:p w14:paraId="55E6A993">
      <w:pPr>
        <w:jc w:val="left"/>
        <w:rPr>
          <w:rFonts w:hint="eastAsia" w:ascii="宋体" w:hAnsi="宋体" w:cs="宋体"/>
        </w:rPr>
      </w:pPr>
      <w:r>
        <w:rPr>
          <w:rFonts w:hint="eastAsia" w:ascii="宋体" w:hAnsi="宋体" w:cs="宋体"/>
        </w:rPr>
        <w:t>（2）按</w:t>
      </w:r>
      <w:r>
        <w:rPr>
          <w:rFonts w:hint="eastAsia" w:ascii="宋体" w:hAnsi="宋体" w:cs="宋体"/>
          <w:color w:val="FF0000"/>
        </w:rPr>
        <w:t>会计</w:t>
      </w:r>
      <w:r>
        <w:rPr>
          <w:rFonts w:hint="eastAsia" w:ascii="宋体" w:hAnsi="宋体" w:cs="宋体"/>
        </w:rPr>
        <w:t>准则规定核算时</w:t>
      </w:r>
      <w:r>
        <w:rPr>
          <w:rFonts w:hint="eastAsia" w:ascii="宋体" w:hAnsi="宋体" w:cs="宋体"/>
          <w:color w:val="FF0000"/>
        </w:rPr>
        <w:t>确认为费用或损失</w:t>
      </w:r>
      <w:r>
        <w:rPr>
          <w:rFonts w:hint="eastAsia" w:ascii="宋体" w:hAnsi="宋体" w:cs="宋体"/>
        </w:rPr>
        <w:t>计入财务报表，但在</w:t>
      </w:r>
      <w:r>
        <w:rPr>
          <w:rFonts w:hint="eastAsia" w:ascii="宋体" w:hAnsi="宋体" w:cs="宋体"/>
          <w:color w:val="FF0000"/>
        </w:rPr>
        <w:t>计算应纳税所得额时则不允许扣减。</w:t>
      </w:r>
      <w:r>
        <w:rPr>
          <w:rFonts w:hint="eastAsia" w:ascii="宋体" w:hAnsi="宋体" w:cs="宋体"/>
        </w:rPr>
        <w:t xml:space="preserve"> </w:t>
      </w:r>
    </w:p>
    <w:p w14:paraId="6005C7BF">
      <w:pPr>
        <w:jc w:val="left"/>
        <w:rPr>
          <w:rFonts w:ascii="宋体" w:hAnsi="宋体" w:cs="宋体"/>
        </w:rPr>
      </w:pPr>
      <w:r>
        <w:rPr>
          <w:rFonts w:hint="eastAsia" w:ascii="宋体" w:hAnsi="宋体" w:cs="宋体"/>
          <w:color w:val="FF0000"/>
        </w:rPr>
        <w:t>【例】</w:t>
      </w:r>
      <w:r>
        <w:rPr>
          <w:rFonts w:hint="eastAsia" w:ascii="宋体" w:hAnsi="宋体" w:cs="宋体"/>
        </w:rPr>
        <w:t>A公司2025年税前会计利润为800万元，2025年12月31日</w:t>
      </w:r>
      <w:r>
        <w:rPr>
          <w:rFonts w:hint="eastAsia" w:ascii="宋体" w:hAnsi="宋体" w:cs="宋体"/>
          <w:color w:val="FF0000"/>
        </w:rPr>
        <w:t>支付违反环保法律法规，被环保部门罚款100万元。</w:t>
      </w:r>
      <w:r>
        <w:rPr>
          <w:rFonts w:hint="eastAsia" w:ascii="宋体" w:hAnsi="宋体" w:cs="宋体"/>
        </w:rPr>
        <w:t>A公司适用的所得税税率为25%，不考虑其他纳税调整事项。</w:t>
      </w:r>
    </w:p>
    <w:p w14:paraId="197332FE">
      <w:pPr>
        <w:jc w:val="left"/>
        <w:rPr>
          <w:rFonts w:ascii="宋体" w:hAnsi="宋体" w:cs="宋体"/>
          <w:color w:val="FF0000"/>
        </w:rPr>
      </w:pPr>
      <w:r>
        <w:rPr>
          <w:rFonts w:hint="eastAsia" w:ascii="宋体" w:hAnsi="宋体" w:cs="宋体"/>
          <w:color w:val="FF0000"/>
        </w:rPr>
        <w:t>会计处理：</w:t>
      </w:r>
    </w:p>
    <w:p w14:paraId="38D999BA">
      <w:pPr>
        <w:jc w:val="left"/>
        <w:rPr>
          <w:rFonts w:ascii="宋体" w:hAnsi="宋体" w:cs="宋体"/>
        </w:rPr>
      </w:pPr>
      <w:r>
        <w:rPr>
          <w:rFonts w:hint="eastAsia" w:ascii="宋体" w:hAnsi="宋体" w:cs="宋体"/>
        </w:rPr>
        <w:t>借：营业外支出   100</w:t>
      </w:r>
    </w:p>
    <w:p w14:paraId="57D03481">
      <w:pPr>
        <w:jc w:val="left"/>
        <w:rPr>
          <w:rFonts w:hint="eastAsia" w:ascii="宋体" w:hAnsi="宋体" w:cs="宋体"/>
        </w:rPr>
      </w:pPr>
      <w:r>
        <w:rPr>
          <w:rFonts w:hint="eastAsia" w:ascii="宋体" w:hAnsi="宋体" w:cs="宋体"/>
        </w:rPr>
        <w:t>　　贷：银行存款     100</w:t>
      </w:r>
    </w:p>
    <w:p w14:paraId="6B6A47C2">
      <w:pPr>
        <w:jc w:val="left"/>
        <w:rPr>
          <w:rFonts w:hint="eastAsia" w:ascii="宋体" w:hAnsi="宋体" w:cs="宋体"/>
          <w:color w:val="FF0000"/>
        </w:rPr>
      </w:pPr>
      <w:r>
        <w:rPr>
          <w:rFonts w:hint="eastAsia" w:ascii="宋体" w:hAnsi="宋体" w:cs="宋体"/>
          <w:color w:val="FF0000"/>
        </w:rPr>
        <w:t>应交所得税=（800+100）×25%=225（万元）。</w:t>
      </w:r>
    </w:p>
    <w:p w14:paraId="00058C5A">
      <w:pPr>
        <w:jc w:val="left"/>
        <w:rPr>
          <w:rFonts w:ascii="宋体" w:hAnsi="宋体" w:cs="宋体"/>
          <w:color w:val="FF0000"/>
        </w:rPr>
      </w:pPr>
      <w:r>
        <w:rPr>
          <w:rFonts w:hint="eastAsia" w:ascii="宋体" w:hAnsi="宋体" w:cs="宋体"/>
          <w:color w:val="FF0000"/>
        </w:rPr>
        <w:t xml:space="preserve">2、纳税调整减少额    </w:t>
      </w:r>
    </w:p>
    <w:p w14:paraId="2E01A7ED">
      <w:pPr>
        <w:jc w:val="left"/>
        <w:rPr>
          <w:rFonts w:hint="eastAsia" w:ascii="宋体" w:hAnsi="宋体" w:cs="宋体"/>
        </w:rPr>
      </w:pPr>
      <w:r>
        <w:rPr>
          <w:rFonts w:hint="eastAsia" w:ascii="宋体" w:hAnsi="宋体" w:cs="宋体"/>
        </w:rPr>
        <w:t>（1）按</w:t>
      </w:r>
      <w:r>
        <w:rPr>
          <w:rFonts w:hint="eastAsia" w:ascii="宋体" w:hAnsi="宋体" w:cs="宋体"/>
          <w:color w:val="FF0000"/>
        </w:rPr>
        <w:t>会计</w:t>
      </w:r>
      <w:r>
        <w:rPr>
          <w:rFonts w:hint="eastAsia" w:ascii="宋体" w:hAnsi="宋体" w:cs="宋体"/>
        </w:rPr>
        <w:t>准则规定核算时作为收益计入财务报表，但在计算</w:t>
      </w:r>
      <w:r>
        <w:rPr>
          <w:rFonts w:hint="eastAsia" w:ascii="宋体" w:hAnsi="宋体" w:cs="宋体"/>
          <w:color w:val="FF0000"/>
        </w:rPr>
        <w:t>应纳税所得额时不确认为收益。</w:t>
      </w:r>
    </w:p>
    <w:p w14:paraId="2FE8BA25">
      <w:pPr>
        <w:jc w:val="left"/>
        <w:rPr>
          <w:rFonts w:ascii="宋体" w:hAnsi="宋体" w:cs="宋体"/>
        </w:rPr>
      </w:pPr>
      <w:r>
        <w:rPr>
          <w:rFonts w:hint="eastAsia" w:ascii="宋体" w:hAnsi="宋体" w:cs="宋体"/>
          <w:color w:val="FF0000"/>
        </w:rPr>
        <w:t>【例】</w:t>
      </w:r>
      <w:r>
        <w:rPr>
          <w:rFonts w:hint="eastAsia" w:ascii="宋体" w:hAnsi="宋体" w:cs="宋体"/>
        </w:rPr>
        <w:t>丙公司2025年税前会计利润为900万元，2025年取得</w:t>
      </w:r>
      <w:r>
        <w:rPr>
          <w:rFonts w:hint="eastAsia" w:ascii="宋体" w:hAnsi="宋体" w:cs="宋体"/>
          <w:color w:val="FF0000"/>
        </w:rPr>
        <w:t>国债利息收入100万元</w:t>
      </w:r>
      <w:r>
        <w:rPr>
          <w:rFonts w:hint="eastAsia" w:ascii="宋体" w:hAnsi="宋体" w:cs="宋体"/>
        </w:rPr>
        <w:t xml:space="preserve">。丙公司适用的所得税税率为25%，不考虑其他纳税调整事项。  </w:t>
      </w:r>
    </w:p>
    <w:p w14:paraId="2280D658">
      <w:pPr>
        <w:jc w:val="left"/>
        <w:rPr>
          <w:rFonts w:ascii="宋体" w:hAnsi="宋体" w:cs="宋体"/>
          <w:color w:val="FF0000"/>
        </w:rPr>
      </w:pPr>
      <w:r>
        <w:rPr>
          <w:rFonts w:hint="eastAsia" w:ascii="宋体" w:hAnsi="宋体" w:cs="宋体"/>
          <w:color w:val="FF0000"/>
        </w:rPr>
        <w:t>会计：</w:t>
      </w:r>
    </w:p>
    <w:p w14:paraId="1CC531FB">
      <w:pPr>
        <w:jc w:val="left"/>
        <w:rPr>
          <w:rFonts w:ascii="宋体" w:hAnsi="宋体" w:cs="宋体"/>
        </w:rPr>
      </w:pPr>
      <w:r>
        <w:rPr>
          <w:rFonts w:hint="eastAsia" w:ascii="宋体" w:hAnsi="宋体" w:cs="宋体"/>
        </w:rPr>
        <w:t>借：应收利息    100</w:t>
      </w:r>
    </w:p>
    <w:p w14:paraId="0C12D6CD">
      <w:pPr>
        <w:jc w:val="left"/>
        <w:rPr>
          <w:rFonts w:hint="eastAsia" w:ascii="宋体" w:hAnsi="宋体" w:cs="宋体"/>
        </w:rPr>
      </w:pPr>
      <w:r>
        <w:rPr>
          <w:rFonts w:hint="eastAsia" w:ascii="宋体" w:hAnsi="宋体" w:cs="宋体"/>
        </w:rPr>
        <w:t>　　贷：投资收益    100</w:t>
      </w:r>
    </w:p>
    <w:p w14:paraId="576D414F">
      <w:pPr>
        <w:jc w:val="left"/>
        <w:rPr>
          <w:rFonts w:hint="eastAsia" w:ascii="宋体" w:hAnsi="宋体" w:cs="宋体"/>
          <w:color w:val="FF0000"/>
        </w:rPr>
      </w:pPr>
      <w:r>
        <w:rPr>
          <w:rFonts w:hint="eastAsia" w:ascii="宋体" w:hAnsi="宋体" w:cs="宋体"/>
          <w:color w:val="FF0000"/>
        </w:rPr>
        <w:t xml:space="preserve">应交所得税=（900-100）×25%=200（万元）。  </w:t>
      </w:r>
    </w:p>
    <w:p w14:paraId="184B80FF">
      <w:pPr>
        <w:jc w:val="left"/>
        <w:rPr>
          <w:rFonts w:hint="eastAsia" w:ascii="宋体" w:hAnsi="宋体" w:cs="宋体"/>
        </w:rPr>
      </w:pPr>
      <w:r>
        <w:rPr>
          <w:rFonts w:hint="eastAsia" w:ascii="宋体" w:hAnsi="宋体" w:cs="宋体"/>
        </w:rPr>
        <w:t>（2）按</w:t>
      </w:r>
      <w:r>
        <w:rPr>
          <w:rFonts w:hint="eastAsia" w:ascii="宋体" w:hAnsi="宋体" w:cs="宋体"/>
          <w:color w:val="FF0000"/>
        </w:rPr>
        <w:t>会计</w:t>
      </w:r>
      <w:r>
        <w:rPr>
          <w:rFonts w:hint="eastAsia" w:ascii="宋体" w:hAnsi="宋体" w:cs="宋体"/>
        </w:rPr>
        <w:t>准则规定核算时</w:t>
      </w:r>
      <w:r>
        <w:rPr>
          <w:rFonts w:hint="eastAsia" w:ascii="宋体" w:hAnsi="宋体" w:cs="宋体"/>
          <w:color w:val="FF0000"/>
        </w:rPr>
        <w:t>不确认为费用或损失</w:t>
      </w:r>
      <w:r>
        <w:rPr>
          <w:rFonts w:hint="eastAsia" w:ascii="宋体" w:hAnsi="宋体" w:cs="宋体"/>
        </w:rPr>
        <w:t>，但在计算</w:t>
      </w:r>
      <w:r>
        <w:rPr>
          <w:rFonts w:hint="eastAsia" w:ascii="宋体" w:hAnsi="宋体" w:cs="宋体"/>
          <w:color w:val="FF0000"/>
        </w:rPr>
        <w:t>应纳税所得额时则允许扣减。</w:t>
      </w:r>
      <w:r>
        <w:rPr>
          <w:rFonts w:hint="eastAsia" w:ascii="宋体" w:hAnsi="宋体" w:cs="宋体"/>
        </w:rPr>
        <w:t xml:space="preserve">   </w:t>
      </w:r>
    </w:p>
    <w:p w14:paraId="48C4B368">
      <w:pPr>
        <w:jc w:val="left"/>
        <w:rPr>
          <w:rFonts w:ascii="宋体" w:hAnsi="宋体" w:cs="宋体"/>
        </w:rPr>
      </w:pPr>
      <w:r>
        <w:rPr>
          <w:rFonts w:hint="eastAsia" w:ascii="宋体" w:hAnsi="宋体" w:cs="宋体"/>
          <w:color w:val="FF0000"/>
        </w:rPr>
        <w:t>【例】</w:t>
      </w:r>
      <w:r>
        <w:rPr>
          <w:rFonts w:hint="eastAsia" w:ascii="宋体" w:hAnsi="宋体" w:cs="宋体"/>
        </w:rPr>
        <w:t>丁公司2025年税前</w:t>
      </w:r>
      <w:r>
        <w:rPr>
          <w:rFonts w:hint="eastAsia" w:ascii="宋体" w:hAnsi="宋体" w:cs="宋体"/>
          <w:color w:val="FF0000"/>
        </w:rPr>
        <w:t>会计利润为880万元</w:t>
      </w:r>
      <w:r>
        <w:rPr>
          <w:rFonts w:hint="eastAsia" w:ascii="宋体" w:hAnsi="宋体" w:cs="宋体"/>
        </w:rPr>
        <w:t>，2025年发生</w:t>
      </w:r>
      <w:r>
        <w:rPr>
          <w:rFonts w:hint="eastAsia" w:ascii="宋体" w:hAnsi="宋体" w:cs="宋体"/>
          <w:color w:val="FF0000"/>
        </w:rPr>
        <w:t>研究阶段支出160万元计入管理费用。</w:t>
      </w:r>
      <w:r>
        <w:rPr>
          <w:rFonts w:hint="eastAsia" w:ascii="宋体" w:hAnsi="宋体" w:cs="宋体"/>
        </w:rPr>
        <w:t>丁公司适用的所得税税率为25%，研发费用加计扣除比例为100%，不考虑其他纳税调整事项。</w:t>
      </w:r>
    </w:p>
    <w:p w14:paraId="04D9D273">
      <w:pPr>
        <w:jc w:val="left"/>
        <w:rPr>
          <w:rFonts w:ascii="宋体" w:hAnsi="宋体" w:cs="宋体"/>
          <w:color w:val="FF0000"/>
        </w:rPr>
      </w:pPr>
      <w:r>
        <w:rPr>
          <w:rFonts w:hint="eastAsia" w:ascii="宋体" w:hAnsi="宋体" w:cs="宋体"/>
          <w:color w:val="FF0000"/>
        </w:rPr>
        <w:t>会计：</w:t>
      </w:r>
    </w:p>
    <w:p w14:paraId="1B7F8D9F">
      <w:pPr>
        <w:jc w:val="left"/>
        <w:rPr>
          <w:rFonts w:ascii="宋体" w:hAnsi="宋体" w:cs="宋体"/>
        </w:rPr>
      </w:pPr>
      <w:r>
        <w:rPr>
          <w:rFonts w:hint="eastAsia" w:ascii="宋体" w:hAnsi="宋体" w:cs="宋体"/>
        </w:rPr>
        <w:t>借：管理费用                            160</w:t>
      </w:r>
    </w:p>
    <w:p w14:paraId="0FBE1964">
      <w:pPr>
        <w:jc w:val="left"/>
        <w:rPr>
          <w:rFonts w:ascii="宋体" w:hAnsi="宋体" w:cs="宋体"/>
        </w:rPr>
      </w:pPr>
      <w:r>
        <w:rPr>
          <w:rFonts w:hint="eastAsia" w:ascii="宋体" w:hAnsi="宋体" w:cs="宋体"/>
        </w:rPr>
        <w:t>　　贷：研发支出—费用化支出     160</w:t>
      </w:r>
    </w:p>
    <w:p w14:paraId="264C972A">
      <w:pPr>
        <w:jc w:val="left"/>
        <w:rPr>
          <w:rFonts w:ascii="宋体" w:hAnsi="宋体" w:cs="宋体"/>
          <w:color w:val="FF0000"/>
        </w:rPr>
      </w:pPr>
      <w:r>
        <w:rPr>
          <w:rFonts w:hint="eastAsia" w:ascii="宋体" w:hAnsi="宋体" w:cs="宋体"/>
          <w:color w:val="FF0000"/>
        </w:rPr>
        <w:t>应交所得税=（880-160×100%）×25%</w:t>
      </w:r>
    </w:p>
    <w:p w14:paraId="30203CC5">
      <w:pPr>
        <w:jc w:val="left"/>
        <w:rPr>
          <w:rFonts w:hint="eastAsia" w:ascii="宋体" w:hAnsi="宋体" w:cs="宋体"/>
          <w:color w:val="FF0000"/>
        </w:rPr>
      </w:pPr>
      <w:r>
        <w:rPr>
          <w:rFonts w:hint="eastAsia" w:ascii="宋体" w:hAnsi="宋体" w:cs="宋体"/>
          <w:color w:val="FF0000"/>
        </w:rPr>
        <w:t xml:space="preserve">          =180（万元）</w:t>
      </w:r>
    </w:p>
    <w:p w14:paraId="7DFCD9D4">
      <w:pPr>
        <w:jc w:val="left"/>
        <w:rPr>
          <w:rFonts w:ascii="宋体" w:hAnsi="宋体" w:cs="宋体"/>
          <w:color w:val="FF0000"/>
        </w:rPr>
      </w:pPr>
      <w:r>
        <w:rPr>
          <w:rFonts w:hint="eastAsia" w:ascii="宋体" w:hAnsi="宋体" w:cs="宋体"/>
          <w:color w:val="FF0000"/>
        </w:rPr>
        <w:t>应交所得税的计算</w:t>
      </w:r>
    </w:p>
    <w:p w14:paraId="610E4CDA">
      <w:pPr>
        <w:jc w:val="left"/>
        <w:rPr>
          <w:rFonts w:hint="eastAsia" w:ascii="宋体" w:hAnsi="宋体" w:cs="宋体"/>
        </w:rPr>
      </w:pPr>
      <w:r>
        <w:rPr>
          <w:rFonts w:hint="eastAsia" w:ascii="宋体" w:hAnsi="宋体" w:cs="宋体"/>
        </w:rPr>
        <w:t>应交所得税=应纳税所得额×所得税税率</w:t>
      </w:r>
    </w:p>
    <w:p w14:paraId="2D753874">
      <w:pPr>
        <w:jc w:val="left"/>
        <w:rPr>
          <w:rFonts w:ascii="宋体" w:hAnsi="宋体" w:cs="宋体"/>
        </w:rPr>
      </w:pPr>
      <w:r>
        <w:rPr>
          <w:rFonts w:hint="eastAsia" w:ascii="宋体" w:hAnsi="宋体" w:cs="宋体"/>
        </w:rPr>
        <w:t>应纳税所得额</w:t>
      </w:r>
    </w:p>
    <w:p w14:paraId="728C07D5">
      <w:pPr>
        <w:jc w:val="left"/>
        <w:rPr>
          <w:rFonts w:ascii="宋体" w:hAnsi="宋体" w:cs="宋体"/>
        </w:rPr>
      </w:pPr>
      <w:r>
        <w:rPr>
          <w:rFonts w:hint="eastAsia" w:ascii="宋体" w:hAnsi="宋体" w:cs="宋体"/>
        </w:rPr>
        <w:t>=税前会计利润（利润总额）+纳税调整增加额</w:t>
      </w:r>
    </w:p>
    <w:p w14:paraId="53B909F2">
      <w:pPr>
        <w:jc w:val="left"/>
        <w:rPr>
          <w:rFonts w:hint="eastAsia" w:ascii="宋体" w:hAnsi="宋体" w:cs="宋体"/>
        </w:rPr>
      </w:pPr>
      <w:r>
        <w:rPr>
          <w:rFonts w:hint="eastAsia" w:ascii="宋体" w:hAnsi="宋体" w:cs="宋体"/>
        </w:rPr>
        <w:t xml:space="preserve">                         -纳税调整减少额   </w:t>
      </w:r>
    </w:p>
    <w:p w14:paraId="40376149">
      <w:pPr>
        <w:jc w:val="left"/>
        <w:rPr>
          <w:rFonts w:ascii="宋体" w:hAnsi="宋体" w:cs="宋体"/>
          <w:color w:val="FF0000"/>
        </w:rPr>
      </w:pPr>
      <w:r>
        <w:rPr>
          <w:rFonts w:hint="eastAsia" w:ascii="宋体" w:hAnsi="宋体" w:cs="宋体"/>
          <w:color w:val="FF0000"/>
        </w:rPr>
        <w:t>借：所得税费用（当期所得税）</w:t>
      </w:r>
    </w:p>
    <w:p w14:paraId="6A803787">
      <w:pPr>
        <w:jc w:val="left"/>
        <w:rPr>
          <w:rFonts w:hint="eastAsia" w:ascii="宋体" w:hAnsi="宋体" w:cs="宋体"/>
          <w:color w:val="FF0000"/>
        </w:rPr>
      </w:pPr>
      <w:r>
        <w:rPr>
          <w:rFonts w:hint="eastAsia" w:ascii="宋体" w:hAnsi="宋体" w:cs="宋体"/>
          <w:color w:val="FF0000"/>
        </w:rPr>
        <w:t>　　贷：应交税费—应交所得税</w:t>
      </w:r>
    </w:p>
    <w:p w14:paraId="3644DF14">
      <w:pPr>
        <w:jc w:val="left"/>
        <w:rPr>
          <w:rFonts w:ascii="宋体" w:hAnsi="宋体" w:cs="宋体"/>
          <w:color w:val="FF0000"/>
        </w:rPr>
      </w:pPr>
      <w:r>
        <w:rPr>
          <w:rFonts w:hint="eastAsia" w:ascii="宋体" w:hAnsi="宋体" w:cs="宋体"/>
          <w:color w:val="FF0000"/>
        </w:rPr>
        <w:t>二、资产的计税基础</w:t>
      </w:r>
    </w:p>
    <w:p w14:paraId="0C2EE132">
      <w:pPr>
        <w:jc w:val="left"/>
        <w:rPr>
          <w:rFonts w:ascii="宋体" w:hAnsi="宋体" w:cs="宋体"/>
          <w:color w:val="FF0000"/>
        </w:rPr>
      </w:pPr>
      <w:r>
        <w:rPr>
          <w:rFonts w:hint="eastAsia" w:ascii="宋体" w:hAnsi="宋体" w:cs="宋体"/>
        </w:rPr>
        <w:t>资产的计税基础，指企业收回资产账面价值的过程中，计算应纳税所得额时按照税法</w:t>
      </w:r>
      <w:r>
        <w:rPr>
          <w:rFonts w:hint="eastAsia" w:ascii="宋体" w:hAnsi="宋体" w:cs="宋体"/>
          <w:color w:val="FF0000"/>
        </w:rPr>
        <w:t>可以自应税经济利益中抵扣的金额。</w:t>
      </w:r>
    </w:p>
    <w:p w14:paraId="3883004C">
      <w:pPr>
        <w:jc w:val="left"/>
        <w:rPr>
          <w:rFonts w:hint="eastAsia" w:ascii="宋体" w:hAnsi="宋体" w:cs="宋体"/>
        </w:rPr>
      </w:pPr>
      <w:r>
        <w:rPr>
          <w:rFonts w:hint="eastAsia" w:ascii="宋体" w:hAnsi="宋体" w:cs="宋体"/>
          <w:color w:val="FF0000"/>
        </w:rPr>
        <w:t>资产的计税基础=</w:t>
      </w:r>
      <w:r>
        <w:rPr>
          <w:rFonts w:hint="eastAsia" w:ascii="宋体" w:hAnsi="宋体" w:cs="宋体"/>
        </w:rPr>
        <w:t>未来可税前列支的金额，即未来可以抵税的金额</w:t>
      </w:r>
    </w:p>
    <w:p w14:paraId="74FC3649">
      <w:pPr>
        <w:overflowPunct w:val="0"/>
        <w:jc w:val="center"/>
        <w:rPr>
          <w:rFonts w:hint="eastAsia" w:ascii="宋体" w:hAnsi="宋体" w:cs="宋体"/>
          <w:b/>
          <w:bCs/>
        </w:rPr>
      </w:pPr>
      <w:r>
        <w:rPr>
          <w:rFonts w:hint="eastAsia" w:ascii="宋体" w:hAnsi="宋体" w:cs="宋体"/>
          <w:b/>
          <w:bCs/>
        </w:rPr>
        <w:t>第一节  计税基础与暂时性差异</w:t>
      </w:r>
    </w:p>
    <w:p w14:paraId="3B6CB1DF">
      <w:pPr>
        <w:jc w:val="left"/>
        <w:rPr>
          <w:rFonts w:ascii="宋体" w:hAnsi="宋体" w:cs="宋体"/>
          <w:color w:val="FF0000"/>
        </w:rPr>
      </w:pPr>
      <w:r>
        <w:rPr>
          <w:rFonts w:hint="eastAsia" w:ascii="宋体" w:hAnsi="宋体" w:cs="宋体"/>
          <w:color w:val="FF0000"/>
        </w:rPr>
        <w:t>（一）固定资产</w:t>
      </w:r>
    </w:p>
    <w:p w14:paraId="3CBDB8F2">
      <w:pPr>
        <w:jc w:val="left"/>
        <w:rPr>
          <w:rFonts w:ascii="宋体" w:hAnsi="宋体" w:cs="宋体"/>
        </w:rPr>
      </w:pPr>
      <w:r>
        <w:rPr>
          <w:rFonts w:hint="eastAsia" w:ascii="宋体" w:hAnsi="宋体" w:cs="宋体"/>
        </w:rPr>
        <w:t>账面价值=实际成本-</w:t>
      </w:r>
      <w:r>
        <w:rPr>
          <w:rFonts w:hint="eastAsia" w:ascii="宋体" w:hAnsi="宋体" w:cs="宋体"/>
          <w:color w:val="FF0000"/>
        </w:rPr>
        <w:t>会计</w:t>
      </w:r>
      <w:r>
        <w:rPr>
          <w:rFonts w:hint="eastAsia" w:ascii="宋体" w:hAnsi="宋体" w:cs="宋体"/>
        </w:rPr>
        <w:t>累计折旧-</w:t>
      </w:r>
      <w:r>
        <w:rPr>
          <w:rFonts w:hint="eastAsia" w:ascii="宋体" w:hAnsi="宋体" w:cs="宋体"/>
          <w:color w:val="FF0000"/>
        </w:rPr>
        <w:t>固定资产减值准备</w:t>
      </w:r>
    </w:p>
    <w:p w14:paraId="76BCFFCF">
      <w:pPr>
        <w:jc w:val="left"/>
        <w:rPr>
          <w:rFonts w:hint="eastAsia" w:ascii="宋体" w:hAnsi="宋体" w:cs="宋体"/>
        </w:rPr>
      </w:pPr>
      <w:r>
        <w:rPr>
          <w:rFonts w:hint="eastAsia" w:ascii="宋体" w:hAnsi="宋体" w:cs="宋体"/>
        </w:rPr>
        <w:t>计税基础=实际成本-</w:t>
      </w:r>
      <w:r>
        <w:rPr>
          <w:rFonts w:hint="eastAsia" w:ascii="宋体" w:hAnsi="宋体" w:cs="宋体"/>
          <w:color w:val="FF0000"/>
        </w:rPr>
        <w:t>税法</w:t>
      </w:r>
      <w:r>
        <w:rPr>
          <w:rFonts w:hint="eastAsia" w:ascii="宋体" w:hAnsi="宋体" w:cs="宋体"/>
        </w:rPr>
        <w:t>累计折旧</w:t>
      </w:r>
    </w:p>
    <w:p w14:paraId="21D8A75F">
      <w:pPr>
        <w:jc w:val="left"/>
        <w:rPr>
          <w:rFonts w:hint="eastAsia" w:ascii="宋体" w:hAnsi="宋体" w:cs="宋体"/>
          <w:color w:val="FF0000"/>
        </w:rPr>
      </w:pPr>
      <w:r>
        <w:rPr>
          <w:rFonts w:hint="eastAsia" w:ascii="宋体" w:hAnsi="宋体" w:cs="宋体"/>
          <w:color w:val="FF0000"/>
        </w:rPr>
        <w:t>【例17-1】</w:t>
      </w:r>
      <w:r>
        <w:rPr>
          <w:rFonts w:hint="eastAsia" w:ascii="宋体" w:hAnsi="宋体" w:cs="宋体"/>
        </w:rPr>
        <w:t>甲公司于2022年1月1日开始计提折旧的某项固定资产，原价为</w:t>
      </w:r>
      <w:r>
        <w:rPr>
          <w:rFonts w:hint="eastAsia" w:ascii="宋体" w:hAnsi="宋体" w:cs="宋体"/>
          <w:color w:val="FF0000"/>
        </w:rPr>
        <w:t>300万元</w:t>
      </w:r>
      <w:r>
        <w:rPr>
          <w:rFonts w:hint="eastAsia" w:ascii="宋体" w:hAnsi="宋体" w:cs="宋体"/>
        </w:rPr>
        <w:t>，使用年限为</w:t>
      </w:r>
      <w:r>
        <w:rPr>
          <w:rFonts w:hint="eastAsia" w:ascii="宋体" w:hAnsi="宋体" w:cs="宋体"/>
          <w:color w:val="FF0000"/>
        </w:rPr>
        <w:t>10</w:t>
      </w:r>
      <w:r>
        <w:rPr>
          <w:rFonts w:hint="eastAsia" w:ascii="宋体" w:hAnsi="宋体" w:cs="宋体"/>
        </w:rPr>
        <w:t>年，采用年限平均法计提折旧，预计净残值为0税法规定类似固定资产采用</w:t>
      </w:r>
      <w:r>
        <w:rPr>
          <w:rFonts w:hint="eastAsia" w:ascii="宋体" w:hAnsi="宋体" w:cs="宋体"/>
          <w:color w:val="FF0000"/>
        </w:rPr>
        <w:t>加速折旧法</w:t>
      </w:r>
      <w:r>
        <w:rPr>
          <w:rFonts w:hint="eastAsia" w:ascii="宋体" w:hAnsi="宋体" w:cs="宋体"/>
        </w:rPr>
        <w:t>计提的折旧可予税前扣除，该企业在计税时采用</w:t>
      </w:r>
      <w:r>
        <w:rPr>
          <w:rFonts w:hint="eastAsia" w:ascii="宋体" w:hAnsi="宋体" w:cs="宋体"/>
          <w:color w:val="FF0000"/>
        </w:rPr>
        <w:t>双倍余额递减法</w:t>
      </w:r>
      <w:r>
        <w:rPr>
          <w:rFonts w:hint="eastAsia" w:ascii="宋体" w:hAnsi="宋体" w:cs="宋体"/>
        </w:rPr>
        <w:t>计提折旧，预计净残值为0。</w:t>
      </w:r>
      <w:r>
        <w:rPr>
          <w:rFonts w:hint="eastAsia" w:ascii="宋体" w:hAnsi="宋体" w:cs="宋体"/>
          <w:color w:val="FF0000"/>
        </w:rPr>
        <w:t>2023年12月31日</w:t>
      </w:r>
      <w:r>
        <w:rPr>
          <w:rFonts w:hint="eastAsia" w:ascii="宋体" w:hAnsi="宋体" w:cs="宋体"/>
        </w:rPr>
        <w:t>，企业估计该项固定资产的</w:t>
      </w:r>
      <w:r>
        <w:rPr>
          <w:rFonts w:hint="eastAsia" w:ascii="宋体" w:hAnsi="宋体" w:cs="宋体"/>
          <w:color w:val="FF0000"/>
        </w:rPr>
        <w:t>可收回金额为220万元。</w:t>
      </w:r>
    </w:p>
    <w:p w14:paraId="0D22DAE2">
      <w:pPr>
        <w:jc w:val="left"/>
        <w:rPr>
          <w:rFonts w:ascii="宋体" w:hAnsi="宋体" w:cs="宋体"/>
          <w:color w:val="FF0000"/>
        </w:rPr>
      </w:pPr>
      <w:r>
        <w:rPr>
          <w:rFonts w:hint="eastAsia" w:ascii="宋体" w:hAnsi="宋体" w:cs="宋体"/>
        </w:rPr>
        <w:t>2023年12月31日，该项固定资产的</w:t>
      </w:r>
      <w:r>
        <w:rPr>
          <w:rFonts w:hint="eastAsia" w:ascii="宋体" w:hAnsi="宋体" w:cs="宋体"/>
          <w:color w:val="FF0000"/>
        </w:rPr>
        <w:t>账面价值</w:t>
      </w:r>
    </w:p>
    <w:p w14:paraId="347C852E">
      <w:pPr>
        <w:jc w:val="left"/>
        <w:rPr>
          <w:rFonts w:ascii="宋体" w:hAnsi="宋体" w:cs="宋体"/>
          <w:color w:val="FF0000"/>
        </w:rPr>
      </w:pPr>
      <w:r>
        <w:rPr>
          <w:rFonts w:hint="eastAsia" w:ascii="宋体" w:hAnsi="宋体" w:cs="宋体"/>
        </w:rPr>
        <w:t xml:space="preserve">=300-30×2-20= </w:t>
      </w:r>
      <w:r>
        <w:rPr>
          <w:rFonts w:hint="eastAsia" w:ascii="宋体" w:hAnsi="宋体" w:cs="宋体"/>
          <w:color w:val="FF0000"/>
        </w:rPr>
        <w:t>220（万元）计税基础</w:t>
      </w:r>
    </w:p>
    <w:p w14:paraId="2B2BAD4E">
      <w:pPr>
        <w:jc w:val="left"/>
        <w:rPr>
          <w:rFonts w:ascii="宋体" w:hAnsi="宋体" w:cs="宋体"/>
        </w:rPr>
      </w:pPr>
      <w:r>
        <w:rPr>
          <w:rFonts w:hint="eastAsia" w:ascii="宋体" w:hAnsi="宋体" w:cs="宋体"/>
        </w:rPr>
        <w:t>=300-300×20%-240× 20%</w:t>
      </w:r>
    </w:p>
    <w:p w14:paraId="3D72E386">
      <w:pPr>
        <w:jc w:val="left"/>
        <w:rPr>
          <w:rFonts w:ascii="宋体" w:hAnsi="宋体" w:cs="宋体"/>
          <w:color w:val="FF0000"/>
        </w:rPr>
      </w:pPr>
      <w:r>
        <w:rPr>
          <w:rFonts w:hint="eastAsia" w:ascii="宋体" w:hAnsi="宋体" w:cs="宋体"/>
          <w:color w:val="FF0000"/>
        </w:rPr>
        <w:t xml:space="preserve">=192（万元） </w:t>
      </w:r>
    </w:p>
    <w:p w14:paraId="08CA606A">
      <w:pPr>
        <w:jc w:val="left"/>
        <w:rPr>
          <w:rFonts w:hint="eastAsia" w:ascii="宋体" w:hAnsi="宋体" w:cs="宋体"/>
          <w:color w:val="FF0000"/>
        </w:rPr>
      </w:pPr>
      <w:r>
        <w:rPr>
          <w:rFonts w:hint="eastAsia" w:ascii="宋体" w:hAnsi="宋体" w:cs="宋体"/>
        </w:rPr>
        <w:t>该项固定资产账面价值220万元与其计税192万元之间的</w:t>
      </w:r>
      <w:r>
        <w:rPr>
          <w:rFonts w:hint="eastAsia" w:ascii="宋体" w:hAnsi="宋体" w:cs="宋体"/>
          <w:color w:val="FF0000"/>
        </w:rPr>
        <w:t>28万元差额</w:t>
      </w:r>
      <w:r>
        <w:rPr>
          <w:rFonts w:hint="eastAsia" w:ascii="宋体" w:hAnsi="宋体" w:cs="宋体"/>
        </w:rPr>
        <w:t>，代表着将于未来期间计入企业</w:t>
      </w:r>
      <w:r>
        <w:rPr>
          <w:rFonts w:hint="eastAsia" w:ascii="宋体" w:hAnsi="宋体" w:cs="宋体"/>
          <w:color w:val="FF0000"/>
        </w:rPr>
        <w:t>应纳税</w:t>
      </w:r>
      <w:r>
        <w:rPr>
          <w:rFonts w:hint="eastAsia" w:ascii="宋体" w:hAnsi="宋体" w:cs="宋体"/>
        </w:rPr>
        <w:t>所得额的金额，产生未来期间应交所得税的增加，</w:t>
      </w:r>
      <w:r>
        <w:rPr>
          <w:rFonts w:hint="eastAsia" w:ascii="宋体" w:hAnsi="宋体" w:cs="宋体"/>
          <w:color w:val="FF0000"/>
        </w:rPr>
        <w:t>应确认为递延所得税负债。</w:t>
      </w:r>
    </w:p>
    <w:p w14:paraId="093FB799">
      <w:pPr>
        <w:jc w:val="left"/>
        <w:rPr>
          <w:rFonts w:ascii="宋体" w:hAnsi="宋体" w:cs="宋体"/>
        </w:rPr>
      </w:pPr>
      <w:r>
        <w:rPr>
          <w:rFonts w:hint="eastAsia" w:ascii="宋体" w:hAnsi="宋体" w:cs="宋体"/>
          <w:color w:val="FF0000"/>
        </w:rPr>
        <w:t>【例17-2】</w:t>
      </w:r>
      <w:r>
        <w:rPr>
          <w:rFonts w:hint="eastAsia" w:ascii="宋体" w:hAnsi="宋体" w:cs="宋体"/>
        </w:rPr>
        <w:t>甲公司于2022年12月20日取得某设备，成本为</w:t>
      </w:r>
      <w:r>
        <w:rPr>
          <w:rFonts w:hint="eastAsia" w:ascii="宋体" w:hAnsi="宋体" w:cs="宋体"/>
          <w:color w:val="FF0000"/>
        </w:rPr>
        <w:t>1 600万元</w:t>
      </w:r>
      <w:r>
        <w:rPr>
          <w:rFonts w:hint="eastAsia" w:ascii="宋体" w:hAnsi="宋体" w:cs="宋体"/>
        </w:rPr>
        <w:t>，预计使用10年，预计净残值为0，采用年限平均法计提折旧</w:t>
      </w:r>
      <w:r>
        <w:rPr>
          <w:rFonts w:hint="eastAsia" w:ascii="宋体" w:hAnsi="宋体" w:cs="宋体"/>
          <w:color w:val="FF0000"/>
        </w:rPr>
        <w:t>（每年160万）。2025年12月31日</w:t>
      </w:r>
      <w:r>
        <w:rPr>
          <w:rFonts w:hint="eastAsia" w:ascii="宋体" w:hAnsi="宋体" w:cs="宋体"/>
        </w:rPr>
        <w:t>，根据该设备生产产品的市场占有情况，甲公司估计其可收回金额为</w:t>
      </w:r>
      <w:r>
        <w:rPr>
          <w:rFonts w:hint="eastAsia" w:ascii="宋体" w:hAnsi="宋体" w:cs="宋体"/>
          <w:color w:val="FF0000"/>
        </w:rPr>
        <w:t>920万元。</w:t>
      </w:r>
    </w:p>
    <w:p w14:paraId="528FFE54">
      <w:pPr>
        <w:jc w:val="left"/>
        <w:rPr>
          <w:rFonts w:hint="eastAsia" w:ascii="宋体" w:hAnsi="宋体" w:cs="宋体"/>
        </w:rPr>
      </w:pPr>
      <w:r>
        <w:rPr>
          <w:rFonts w:hint="eastAsia" w:ascii="宋体" w:hAnsi="宋体" w:cs="宋体"/>
        </w:rPr>
        <w:t>假定</w:t>
      </w:r>
      <w:r>
        <w:rPr>
          <w:rFonts w:hint="eastAsia" w:ascii="宋体" w:hAnsi="宋体" w:cs="宋体"/>
          <w:color w:val="FF0000"/>
        </w:rPr>
        <w:t>税法规定的折旧方法、折旧年限与会计准则相同</w:t>
      </w:r>
      <w:r>
        <w:rPr>
          <w:rFonts w:hint="eastAsia" w:ascii="宋体" w:hAnsi="宋体" w:cs="宋体"/>
        </w:rPr>
        <w:t>，企业的资产在发生实质性损失时可予税前扣除。</w:t>
      </w:r>
    </w:p>
    <w:p w14:paraId="31909145">
      <w:pPr>
        <w:jc w:val="left"/>
        <w:rPr>
          <w:rFonts w:ascii="宋体" w:hAnsi="宋体" w:cs="宋体"/>
          <w:color w:val="FF0000"/>
        </w:rPr>
      </w:pPr>
      <w:r>
        <w:rPr>
          <w:rFonts w:hint="eastAsia" w:ascii="宋体" w:hAnsi="宋体" w:cs="宋体"/>
          <w:color w:val="FF0000"/>
        </w:rPr>
        <w:t>分析：</w:t>
      </w:r>
    </w:p>
    <w:p w14:paraId="132258FF">
      <w:pPr>
        <w:jc w:val="left"/>
        <w:rPr>
          <w:rFonts w:ascii="宋体" w:hAnsi="宋体" w:cs="宋体"/>
        </w:rPr>
      </w:pPr>
      <w:r>
        <w:rPr>
          <w:rFonts w:hint="eastAsia" w:ascii="宋体" w:hAnsi="宋体" w:cs="宋体"/>
        </w:rPr>
        <w:t xml:space="preserve">2025年12月31日，甲公司该设备的账面价值 </w:t>
      </w:r>
    </w:p>
    <w:p w14:paraId="2477F685">
      <w:pPr>
        <w:jc w:val="left"/>
        <w:rPr>
          <w:rFonts w:ascii="宋体" w:hAnsi="宋体" w:cs="宋体"/>
          <w:color w:val="FF0000"/>
        </w:rPr>
      </w:pPr>
      <w:r>
        <w:rPr>
          <w:rFonts w:hint="eastAsia" w:ascii="宋体" w:hAnsi="宋体" w:cs="宋体"/>
        </w:rPr>
        <w:t xml:space="preserve">=1 600-1 600×3= </w:t>
      </w:r>
      <w:r>
        <w:rPr>
          <w:rFonts w:hint="eastAsia" w:ascii="宋体" w:hAnsi="宋体" w:cs="宋体"/>
          <w:color w:val="FF0000"/>
        </w:rPr>
        <w:t>1 120（万元）</w:t>
      </w:r>
      <w:r>
        <w:rPr>
          <w:rFonts w:hint="eastAsia" w:ascii="宋体" w:hAnsi="宋体" w:cs="宋体"/>
        </w:rPr>
        <w:t>，可收回金额为920万元，应当计提200万元固定资产减值准备，计提该减值准备后，</w:t>
      </w:r>
      <w:r>
        <w:rPr>
          <w:rFonts w:hint="eastAsia" w:ascii="宋体" w:hAnsi="宋体" w:cs="宋体"/>
          <w:color w:val="FF0000"/>
        </w:rPr>
        <w:t>固定资产的账面价值为920万元。</w:t>
      </w:r>
    </w:p>
    <w:p w14:paraId="43F97240">
      <w:pPr>
        <w:jc w:val="left"/>
        <w:rPr>
          <w:rFonts w:hint="eastAsia" w:ascii="宋体" w:hAnsi="宋体" w:cs="宋体"/>
          <w:color w:val="FF0000"/>
        </w:rPr>
      </w:pPr>
      <w:r>
        <w:rPr>
          <w:rFonts w:hint="eastAsia" w:ascii="宋体" w:hAnsi="宋体" w:cs="宋体"/>
        </w:rPr>
        <w:t>该设备的计税基础=</w:t>
      </w:r>
      <w:r>
        <w:rPr>
          <w:rFonts w:hint="eastAsia" w:ascii="宋体" w:hAnsi="宋体" w:cs="宋体"/>
          <w:color w:val="FF0000"/>
        </w:rPr>
        <w:t>1 600-1 600×3=1 120（万元）</w:t>
      </w:r>
      <w:r>
        <w:rPr>
          <w:rFonts w:hint="eastAsia" w:ascii="宋体" w:hAnsi="宋体" w:cs="宋体"/>
        </w:rPr>
        <w:t>，资产的账面价值920万元小于其计税基础1120万元，产生</w:t>
      </w:r>
      <w:r>
        <w:rPr>
          <w:rFonts w:hint="eastAsia" w:ascii="宋体" w:hAnsi="宋体" w:cs="宋体"/>
          <w:color w:val="FF0000"/>
        </w:rPr>
        <w:t>可抵扣暂时性差异200万元。（递延所得税资产50万元）</w:t>
      </w:r>
    </w:p>
    <w:p w14:paraId="75C2A9A6">
      <w:pPr>
        <w:jc w:val="left"/>
        <w:rPr>
          <w:rFonts w:ascii="宋体" w:hAnsi="宋体" w:cs="宋体"/>
          <w:color w:val="FF0000"/>
        </w:rPr>
      </w:pPr>
      <w:r>
        <w:rPr>
          <w:rFonts w:hint="eastAsia" w:ascii="宋体" w:hAnsi="宋体" w:cs="宋体"/>
          <w:color w:val="FF0000"/>
        </w:rPr>
        <w:t>（二）无形资产</w:t>
      </w:r>
    </w:p>
    <w:p w14:paraId="3FF88A21">
      <w:pPr>
        <w:jc w:val="left"/>
        <w:rPr>
          <w:rFonts w:ascii="宋体" w:hAnsi="宋体" w:cs="宋体"/>
          <w:color w:val="FF0000"/>
        </w:rPr>
      </w:pPr>
      <w:r>
        <w:rPr>
          <w:rFonts w:hint="eastAsia" w:ascii="宋体" w:hAnsi="宋体" w:cs="宋体"/>
          <w:color w:val="FF0000"/>
        </w:rPr>
        <w:t>除内部研究开发形成的无形资产外，</w:t>
      </w:r>
      <w:r>
        <w:rPr>
          <w:rFonts w:hint="eastAsia" w:ascii="宋体" w:hAnsi="宋体" w:cs="宋体"/>
        </w:rPr>
        <w:t>以其他方式取得的无形资产，初始确认时其入账价值与税法规定的成本之间</w:t>
      </w:r>
      <w:r>
        <w:rPr>
          <w:rFonts w:hint="eastAsia" w:ascii="宋体" w:hAnsi="宋体" w:cs="宋体"/>
          <w:color w:val="FF0000"/>
        </w:rPr>
        <w:t>一般不存在差异。</w:t>
      </w:r>
    </w:p>
    <w:p w14:paraId="2B54CBEC">
      <w:pPr>
        <w:jc w:val="left"/>
        <w:rPr>
          <w:rFonts w:ascii="宋体" w:hAnsi="宋体" w:cs="宋体"/>
        </w:rPr>
      </w:pPr>
      <w:r>
        <w:rPr>
          <w:rFonts w:hint="eastAsia" w:ascii="宋体" w:hAnsi="宋体" w:cs="宋体"/>
        </w:rPr>
        <w:t>1、对于内部研究开发形成的无形资产，</w:t>
      </w:r>
      <w:r>
        <w:rPr>
          <w:rFonts w:hint="eastAsia" w:ascii="宋体" w:hAnsi="宋体" w:cs="宋体"/>
          <w:color w:val="FF0000"/>
        </w:rPr>
        <w:t>企业</w:t>
      </w:r>
      <w:r>
        <w:rPr>
          <w:rFonts w:hint="eastAsia" w:ascii="宋体" w:hAnsi="宋体" w:cs="宋体"/>
        </w:rPr>
        <w:t>会计准则规定有关研究开发支出区分两个阶段：</w:t>
      </w:r>
    </w:p>
    <w:p w14:paraId="3A068352">
      <w:pPr>
        <w:jc w:val="left"/>
        <w:rPr>
          <w:rFonts w:ascii="宋体" w:hAnsi="宋体" w:cs="宋体"/>
          <w:color w:val="FF0000"/>
        </w:rPr>
      </w:pPr>
      <w:r>
        <w:rPr>
          <w:rFonts w:hint="eastAsia" w:ascii="宋体" w:hAnsi="宋体" w:cs="宋体"/>
          <w:color w:val="FF0000"/>
        </w:rPr>
        <w:t>研究阶段的支出应当费用化计入当期损益；</w:t>
      </w:r>
    </w:p>
    <w:p w14:paraId="14973314">
      <w:pPr>
        <w:jc w:val="left"/>
        <w:rPr>
          <w:rFonts w:hint="eastAsia" w:ascii="宋体" w:hAnsi="宋体" w:cs="宋体"/>
        </w:rPr>
      </w:pPr>
      <w:r>
        <w:rPr>
          <w:rFonts w:hint="eastAsia" w:ascii="宋体" w:hAnsi="宋体" w:cs="宋体"/>
        </w:rPr>
        <w:t>而</w:t>
      </w:r>
      <w:r>
        <w:rPr>
          <w:rFonts w:hint="eastAsia" w:ascii="宋体" w:hAnsi="宋体" w:cs="宋体"/>
          <w:color w:val="FF0000"/>
        </w:rPr>
        <w:t>开发阶段符合资本化条件以后</w:t>
      </w:r>
      <w:r>
        <w:rPr>
          <w:rFonts w:hint="eastAsia" w:ascii="宋体" w:hAnsi="宋体" w:cs="宋体"/>
        </w:rPr>
        <w:t>发生的支出资本化作为</w:t>
      </w:r>
      <w:r>
        <w:rPr>
          <w:rFonts w:hint="eastAsia" w:ascii="宋体" w:hAnsi="宋体" w:cs="宋体"/>
          <w:color w:val="FF0000"/>
        </w:rPr>
        <w:t>无形资产的成本；</w:t>
      </w:r>
    </w:p>
    <w:p w14:paraId="68A2B8C8">
      <w:pPr>
        <w:jc w:val="left"/>
        <w:rPr>
          <w:rFonts w:ascii="宋体" w:hAnsi="宋体" w:cs="宋体"/>
          <w:color w:val="FF0000"/>
        </w:rPr>
      </w:pPr>
      <w:r>
        <w:rPr>
          <w:rFonts w:hint="eastAsia" w:ascii="宋体" w:hAnsi="宋体" w:cs="宋体"/>
          <w:color w:val="FF0000"/>
        </w:rPr>
        <w:t>税法规定：</w:t>
      </w:r>
    </w:p>
    <w:p w14:paraId="6126B0C8">
      <w:pPr>
        <w:jc w:val="left"/>
        <w:rPr>
          <w:rFonts w:hint="eastAsia" w:ascii="宋体" w:hAnsi="宋体" w:cs="宋体"/>
          <w:color w:val="FF0000"/>
        </w:rPr>
      </w:pPr>
      <w:r>
        <w:rPr>
          <w:rFonts w:hint="eastAsia" w:ascii="宋体" w:hAnsi="宋体" w:cs="宋体"/>
        </w:rPr>
        <w:t>企业为开发新技术、新产品、新工艺发生的研究开发费用，未形成无形资产计入当期损益的，在按照规定据实扣除的基础上，按照</w:t>
      </w:r>
      <w:r>
        <w:rPr>
          <w:rFonts w:hint="eastAsia" w:ascii="宋体" w:hAnsi="宋体" w:cs="宋体"/>
          <w:color w:val="FF0000"/>
        </w:rPr>
        <w:t>研究开发费用的100%加计扣除</w:t>
      </w:r>
      <w:r>
        <w:rPr>
          <w:rFonts w:hint="eastAsia" w:ascii="宋体" w:hAnsi="宋体" w:cs="宋体"/>
        </w:rPr>
        <w:t>；形成无形资产的，按照无形资产成本的</w:t>
      </w:r>
      <w:r>
        <w:rPr>
          <w:rFonts w:hint="eastAsia" w:ascii="宋体" w:hAnsi="宋体" w:cs="宋体"/>
          <w:color w:val="FF0000"/>
        </w:rPr>
        <w:t>200%摊销。</w:t>
      </w:r>
    </w:p>
    <w:p w14:paraId="5A770E81">
      <w:pPr>
        <w:jc w:val="left"/>
        <w:rPr>
          <w:rFonts w:ascii="宋体" w:hAnsi="宋体" w:cs="宋体"/>
          <w:color w:val="FF0000"/>
        </w:rPr>
      </w:pPr>
      <w:r>
        <w:rPr>
          <w:rFonts w:hint="eastAsia" w:ascii="宋体" w:hAnsi="宋体" w:cs="宋体"/>
          <w:color w:val="FF0000"/>
        </w:rPr>
        <w:t>【提示】</w:t>
      </w:r>
    </w:p>
    <w:p w14:paraId="43026555">
      <w:pPr>
        <w:jc w:val="left"/>
        <w:rPr>
          <w:rFonts w:ascii="宋体" w:hAnsi="宋体" w:cs="宋体"/>
        </w:rPr>
      </w:pPr>
      <w:r>
        <w:rPr>
          <w:rFonts w:hint="eastAsia" w:ascii="宋体" w:hAnsi="宋体" w:cs="宋体"/>
        </w:rPr>
        <w:t>如果会计摊销方法、摊销年限和残值均符合税法规定，那么每期纳税</w:t>
      </w:r>
      <w:r>
        <w:rPr>
          <w:rFonts w:hint="eastAsia" w:ascii="宋体" w:hAnsi="宋体" w:cs="宋体"/>
          <w:color w:val="FF0000"/>
        </w:rPr>
        <w:t>调减的金额</w:t>
      </w:r>
      <w:r>
        <w:rPr>
          <w:rFonts w:hint="eastAsia" w:ascii="宋体" w:hAnsi="宋体" w:cs="宋体"/>
        </w:rPr>
        <w:t>均为会计计入费用金额：</w:t>
      </w:r>
    </w:p>
    <w:p w14:paraId="7296515A">
      <w:pPr>
        <w:jc w:val="left"/>
        <w:rPr>
          <w:rFonts w:ascii="宋体" w:hAnsi="宋体" w:cs="宋体"/>
          <w:color w:val="FF0000"/>
        </w:rPr>
      </w:pPr>
      <w:r>
        <w:rPr>
          <w:rFonts w:hint="eastAsia" w:ascii="宋体" w:hAnsi="宋体" w:cs="宋体"/>
          <w:color w:val="FF0000"/>
        </w:rPr>
        <w:t>研究阶段的支出</w:t>
      </w:r>
    </w:p>
    <w:p w14:paraId="08FC3B3A">
      <w:pPr>
        <w:jc w:val="left"/>
        <w:rPr>
          <w:rFonts w:ascii="宋体" w:hAnsi="宋体" w:cs="宋体"/>
          <w:color w:val="FF0000"/>
        </w:rPr>
      </w:pPr>
      <w:r>
        <w:rPr>
          <w:rFonts w:hint="eastAsia" w:ascii="宋体" w:hAnsi="宋体" w:cs="宋体"/>
          <w:color w:val="FF0000"/>
        </w:rPr>
        <w:t>开发阶段不符合资本化条件的支出</w:t>
      </w:r>
    </w:p>
    <w:p w14:paraId="34827E4E">
      <w:pPr>
        <w:jc w:val="left"/>
        <w:rPr>
          <w:rFonts w:ascii="宋体" w:hAnsi="宋体" w:cs="宋体"/>
          <w:color w:val="FF0000"/>
        </w:rPr>
      </w:pPr>
      <w:r>
        <w:rPr>
          <w:rFonts w:hint="eastAsia" w:ascii="宋体" w:hAnsi="宋体" w:cs="宋体"/>
          <w:color w:val="FF0000"/>
        </w:rPr>
        <w:t>形成无形资产后的摊销额的100%；</w:t>
      </w:r>
    </w:p>
    <w:p w14:paraId="05E83B72">
      <w:pPr>
        <w:jc w:val="left"/>
        <w:rPr>
          <w:rFonts w:ascii="宋体" w:hAnsi="宋体" w:cs="宋体"/>
        </w:rPr>
      </w:pPr>
      <w:r>
        <w:rPr>
          <w:rFonts w:hint="eastAsia" w:ascii="宋体" w:hAnsi="宋体" w:cs="宋体"/>
        </w:rPr>
        <w:t>形成无形资产的计税基础=账面价值×200%。</w:t>
      </w:r>
    </w:p>
    <w:p w14:paraId="06023378">
      <w:pPr>
        <w:jc w:val="left"/>
        <w:rPr>
          <w:rFonts w:hint="eastAsia" w:ascii="宋体" w:hAnsi="宋体" w:cs="宋体"/>
          <w:color w:val="FF0000"/>
        </w:rPr>
      </w:pPr>
      <w:r>
        <w:rPr>
          <w:rFonts w:hint="eastAsia" w:ascii="宋体" w:hAnsi="宋体" w:cs="宋体"/>
          <w:color w:val="FF0000"/>
        </w:rPr>
        <w:t>注意：此可抵扣差异不允许确认递延所得税资产</w:t>
      </w:r>
    </w:p>
    <w:p w14:paraId="36DB79F9">
      <w:pPr>
        <w:jc w:val="left"/>
        <w:rPr>
          <w:rFonts w:ascii="宋体" w:hAnsi="宋体" w:cs="宋体"/>
          <w:color w:val="FF0000"/>
        </w:rPr>
      </w:pPr>
      <w:r>
        <w:rPr>
          <w:rFonts w:hint="eastAsia" w:ascii="宋体" w:hAnsi="宋体" w:cs="宋体"/>
          <w:color w:val="FF0000"/>
        </w:rPr>
        <w:t>【例17-3】</w:t>
      </w:r>
      <w:r>
        <w:rPr>
          <w:rFonts w:hint="eastAsia" w:ascii="宋体" w:hAnsi="宋体" w:cs="宋体"/>
        </w:rPr>
        <w:t>甲公司当期发生</w:t>
      </w:r>
      <w:r>
        <w:rPr>
          <w:rFonts w:hint="eastAsia" w:ascii="宋体" w:hAnsi="宋体" w:cs="宋体"/>
          <w:color w:val="FF0000"/>
        </w:rPr>
        <w:t>研究开发支出</w:t>
      </w:r>
      <w:r>
        <w:rPr>
          <w:rFonts w:hint="eastAsia" w:ascii="宋体" w:hAnsi="宋体" w:cs="宋体"/>
        </w:rPr>
        <w:t>共计</w:t>
      </w:r>
      <w:r>
        <w:rPr>
          <w:rFonts w:hint="eastAsia" w:ascii="宋体" w:hAnsi="宋体" w:cs="宋体"/>
          <w:color w:val="FF0000"/>
        </w:rPr>
        <w:t>1 000万元</w:t>
      </w:r>
      <w:r>
        <w:rPr>
          <w:rFonts w:hint="eastAsia" w:ascii="宋体" w:hAnsi="宋体" w:cs="宋体"/>
        </w:rPr>
        <w:t>，其中</w:t>
      </w:r>
      <w:r>
        <w:rPr>
          <w:rFonts w:hint="eastAsia" w:ascii="宋体" w:hAnsi="宋体" w:cs="宋体"/>
          <w:color w:val="FF0000"/>
        </w:rPr>
        <w:t>研究阶段</w:t>
      </w:r>
      <w:r>
        <w:rPr>
          <w:rFonts w:hint="eastAsia" w:ascii="宋体" w:hAnsi="宋体" w:cs="宋体"/>
        </w:rPr>
        <w:t>支出</w:t>
      </w:r>
      <w:r>
        <w:rPr>
          <w:rFonts w:hint="eastAsia" w:ascii="宋体" w:hAnsi="宋体" w:cs="宋体"/>
          <w:color w:val="FF0000"/>
        </w:rPr>
        <w:t>200万元</w:t>
      </w:r>
      <w:r>
        <w:rPr>
          <w:rFonts w:hint="eastAsia" w:ascii="宋体" w:hAnsi="宋体" w:cs="宋体"/>
        </w:rPr>
        <w:t>，开发阶段符合资本化条件</w:t>
      </w:r>
      <w:r>
        <w:rPr>
          <w:rFonts w:hint="eastAsia" w:ascii="宋体" w:hAnsi="宋体" w:cs="宋体"/>
          <w:color w:val="FF0000"/>
        </w:rPr>
        <w:t>前</w:t>
      </w:r>
      <w:r>
        <w:rPr>
          <w:rFonts w:hint="eastAsia" w:ascii="宋体" w:hAnsi="宋体" w:cs="宋体"/>
        </w:rPr>
        <w:t>发生的支出为</w:t>
      </w:r>
      <w:r>
        <w:rPr>
          <w:rFonts w:hint="eastAsia" w:ascii="宋体" w:hAnsi="宋体" w:cs="宋体"/>
          <w:color w:val="FF0000"/>
        </w:rPr>
        <w:t>200万元</w:t>
      </w:r>
      <w:r>
        <w:rPr>
          <w:rFonts w:hint="eastAsia" w:ascii="宋体" w:hAnsi="宋体" w:cs="宋体"/>
        </w:rPr>
        <w:t>，符合资本化条件</w:t>
      </w:r>
      <w:r>
        <w:rPr>
          <w:rFonts w:hint="eastAsia" w:ascii="宋体" w:hAnsi="宋体" w:cs="宋体"/>
          <w:color w:val="FF0000"/>
        </w:rPr>
        <w:t>后</w:t>
      </w:r>
      <w:r>
        <w:rPr>
          <w:rFonts w:hint="eastAsia" w:ascii="宋体" w:hAnsi="宋体" w:cs="宋体"/>
        </w:rPr>
        <w:t>发生的支出为</w:t>
      </w:r>
      <w:r>
        <w:rPr>
          <w:rFonts w:hint="eastAsia" w:ascii="宋体" w:hAnsi="宋体" w:cs="宋体"/>
          <w:color w:val="FF0000"/>
        </w:rPr>
        <w:t>600万元。</w:t>
      </w:r>
      <w:r>
        <w:rPr>
          <w:rFonts w:hint="eastAsia" w:ascii="宋体" w:hAnsi="宋体" w:cs="宋体"/>
        </w:rPr>
        <w:t>假定开发形成的无形资产</w:t>
      </w:r>
      <w:r>
        <w:rPr>
          <w:rFonts w:hint="eastAsia" w:ascii="宋体" w:hAnsi="宋体" w:cs="宋体"/>
          <w:color w:val="FF0000"/>
        </w:rPr>
        <w:t>在当期期末已达到预定用途，但尚未进行摊销。</w:t>
      </w:r>
    </w:p>
    <w:p w14:paraId="6CF3531A">
      <w:pPr>
        <w:jc w:val="left"/>
        <w:rPr>
          <w:rFonts w:hint="eastAsia" w:ascii="宋体" w:hAnsi="宋体" w:cs="宋体"/>
          <w:color w:val="FF0000"/>
        </w:rPr>
      </w:pPr>
      <w:r>
        <w:rPr>
          <w:rFonts w:hint="eastAsia" w:ascii="宋体" w:hAnsi="宋体" w:cs="宋体"/>
        </w:rPr>
        <w:t>分析：甲公司当年发生的研究开发支出中，按照会计规定应予</w:t>
      </w:r>
      <w:r>
        <w:rPr>
          <w:rFonts w:hint="eastAsia" w:ascii="宋体" w:hAnsi="宋体" w:cs="宋体"/>
          <w:color w:val="FF0000"/>
        </w:rPr>
        <w:t>费用化的金额为400万元，</w:t>
      </w:r>
      <w:r>
        <w:rPr>
          <w:rFonts w:hint="eastAsia" w:ascii="宋体" w:hAnsi="宋体" w:cs="宋体"/>
        </w:rPr>
        <w:t>形成无形资产的成本为600万元，即期末所形成</w:t>
      </w:r>
      <w:r>
        <w:rPr>
          <w:rFonts w:hint="eastAsia" w:ascii="宋体" w:hAnsi="宋体" w:cs="宋体"/>
          <w:color w:val="FF0000"/>
        </w:rPr>
        <w:t xml:space="preserve">无形资产的账面价值为600万元。  </w:t>
      </w:r>
    </w:p>
    <w:p w14:paraId="6A482DAF">
      <w:pPr>
        <w:jc w:val="left"/>
        <w:rPr>
          <w:rFonts w:ascii="宋体" w:hAnsi="宋体" w:cs="宋体"/>
          <w:color w:val="FF0000"/>
        </w:rPr>
      </w:pPr>
      <w:r>
        <w:rPr>
          <w:rFonts w:hint="eastAsia" w:ascii="宋体" w:hAnsi="宋体" w:cs="宋体"/>
        </w:rPr>
        <w:t>甲公司于当期发生的</w:t>
      </w:r>
      <w:r>
        <w:rPr>
          <w:rFonts w:hint="eastAsia" w:ascii="宋体" w:hAnsi="宋体" w:cs="宋体"/>
          <w:color w:val="FF0000"/>
        </w:rPr>
        <w:t>1 000万元</w:t>
      </w:r>
      <w:r>
        <w:rPr>
          <w:rFonts w:hint="eastAsia" w:ascii="宋体" w:hAnsi="宋体" w:cs="宋体"/>
        </w:rPr>
        <w:t>研究开发支出，</w:t>
      </w:r>
      <w:r>
        <w:rPr>
          <w:rFonts w:hint="eastAsia" w:ascii="宋体" w:hAnsi="宋体" w:cs="宋体"/>
          <w:color w:val="FF0000"/>
        </w:rPr>
        <w:t>可在税前扣除的金额为800万元（400+400×100%）</w:t>
      </w:r>
      <w:r>
        <w:rPr>
          <w:rFonts w:hint="eastAsia" w:ascii="宋体" w:hAnsi="宋体" w:cs="宋体"/>
        </w:rPr>
        <w:t>。对于按照会计准则规定形成无形资产的部分，税法规定按照无形资产成本的175%作为计算未来期间摊销额的基础，即该项无形资产在初始确认时的</w:t>
      </w:r>
      <w:r>
        <w:rPr>
          <w:rFonts w:hint="eastAsia" w:ascii="宋体" w:hAnsi="宋体" w:cs="宋体"/>
          <w:color w:val="FF0000"/>
        </w:rPr>
        <w:t>计税基础为1 200万（600×200%）元。</w:t>
      </w:r>
    </w:p>
    <w:p w14:paraId="1E7F0EFA">
      <w:pPr>
        <w:jc w:val="left"/>
        <w:rPr>
          <w:rFonts w:hint="eastAsia" w:ascii="宋体" w:hAnsi="宋体" w:cs="宋体"/>
          <w:color w:val="FF0000"/>
        </w:rPr>
      </w:pPr>
      <w:r>
        <w:rPr>
          <w:rFonts w:hint="eastAsia" w:ascii="宋体" w:hAnsi="宋体" w:cs="宋体"/>
        </w:rPr>
        <w:t>该项无形资产的</w:t>
      </w:r>
      <w:r>
        <w:rPr>
          <w:rFonts w:hint="eastAsia" w:ascii="宋体" w:hAnsi="宋体" w:cs="宋体"/>
          <w:color w:val="FF0000"/>
        </w:rPr>
        <w:t>账面价值600万元</w:t>
      </w:r>
      <w:r>
        <w:rPr>
          <w:rFonts w:hint="eastAsia" w:ascii="宋体" w:hAnsi="宋体" w:cs="宋体"/>
        </w:rPr>
        <w:t>与其</w:t>
      </w:r>
      <w:r>
        <w:rPr>
          <w:rFonts w:hint="eastAsia" w:ascii="宋体" w:hAnsi="宋体" w:cs="宋体"/>
          <w:color w:val="FF0000"/>
        </w:rPr>
        <w:t>计税基础1 200万元之间的差额600万元</w:t>
      </w:r>
      <w:r>
        <w:rPr>
          <w:rFonts w:hint="eastAsia" w:ascii="宋体" w:hAnsi="宋体" w:cs="宋体"/>
        </w:rPr>
        <w:t>将于未来期间税前扣除，</w:t>
      </w:r>
      <w:r>
        <w:rPr>
          <w:rFonts w:hint="eastAsia" w:ascii="宋体" w:hAnsi="宋体" w:cs="宋体"/>
          <w:color w:val="FF0000"/>
        </w:rPr>
        <w:t>产生可抵扣暂时性差异。（但不允许确认递延所得税资产）</w:t>
      </w:r>
    </w:p>
    <w:p w14:paraId="314DD361">
      <w:pPr>
        <w:jc w:val="left"/>
        <w:rPr>
          <w:rFonts w:ascii="宋体" w:hAnsi="宋体" w:cs="宋体"/>
        </w:rPr>
      </w:pPr>
      <w:r>
        <w:rPr>
          <w:rFonts w:hint="eastAsia" w:ascii="宋体" w:hAnsi="宋体" w:cs="宋体"/>
        </w:rPr>
        <w:t>2、无形资产在</w:t>
      </w:r>
      <w:r>
        <w:rPr>
          <w:rFonts w:hint="eastAsia" w:ascii="宋体" w:hAnsi="宋体" w:cs="宋体"/>
          <w:color w:val="FF0000"/>
        </w:rPr>
        <w:t>后续计量时，</w:t>
      </w:r>
      <w:r>
        <w:rPr>
          <w:rFonts w:hint="eastAsia" w:ascii="宋体" w:hAnsi="宋体" w:cs="宋体"/>
        </w:rPr>
        <w:t>会计与税法的差异主要产生于对无形资产</w:t>
      </w:r>
      <w:r>
        <w:rPr>
          <w:rFonts w:hint="eastAsia" w:ascii="宋体" w:hAnsi="宋体" w:cs="宋体"/>
          <w:color w:val="FF0000"/>
        </w:rPr>
        <w:t>是否需要摊销</w:t>
      </w:r>
      <w:r>
        <w:rPr>
          <w:rFonts w:hint="eastAsia" w:ascii="宋体" w:hAnsi="宋体" w:cs="宋体"/>
        </w:rPr>
        <w:t>，无形资产摊销</w:t>
      </w:r>
      <w:r>
        <w:rPr>
          <w:rFonts w:hint="eastAsia" w:ascii="宋体" w:hAnsi="宋体" w:cs="宋体"/>
          <w:color w:val="FF0000"/>
        </w:rPr>
        <w:t>方法、</w:t>
      </w:r>
      <w:r>
        <w:rPr>
          <w:rFonts w:hint="eastAsia" w:ascii="宋体" w:hAnsi="宋体" w:cs="宋体"/>
        </w:rPr>
        <w:t>摊销</w:t>
      </w:r>
      <w:r>
        <w:rPr>
          <w:rFonts w:hint="eastAsia" w:ascii="宋体" w:hAnsi="宋体" w:cs="宋体"/>
          <w:color w:val="FF0000"/>
        </w:rPr>
        <w:t>年限</w:t>
      </w:r>
      <w:r>
        <w:rPr>
          <w:rFonts w:hint="eastAsia" w:ascii="宋体" w:hAnsi="宋体" w:cs="宋体"/>
        </w:rPr>
        <w:t>的不同以及无形资产</w:t>
      </w:r>
      <w:r>
        <w:rPr>
          <w:rFonts w:hint="eastAsia" w:ascii="宋体" w:hAnsi="宋体" w:cs="宋体"/>
          <w:color w:val="FF0000"/>
        </w:rPr>
        <w:t>减值</w:t>
      </w:r>
      <w:r>
        <w:rPr>
          <w:rFonts w:hint="eastAsia" w:ascii="宋体" w:hAnsi="宋体" w:cs="宋体"/>
        </w:rPr>
        <w:t>准备的计提。</w:t>
      </w:r>
    </w:p>
    <w:p w14:paraId="73A25B9E">
      <w:pPr>
        <w:jc w:val="left"/>
        <w:rPr>
          <w:rFonts w:ascii="宋体" w:hAnsi="宋体" w:cs="宋体"/>
          <w:color w:val="FF0000"/>
        </w:rPr>
      </w:pPr>
      <w:r>
        <w:rPr>
          <w:rFonts w:hint="eastAsia" w:ascii="宋体" w:hAnsi="宋体" w:cs="宋体"/>
          <w:color w:val="FF0000"/>
        </w:rPr>
        <w:t xml:space="preserve">①使用寿命有限的无形资产： </w:t>
      </w:r>
    </w:p>
    <w:p w14:paraId="0368E2E3">
      <w:pPr>
        <w:jc w:val="left"/>
        <w:rPr>
          <w:rFonts w:ascii="宋体" w:hAnsi="宋体" w:cs="宋体"/>
          <w:color w:val="FF0000"/>
        </w:rPr>
      </w:pPr>
      <w:r>
        <w:rPr>
          <w:rFonts w:hint="eastAsia" w:ascii="宋体" w:hAnsi="宋体" w:cs="宋体"/>
        </w:rPr>
        <w:t>账面价值=实际成本-会计累计摊销-</w:t>
      </w:r>
      <w:r>
        <w:rPr>
          <w:rFonts w:hint="eastAsia" w:ascii="宋体" w:hAnsi="宋体" w:cs="宋体"/>
          <w:color w:val="FF0000"/>
        </w:rPr>
        <w:t>无形资产减值准备</w:t>
      </w:r>
    </w:p>
    <w:p w14:paraId="7CAEDE1A">
      <w:pPr>
        <w:jc w:val="left"/>
        <w:rPr>
          <w:rFonts w:ascii="宋体" w:hAnsi="宋体" w:cs="宋体"/>
        </w:rPr>
      </w:pPr>
      <w:r>
        <w:rPr>
          <w:rFonts w:hint="eastAsia" w:ascii="宋体" w:hAnsi="宋体" w:cs="宋体"/>
        </w:rPr>
        <w:t>计税基础=实际成本-税法累计摊销</w:t>
      </w:r>
    </w:p>
    <w:p w14:paraId="3BCC84B5">
      <w:pPr>
        <w:jc w:val="left"/>
        <w:rPr>
          <w:rFonts w:ascii="宋体" w:hAnsi="宋体" w:cs="宋体"/>
          <w:color w:val="FF0000"/>
        </w:rPr>
      </w:pPr>
      <w:r>
        <w:rPr>
          <w:rFonts w:hint="eastAsia" w:ascii="宋体" w:hAnsi="宋体" w:cs="宋体"/>
          <w:color w:val="FF0000"/>
        </w:rPr>
        <w:t>②使用寿命不确定的无形资产：</w:t>
      </w:r>
    </w:p>
    <w:p w14:paraId="33C3CDC5">
      <w:pPr>
        <w:jc w:val="left"/>
        <w:rPr>
          <w:rFonts w:ascii="宋体" w:hAnsi="宋体" w:cs="宋体"/>
        </w:rPr>
      </w:pPr>
      <w:r>
        <w:rPr>
          <w:rFonts w:hint="eastAsia" w:ascii="宋体" w:hAnsi="宋体" w:cs="宋体"/>
        </w:rPr>
        <w:t>账面价值=实际成本-无形资产减值准备</w:t>
      </w:r>
    </w:p>
    <w:p w14:paraId="12EA884D">
      <w:pPr>
        <w:jc w:val="left"/>
        <w:rPr>
          <w:rFonts w:hint="eastAsia" w:ascii="宋体" w:hAnsi="宋体" w:cs="宋体"/>
          <w:color w:val="FF0000"/>
        </w:rPr>
      </w:pPr>
      <w:r>
        <w:rPr>
          <w:rFonts w:hint="eastAsia" w:ascii="宋体" w:hAnsi="宋体" w:cs="宋体"/>
        </w:rPr>
        <w:t>计税基础=实际成本-税法累计摊销</w:t>
      </w:r>
      <w:r>
        <w:rPr>
          <w:rFonts w:hint="eastAsia" w:ascii="宋体" w:hAnsi="宋体" w:cs="宋体"/>
          <w:color w:val="FF0000"/>
        </w:rPr>
        <w:t>（10年摊销）　</w:t>
      </w:r>
    </w:p>
    <w:p w14:paraId="226400C4">
      <w:pPr>
        <w:jc w:val="left"/>
        <w:rPr>
          <w:rFonts w:hint="eastAsia" w:ascii="宋体" w:hAnsi="宋体" w:cs="宋体"/>
          <w:color w:val="FF0000"/>
        </w:rPr>
      </w:pPr>
      <w:r>
        <w:rPr>
          <w:rFonts w:hint="eastAsia" w:ascii="宋体" w:hAnsi="宋体" w:cs="宋体"/>
          <w:color w:val="FF0000"/>
        </w:rPr>
        <w:t>【例17-4】</w:t>
      </w:r>
      <w:r>
        <w:rPr>
          <w:rFonts w:hint="eastAsia" w:ascii="宋体" w:hAnsi="宋体" w:cs="宋体"/>
        </w:rPr>
        <w:t>甲公司于2023年1月1日</w:t>
      </w:r>
      <w:r>
        <w:rPr>
          <w:rFonts w:hint="eastAsia" w:ascii="宋体" w:hAnsi="宋体" w:cs="宋体"/>
          <w:color w:val="FF0000"/>
        </w:rPr>
        <w:t>取得</w:t>
      </w:r>
      <w:r>
        <w:rPr>
          <w:rFonts w:hint="eastAsia" w:ascii="宋体" w:hAnsi="宋体" w:cs="宋体"/>
        </w:rPr>
        <w:t>某项无形资产，成本为</w:t>
      </w:r>
      <w:r>
        <w:rPr>
          <w:rFonts w:hint="eastAsia" w:ascii="宋体" w:hAnsi="宋体" w:cs="宋体"/>
          <w:color w:val="FF0000"/>
        </w:rPr>
        <w:t>600万元</w:t>
      </w:r>
      <w:r>
        <w:rPr>
          <w:rFonts w:hint="eastAsia" w:ascii="宋体" w:hAnsi="宋体" w:cs="宋体"/>
        </w:rPr>
        <w:t>。企业根据各方面情况判断，无法合理预计其带来未来经济利益的期限，</w:t>
      </w:r>
      <w:r>
        <w:rPr>
          <w:rFonts w:hint="eastAsia" w:ascii="宋体" w:hAnsi="宋体" w:cs="宋体"/>
          <w:color w:val="FF0000"/>
        </w:rPr>
        <w:t>作为使用寿命不确定的无形资产</w:t>
      </w:r>
      <w:r>
        <w:rPr>
          <w:rFonts w:hint="eastAsia" w:ascii="宋体" w:hAnsi="宋体" w:cs="宋体"/>
        </w:rPr>
        <w:t>。2023年12月31日，对该项无形资产进行减值测试表明</w:t>
      </w:r>
      <w:r>
        <w:rPr>
          <w:rFonts w:hint="eastAsia" w:ascii="宋体" w:hAnsi="宋体" w:cs="宋体"/>
          <w:color w:val="FF0000"/>
        </w:rPr>
        <w:t>未发生减值</w:t>
      </w:r>
      <w:r>
        <w:rPr>
          <w:rFonts w:hint="eastAsia" w:ascii="宋体" w:hAnsi="宋体" w:cs="宋体"/>
        </w:rPr>
        <w:t>。企业在</w:t>
      </w:r>
      <w:r>
        <w:rPr>
          <w:rFonts w:hint="eastAsia" w:ascii="宋体" w:hAnsi="宋体" w:cs="宋体"/>
          <w:color w:val="FF0000"/>
        </w:rPr>
        <w:t>计税时，</w:t>
      </w:r>
      <w:r>
        <w:rPr>
          <w:rFonts w:hint="eastAsia" w:ascii="宋体" w:hAnsi="宋体" w:cs="宋体"/>
        </w:rPr>
        <w:t>对该项无形资产按照</w:t>
      </w:r>
      <w:r>
        <w:rPr>
          <w:rFonts w:hint="eastAsia" w:ascii="宋体" w:hAnsi="宋体" w:cs="宋体"/>
          <w:color w:val="FF0000"/>
        </w:rPr>
        <w:t>10年</w:t>
      </w:r>
      <w:r>
        <w:rPr>
          <w:rFonts w:hint="eastAsia" w:ascii="宋体" w:hAnsi="宋体" w:cs="宋体"/>
        </w:rPr>
        <w:t>的期间摊销，有关摊销额允许税前扣除。</w:t>
      </w:r>
      <w:r>
        <w:rPr>
          <w:rFonts w:hint="eastAsia" w:ascii="宋体" w:hAnsi="宋体" w:cs="宋体"/>
          <w:color w:val="FF0000"/>
        </w:rPr>
        <w:t>（计税基础=600-60=540）</w:t>
      </w:r>
    </w:p>
    <w:p w14:paraId="5CDA252A">
      <w:pPr>
        <w:jc w:val="left"/>
        <w:rPr>
          <w:rFonts w:ascii="宋体" w:hAnsi="宋体" w:cs="宋体"/>
          <w:color w:val="FF0000"/>
        </w:rPr>
      </w:pPr>
      <w:r>
        <w:rPr>
          <w:rFonts w:hint="eastAsia" w:ascii="宋体" w:hAnsi="宋体" w:cs="宋体"/>
          <w:color w:val="FF0000"/>
        </w:rPr>
        <w:t>分析：</w:t>
      </w:r>
    </w:p>
    <w:p w14:paraId="6BF6D240">
      <w:pPr>
        <w:jc w:val="left"/>
        <w:rPr>
          <w:rFonts w:ascii="宋体" w:hAnsi="宋体" w:cs="宋体"/>
        </w:rPr>
      </w:pPr>
      <w:r>
        <w:rPr>
          <w:rFonts w:hint="eastAsia" w:ascii="宋体" w:hAnsi="宋体" w:cs="宋体"/>
          <w:color w:val="FF0000"/>
        </w:rPr>
        <w:t>会计上</w:t>
      </w:r>
      <w:r>
        <w:rPr>
          <w:rFonts w:hint="eastAsia" w:ascii="宋体" w:hAnsi="宋体" w:cs="宋体"/>
        </w:rPr>
        <w:t>将该项无形资产作为</w:t>
      </w:r>
      <w:r>
        <w:rPr>
          <w:rFonts w:hint="eastAsia" w:ascii="宋体" w:hAnsi="宋体" w:cs="宋体"/>
          <w:color w:val="FF0000"/>
        </w:rPr>
        <w:t>使用寿命不确定</w:t>
      </w:r>
      <w:r>
        <w:rPr>
          <w:rFonts w:hint="eastAsia" w:ascii="宋体" w:hAnsi="宋体" w:cs="宋体"/>
        </w:rPr>
        <w:t>的无形资产，在</w:t>
      </w:r>
      <w:r>
        <w:rPr>
          <w:rFonts w:hint="eastAsia" w:ascii="宋体" w:hAnsi="宋体" w:cs="宋体"/>
          <w:color w:val="FF0000"/>
        </w:rPr>
        <w:t>未发生减值</w:t>
      </w:r>
      <w:r>
        <w:rPr>
          <w:rFonts w:hint="eastAsia" w:ascii="宋体" w:hAnsi="宋体" w:cs="宋体"/>
        </w:rPr>
        <w:t>的情况下，其</w:t>
      </w:r>
      <w:r>
        <w:rPr>
          <w:rFonts w:hint="eastAsia" w:ascii="宋体" w:hAnsi="宋体" w:cs="宋体"/>
          <w:color w:val="FF0000"/>
        </w:rPr>
        <w:t>账面价值</w:t>
      </w:r>
      <w:r>
        <w:rPr>
          <w:rFonts w:hint="eastAsia" w:ascii="宋体" w:hAnsi="宋体" w:cs="宋体"/>
        </w:rPr>
        <w:t>为取得成本</w:t>
      </w:r>
      <w:r>
        <w:rPr>
          <w:rFonts w:hint="eastAsia" w:ascii="宋体" w:hAnsi="宋体" w:cs="宋体"/>
          <w:color w:val="FF0000"/>
        </w:rPr>
        <w:t>600万元</w:t>
      </w:r>
      <w:r>
        <w:rPr>
          <w:rFonts w:hint="eastAsia" w:ascii="宋体" w:hAnsi="宋体" w:cs="宋体"/>
        </w:rPr>
        <w:t>。</w:t>
      </w:r>
    </w:p>
    <w:p w14:paraId="011441EA">
      <w:pPr>
        <w:jc w:val="left"/>
        <w:rPr>
          <w:rFonts w:ascii="宋体" w:hAnsi="宋体" w:cs="宋体"/>
          <w:color w:val="FF0000"/>
        </w:rPr>
      </w:pPr>
      <w:r>
        <w:rPr>
          <w:rFonts w:hint="eastAsia" w:ascii="宋体" w:hAnsi="宋体" w:cs="宋体"/>
        </w:rPr>
        <w:t>该项无形资产在2023年12月31日的</w:t>
      </w:r>
      <w:r>
        <w:rPr>
          <w:rFonts w:hint="eastAsia" w:ascii="宋体" w:hAnsi="宋体" w:cs="宋体"/>
          <w:color w:val="FF0000"/>
        </w:rPr>
        <w:t>计税基础为540万（600-60）元。</w:t>
      </w:r>
    </w:p>
    <w:p w14:paraId="39BF231E">
      <w:pPr>
        <w:jc w:val="left"/>
        <w:rPr>
          <w:rFonts w:hint="eastAsia" w:ascii="宋体" w:hAnsi="宋体" w:cs="宋体"/>
          <w:color w:val="FF0000"/>
        </w:rPr>
      </w:pPr>
      <w:r>
        <w:rPr>
          <w:rFonts w:hint="eastAsia" w:ascii="宋体" w:hAnsi="宋体" w:cs="宋体"/>
        </w:rPr>
        <w:t>该项无形资产的账面价值600万元与其计税基础540万元之间的</w:t>
      </w:r>
      <w:r>
        <w:rPr>
          <w:rFonts w:hint="eastAsia" w:ascii="宋体" w:hAnsi="宋体" w:cs="宋体"/>
          <w:color w:val="FF0000"/>
        </w:rPr>
        <w:t>差额60万元</w:t>
      </w:r>
      <w:r>
        <w:rPr>
          <w:rFonts w:hint="eastAsia" w:ascii="宋体" w:hAnsi="宋体" w:cs="宋体"/>
        </w:rPr>
        <w:t>将计入未来期间应纳税所得额，产生未来期间企业所得税税款流出的增加，为</w:t>
      </w:r>
      <w:r>
        <w:rPr>
          <w:rFonts w:hint="eastAsia" w:ascii="宋体" w:hAnsi="宋体" w:cs="宋体"/>
          <w:color w:val="FF0000"/>
        </w:rPr>
        <w:t>应纳税暂时性差异。</w:t>
      </w:r>
    </w:p>
    <w:p w14:paraId="16CA9250">
      <w:pPr>
        <w:jc w:val="left"/>
        <w:rPr>
          <w:rFonts w:ascii="宋体" w:hAnsi="宋体" w:cs="宋体"/>
          <w:color w:val="FF0000"/>
        </w:rPr>
      </w:pPr>
      <w:r>
        <w:rPr>
          <w:rFonts w:hint="eastAsia" w:ascii="宋体" w:hAnsi="宋体" w:cs="宋体"/>
          <w:color w:val="FF0000"/>
        </w:rPr>
        <w:t>（三）以公允价值计量的资产</w:t>
      </w:r>
    </w:p>
    <w:p w14:paraId="7B585ACC">
      <w:pPr>
        <w:jc w:val="left"/>
        <w:rPr>
          <w:rFonts w:ascii="宋体" w:hAnsi="宋体" w:cs="宋体"/>
        </w:rPr>
      </w:pPr>
      <w:r>
        <w:rPr>
          <w:rFonts w:hint="eastAsia" w:ascii="宋体" w:hAnsi="宋体" w:cs="宋体"/>
        </w:rPr>
        <w:t>1、以公允价值计量且其变动计入当期损益的金融资产</w:t>
      </w:r>
    </w:p>
    <w:p w14:paraId="2009EA3F">
      <w:pPr>
        <w:jc w:val="left"/>
        <w:rPr>
          <w:rFonts w:hint="eastAsia" w:ascii="宋体" w:hAnsi="宋体" w:cs="宋体"/>
        </w:rPr>
      </w:pPr>
      <w:r>
        <w:rPr>
          <w:rFonts w:hint="eastAsia" w:ascii="宋体" w:hAnsi="宋体" w:cs="宋体"/>
        </w:rPr>
        <w:t>2、以公允价值计量且其变动计入其他综合收益的金融资产</w:t>
      </w:r>
    </w:p>
    <w:p w14:paraId="1C2AFDE2">
      <w:pPr>
        <w:jc w:val="left"/>
        <w:rPr>
          <w:rFonts w:ascii="宋体" w:hAnsi="宋体" w:cs="宋体"/>
        </w:rPr>
      </w:pPr>
      <w:r>
        <w:rPr>
          <w:rFonts w:hint="eastAsia" w:ascii="宋体" w:hAnsi="宋体" w:cs="宋体"/>
        </w:rPr>
        <w:t xml:space="preserve">1、以公允价值计量且其变动计入当期损益的金融资产 </w:t>
      </w:r>
    </w:p>
    <w:p w14:paraId="46EF6A54">
      <w:pPr>
        <w:jc w:val="left"/>
        <w:rPr>
          <w:rFonts w:ascii="宋体" w:hAnsi="宋体" w:cs="宋体"/>
        </w:rPr>
      </w:pPr>
      <w:r>
        <w:rPr>
          <w:rFonts w:hint="eastAsia" w:ascii="宋体" w:hAnsi="宋体" w:cs="宋体"/>
        </w:rPr>
        <w:t>会计：账面价值：</w:t>
      </w:r>
      <w:r>
        <w:rPr>
          <w:rFonts w:hint="eastAsia" w:ascii="宋体" w:hAnsi="宋体" w:cs="宋体"/>
          <w:color w:val="FF0000"/>
        </w:rPr>
        <w:t>公允价值</w:t>
      </w:r>
      <w:r>
        <w:rPr>
          <w:rFonts w:hint="eastAsia" w:ascii="宋体" w:hAnsi="宋体" w:cs="宋体"/>
        </w:rPr>
        <w:t>（期末按公允价值计量，公允价值变动计入公允价值变动损益）</w:t>
      </w:r>
    </w:p>
    <w:p w14:paraId="6DCF6830">
      <w:pPr>
        <w:jc w:val="left"/>
        <w:rPr>
          <w:rFonts w:hint="eastAsia" w:ascii="宋体" w:hAnsi="宋体" w:cs="宋体"/>
          <w:color w:val="FF0000"/>
        </w:rPr>
      </w:pPr>
      <w:r>
        <w:rPr>
          <w:rFonts w:hint="eastAsia" w:ascii="宋体" w:hAnsi="宋体" w:cs="宋体"/>
        </w:rPr>
        <w:t>税法：计税基础：</w:t>
      </w:r>
      <w:r>
        <w:rPr>
          <w:rFonts w:hint="eastAsia" w:ascii="宋体" w:hAnsi="宋体" w:cs="宋体"/>
          <w:color w:val="FF0000"/>
        </w:rPr>
        <w:t>取得时的成本</w:t>
      </w:r>
    </w:p>
    <w:p w14:paraId="3341E390">
      <w:pPr>
        <w:jc w:val="left"/>
        <w:rPr>
          <w:rFonts w:hint="eastAsia" w:ascii="宋体" w:hAnsi="宋体" w:cs="宋体"/>
        </w:rPr>
      </w:pPr>
      <w:r>
        <w:rPr>
          <w:rFonts w:hint="eastAsia" w:ascii="宋体" w:hAnsi="宋体" w:cs="宋体"/>
          <w:color w:val="FF0000"/>
        </w:rPr>
        <w:t>【例17-5】</w:t>
      </w:r>
      <w:r>
        <w:rPr>
          <w:rFonts w:hint="eastAsia" w:ascii="宋体" w:hAnsi="宋体" w:cs="宋体"/>
        </w:rPr>
        <w:t>甲公司2023年7月以</w:t>
      </w:r>
      <w:r>
        <w:rPr>
          <w:rFonts w:hint="eastAsia" w:ascii="宋体" w:hAnsi="宋体" w:cs="宋体"/>
          <w:color w:val="FF0000"/>
        </w:rPr>
        <w:t>52万元</w:t>
      </w:r>
      <w:r>
        <w:rPr>
          <w:rFonts w:hint="eastAsia" w:ascii="宋体" w:hAnsi="宋体" w:cs="宋体"/>
        </w:rPr>
        <w:t>取得乙公司股票</w:t>
      </w:r>
      <w:r>
        <w:rPr>
          <w:rFonts w:hint="eastAsia" w:ascii="宋体" w:hAnsi="宋体" w:cs="宋体"/>
          <w:color w:val="FF0000"/>
        </w:rPr>
        <w:t>50 000股</w:t>
      </w:r>
      <w:r>
        <w:rPr>
          <w:rFonts w:hint="eastAsia" w:ascii="宋体" w:hAnsi="宋体" w:cs="宋体"/>
        </w:rPr>
        <w:t>作为交易性金融资产核算，2023年12月31日，甲公司尚未出售所持有乙公司股票，乙公司股票</w:t>
      </w:r>
      <w:r>
        <w:rPr>
          <w:rFonts w:hint="eastAsia" w:ascii="宋体" w:hAnsi="宋体" w:cs="宋体"/>
          <w:color w:val="FF0000"/>
        </w:rPr>
        <w:t>公允价值为每股12.4元。税法规定</w:t>
      </w:r>
      <w:r>
        <w:rPr>
          <w:rFonts w:hint="eastAsia" w:ascii="宋体" w:hAnsi="宋体" w:cs="宋体"/>
        </w:rPr>
        <w:t>，资产在持有期间公允价值的变动不计入当期应纳税所得额，待处置时一并计算应计入应纳税所得额金额。</w:t>
      </w:r>
    </w:p>
    <w:p w14:paraId="5FE04D18">
      <w:pPr>
        <w:jc w:val="left"/>
        <w:rPr>
          <w:rFonts w:ascii="宋体" w:hAnsi="宋体" w:cs="宋体"/>
        </w:rPr>
      </w:pPr>
      <w:r>
        <w:rPr>
          <w:rFonts w:hint="eastAsia" w:ascii="宋体" w:hAnsi="宋体" w:cs="宋体"/>
        </w:rPr>
        <w:t>分析：</w:t>
      </w:r>
    </w:p>
    <w:p w14:paraId="0A02F540">
      <w:pPr>
        <w:jc w:val="left"/>
        <w:rPr>
          <w:rFonts w:ascii="宋体" w:hAnsi="宋体" w:cs="宋体"/>
        </w:rPr>
      </w:pPr>
      <w:r>
        <w:rPr>
          <w:rFonts w:hint="eastAsia" w:ascii="宋体" w:hAnsi="宋体" w:cs="宋体"/>
        </w:rPr>
        <w:t>作为交易性金融资产的乙公司股票在2023年12月31日的</w:t>
      </w:r>
      <w:r>
        <w:rPr>
          <w:rFonts w:hint="eastAsia" w:ascii="宋体" w:hAnsi="宋体" w:cs="宋体"/>
          <w:color w:val="FF0000"/>
        </w:rPr>
        <w:t>账面价值为62万元（12.4×50 000）</w:t>
      </w:r>
      <w:r>
        <w:rPr>
          <w:rFonts w:hint="eastAsia" w:ascii="宋体" w:hAnsi="宋体" w:cs="宋体"/>
        </w:rPr>
        <w:t>，其</w:t>
      </w:r>
      <w:r>
        <w:rPr>
          <w:rFonts w:hint="eastAsia" w:ascii="宋体" w:hAnsi="宋体" w:cs="宋体"/>
          <w:color w:val="FF0000"/>
        </w:rPr>
        <w:t>计税基础</w:t>
      </w:r>
      <w:r>
        <w:rPr>
          <w:rFonts w:hint="eastAsia" w:ascii="宋体" w:hAnsi="宋体" w:cs="宋体"/>
        </w:rPr>
        <w:t>为原取得成本不变，</w:t>
      </w:r>
      <w:r>
        <w:rPr>
          <w:rFonts w:hint="eastAsia" w:ascii="宋体" w:hAnsi="宋体" w:cs="宋体"/>
          <w:color w:val="FF0000"/>
        </w:rPr>
        <w:t>即52万元</w:t>
      </w:r>
      <w:r>
        <w:rPr>
          <w:rFonts w:hint="eastAsia" w:ascii="宋体" w:hAnsi="宋体" w:cs="宋体"/>
        </w:rPr>
        <w:t>，两者之间产生</w:t>
      </w:r>
      <w:r>
        <w:rPr>
          <w:rFonts w:hint="eastAsia" w:ascii="宋体" w:hAnsi="宋体" w:cs="宋体"/>
          <w:color w:val="FF0000"/>
        </w:rPr>
        <w:t>10万元的应纳税暂时性差异。</w:t>
      </w:r>
    </w:p>
    <w:p w14:paraId="262F576C">
      <w:pPr>
        <w:jc w:val="left"/>
        <w:rPr>
          <w:rFonts w:ascii="宋体" w:hAnsi="宋体" w:cs="宋体"/>
        </w:rPr>
      </w:pPr>
      <w:r>
        <w:rPr>
          <w:rFonts w:ascii="宋体" w:hAnsi="宋体" w:cs="宋体"/>
        </w:rPr>
        <w:t xml:space="preserve">借：所得税费用        25 000  </w:t>
      </w:r>
    </w:p>
    <w:p w14:paraId="4FEE0CB2">
      <w:pPr>
        <w:jc w:val="left"/>
        <w:rPr>
          <w:rFonts w:hint="eastAsia" w:ascii="宋体" w:hAnsi="宋体" w:cs="宋体"/>
        </w:rPr>
      </w:pPr>
      <w:r>
        <w:rPr>
          <w:rFonts w:ascii="宋体" w:hAnsi="宋体" w:cs="宋体"/>
        </w:rPr>
        <w:t>　　贷：递延所得税负债    25 000</w:t>
      </w:r>
    </w:p>
    <w:p w14:paraId="4C0BC2A4">
      <w:pPr>
        <w:jc w:val="left"/>
        <w:rPr>
          <w:rFonts w:ascii="宋体" w:hAnsi="宋体" w:cs="宋体"/>
        </w:rPr>
      </w:pPr>
      <w:r>
        <w:rPr>
          <w:rFonts w:hint="eastAsia" w:ascii="宋体" w:hAnsi="宋体" w:cs="宋体"/>
        </w:rPr>
        <w:t>2、以公允价值计量且其变动计入其他综合收益的金融资产</w:t>
      </w:r>
    </w:p>
    <w:p w14:paraId="5135B77F">
      <w:pPr>
        <w:jc w:val="left"/>
        <w:rPr>
          <w:rFonts w:ascii="宋体" w:hAnsi="宋体" w:cs="宋体"/>
          <w:color w:val="FF0000"/>
        </w:rPr>
      </w:pPr>
      <w:r>
        <w:rPr>
          <w:rFonts w:hint="eastAsia" w:ascii="宋体" w:hAnsi="宋体" w:cs="宋体"/>
        </w:rPr>
        <w:t>账面价值：期末按</w:t>
      </w:r>
      <w:r>
        <w:rPr>
          <w:rFonts w:hint="eastAsia" w:ascii="宋体" w:hAnsi="宋体" w:cs="宋体"/>
          <w:color w:val="FF0000"/>
        </w:rPr>
        <w:t>公允价值</w:t>
      </w:r>
      <w:r>
        <w:rPr>
          <w:rFonts w:hint="eastAsia" w:ascii="宋体" w:hAnsi="宋体" w:cs="宋体"/>
        </w:rPr>
        <w:t>计量，公允价值变动（非减值损失）计入</w:t>
      </w:r>
      <w:r>
        <w:rPr>
          <w:rFonts w:hint="eastAsia" w:ascii="宋体" w:hAnsi="宋体" w:cs="宋体"/>
          <w:color w:val="FF0000"/>
        </w:rPr>
        <w:t>其他综合收益</w:t>
      </w:r>
    </w:p>
    <w:p w14:paraId="0D9DCF06">
      <w:pPr>
        <w:jc w:val="left"/>
        <w:rPr>
          <w:rFonts w:hint="eastAsia" w:ascii="宋体" w:hAnsi="宋体" w:cs="宋体"/>
          <w:color w:val="FF0000"/>
        </w:rPr>
      </w:pPr>
      <w:r>
        <w:rPr>
          <w:rFonts w:hint="eastAsia" w:ascii="宋体" w:hAnsi="宋体" w:cs="宋体"/>
          <w:color w:val="FF0000"/>
        </w:rPr>
        <w:t>计税基础：取得时成本</w:t>
      </w:r>
    </w:p>
    <w:p w14:paraId="1C30A6A6">
      <w:pPr>
        <w:overflowPunct w:val="0"/>
        <w:jc w:val="center"/>
        <w:rPr>
          <w:rFonts w:hint="eastAsia" w:ascii="宋体" w:hAnsi="宋体" w:cs="宋体"/>
          <w:b/>
          <w:bCs/>
        </w:rPr>
      </w:pPr>
      <w:r>
        <w:rPr>
          <w:rFonts w:hint="eastAsia" w:ascii="宋体" w:hAnsi="宋体" w:cs="宋体"/>
          <w:b/>
          <w:bCs/>
        </w:rPr>
        <w:t>第一节  计税基础与暂时性差异</w:t>
      </w:r>
    </w:p>
    <w:p w14:paraId="3D651A53">
      <w:pPr>
        <w:jc w:val="left"/>
        <w:rPr>
          <w:rFonts w:ascii="宋体" w:hAnsi="宋体" w:cs="宋体"/>
        </w:rPr>
      </w:pPr>
      <w:r>
        <w:rPr>
          <w:rFonts w:hint="eastAsia" w:ascii="宋体" w:hAnsi="宋体" w:cs="宋体"/>
          <w:color w:val="FF0000"/>
        </w:rPr>
        <w:t>【例】</w:t>
      </w:r>
      <w:r>
        <w:rPr>
          <w:rFonts w:hint="eastAsia" w:ascii="宋体" w:hAnsi="宋体" w:cs="宋体"/>
        </w:rPr>
        <w:t>2025年11月8日，甲公司自公开的市场上取得一项基金投资，作为以公允价值计量且其变动计入其他综合收益的金融资产核算。</w:t>
      </w:r>
      <w:r>
        <w:rPr>
          <w:rFonts w:hint="eastAsia" w:ascii="宋体" w:hAnsi="宋体" w:cs="宋体"/>
          <w:color w:val="FF0000"/>
        </w:rPr>
        <w:t>该投资的成本为1 500万元</w:t>
      </w:r>
      <w:r>
        <w:rPr>
          <w:rFonts w:hint="eastAsia" w:ascii="宋体" w:hAnsi="宋体" w:cs="宋体"/>
        </w:rPr>
        <w:t>。2025年12月31日，其市价为1 575万元。</w:t>
      </w:r>
    </w:p>
    <w:p w14:paraId="64998FD4">
      <w:pPr>
        <w:jc w:val="left"/>
        <w:rPr>
          <w:rFonts w:hint="eastAsia" w:ascii="宋体" w:hAnsi="宋体" w:cs="宋体"/>
          <w:color w:val="FF0000"/>
        </w:rPr>
      </w:pPr>
      <w:r>
        <w:rPr>
          <w:rFonts w:hint="eastAsia" w:ascii="宋体" w:hAnsi="宋体" w:cs="宋体"/>
        </w:rPr>
        <w:t>按照会计准则规定，该项金融资产在会计期末应以</w:t>
      </w:r>
      <w:r>
        <w:rPr>
          <w:rFonts w:hint="eastAsia" w:ascii="宋体" w:hAnsi="宋体" w:cs="宋体"/>
          <w:color w:val="FF0000"/>
        </w:rPr>
        <w:t>公允价值</w:t>
      </w:r>
      <w:r>
        <w:rPr>
          <w:rFonts w:hint="eastAsia" w:ascii="宋体" w:hAnsi="宋体" w:cs="宋体"/>
        </w:rPr>
        <w:t>计量，其账面价值应为期末公允价值</w:t>
      </w:r>
      <w:r>
        <w:rPr>
          <w:rFonts w:hint="eastAsia" w:ascii="宋体" w:hAnsi="宋体" w:cs="宋体"/>
          <w:color w:val="FF0000"/>
        </w:rPr>
        <w:t>1 575万元。</w:t>
      </w:r>
    </w:p>
    <w:p w14:paraId="467EFED0">
      <w:pPr>
        <w:jc w:val="left"/>
        <w:rPr>
          <w:rFonts w:ascii="宋体" w:hAnsi="宋体" w:cs="宋体"/>
          <w:color w:val="FF0000"/>
        </w:rPr>
      </w:pPr>
      <w:r>
        <w:rPr>
          <w:rFonts w:hint="eastAsia" w:ascii="宋体" w:hAnsi="宋体" w:cs="宋体"/>
        </w:rPr>
        <w:t>因</w:t>
      </w:r>
      <w:r>
        <w:rPr>
          <w:rFonts w:hint="eastAsia" w:ascii="宋体" w:hAnsi="宋体" w:cs="宋体"/>
          <w:color w:val="FF0000"/>
        </w:rPr>
        <w:t>税法</w:t>
      </w:r>
      <w:r>
        <w:rPr>
          <w:rFonts w:hint="eastAsia" w:ascii="宋体" w:hAnsi="宋体" w:cs="宋体"/>
        </w:rPr>
        <w:t>规定资产在持有期间公允价值变动不计入应纳税所得额，则该项以公允价值计量且其变动计入其他综合收益的金融资产的期末计税基础应维持其</w:t>
      </w:r>
      <w:r>
        <w:rPr>
          <w:rFonts w:hint="eastAsia" w:ascii="宋体" w:hAnsi="宋体" w:cs="宋体"/>
          <w:color w:val="FF0000"/>
        </w:rPr>
        <w:t>原取得成本不变，为1 500万元。</w:t>
      </w:r>
    </w:p>
    <w:p w14:paraId="4A99C2CC">
      <w:pPr>
        <w:jc w:val="left"/>
        <w:rPr>
          <w:rFonts w:ascii="宋体" w:hAnsi="宋体" w:cs="宋体"/>
        </w:rPr>
      </w:pPr>
      <w:r>
        <w:rPr>
          <w:rFonts w:hint="eastAsia" w:ascii="宋体" w:hAnsi="宋体" w:cs="宋体"/>
        </w:rPr>
        <w:t>该金融资产在2025年资产负债表日的</w:t>
      </w:r>
      <w:r>
        <w:rPr>
          <w:rFonts w:hint="eastAsia" w:ascii="宋体" w:hAnsi="宋体" w:cs="宋体"/>
          <w:color w:val="FF0000"/>
        </w:rPr>
        <w:t>账面价值1 575万</w:t>
      </w:r>
      <w:r>
        <w:rPr>
          <w:rFonts w:hint="eastAsia" w:ascii="宋体" w:hAnsi="宋体" w:cs="宋体"/>
        </w:rPr>
        <w:t>元与其计税基础1 500万元之间</w:t>
      </w:r>
      <w:r>
        <w:rPr>
          <w:rFonts w:hint="eastAsia" w:ascii="宋体" w:hAnsi="宋体" w:cs="宋体"/>
          <w:color w:val="FF0000"/>
        </w:rPr>
        <w:t>产生的75万元暂时性差异</w:t>
      </w:r>
      <w:r>
        <w:rPr>
          <w:rFonts w:hint="eastAsia" w:ascii="宋体" w:hAnsi="宋体" w:cs="宋体"/>
        </w:rPr>
        <w:t>，将会增加未来该资产处置期间的</w:t>
      </w:r>
      <w:r>
        <w:rPr>
          <w:rFonts w:hint="eastAsia" w:ascii="宋体" w:hAnsi="宋体" w:cs="宋体"/>
          <w:color w:val="FF0000"/>
        </w:rPr>
        <w:t>应纳税所得额。</w:t>
      </w:r>
    </w:p>
    <w:p w14:paraId="41EA67C2">
      <w:pPr>
        <w:jc w:val="left"/>
        <w:rPr>
          <w:rFonts w:ascii="宋体" w:hAnsi="宋体" w:cs="宋体"/>
          <w:color w:val="FF0000"/>
        </w:rPr>
      </w:pPr>
      <w:r>
        <w:rPr>
          <w:rFonts w:ascii="宋体" w:hAnsi="宋体" w:cs="宋体"/>
          <w:color w:val="FF0000"/>
        </w:rPr>
        <w:t>借：其他综合收益       18.75</w:t>
      </w:r>
    </w:p>
    <w:p w14:paraId="0C3ADE3E">
      <w:pPr>
        <w:jc w:val="left"/>
        <w:rPr>
          <w:rFonts w:hint="eastAsia" w:ascii="宋体" w:hAnsi="宋体" w:cs="宋体"/>
        </w:rPr>
      </w:pPr>
      <w:r>
        <w:rPr>
          <w:rFonts w:ascii="宋体" w:hAnsi="宋体" w:cs="宋体"/>
        </w:rPr>
        <w:t>　　贷：递延所得税负债    　18.75</w:t>
      </w:r>
    </w:p>
    <w:p w14:paraId="571B8FD2">
      <w:pPr>
        <w:jc w:val="left"/>
        <w:rPr>
          <w:rFonts w:ascii="宋体" w:hAnsi="宋体" w:cs="宋体"/>
          <w:color w:val="FF0000"/>
        </w:rPr>
      </w:pPr>
      <w:r>
        <w:rPr>
          <w:rFonts w:hint="eastAsia" w:ascii="宋体" w:hAnsi="宋体" w:cs="宋体"/>
          <w:color w:val="FF0000"/>
        </w:rPr>
        <w:t>（四）其他资产</w:t>
      </w:r>
    </w:p>
    <w:p w14:paraId="47D21AD5">
      <w:pPr>
        <w:jc w:val="left"/>
        <w:rPr>
          <w:rFonts w:ascii="宋体" w:hAnsi="宋体" w:cs="宋体"/>
          <w:color w:val="FF0000"/>
        </w:rPr>
      </w:pPr>
      <w:r>
        <w:rPr>
          <w:rFonts w:hint="eastAsia" w:ascii="宋体" w:hAnsi="宋体" w:cs="宋体"/>
          <w:color w:val="FF0000"/>
        </w:rPr>
        <w:t xml:space="preserve">1、其他各种资产减值准备 </w:t>
      </w:r>
    </w:p>
    <w:p w14:paraId="7A87D5DD">
      <w:pPr>
        <w:jc w:val="left"/>
        <w:rPr>
          <w:rFonts w:ascii="宋体" w:hAnsi="宋体" w:cs="宋体"/>
        </w:rPr>
      </w:pPr>
      <w:r>
        <w:rPr>
          <w:rFonts w:hint="eastAsia" w:ascii="宋体" w:hAnsi="宋体" w:cs="宋体"/>
          <w:color w:val="FF0000"/>
        </w:rPr>
        <w:t>【例题】</w:t>
      </w:r>
      <w:r>
        <w:rPr>
          <w:rFonts w:hint="eastAsia" w:ascii="宋体" w:hAnsi="宋体" w:cs="宋体"/>
        </w:rPr>
        <w:t>A公司2025年购入原材料成本为5 000万元，因部分生产线停工，当年未领用任何原材料，2025年资产负债表日估计该原材料的可变现净值为4 000万元。假定该原材料在2025年的期初余额为零。</w:t>
      </w:r>
    </w:p>
    <w:p w14:paraId="51CA4359">
      <w:pPr>
        <w:jc w:val="left"/>
        <w:rPr>
          <w:rFonts w:ascii="宋体" w:hAnsi="宋体" w:cs="宋体"/>
        </w:rPr>
      </w:pPr>
      <w:r>
        <w:rPr>
          <w:rFonts w:hint="eastAsia" w:ascii="宋体" w:hAnsi="宋体" w:cs="宋体"/>
        </w:rPr>
        <w:t>该项原材料因期末</w:t>
      </w:r>
      <w:r>
        <w:rPr>
          <w:rFonts w:hint="eastAsia" w:ascii="宋体" w:hAnsi="宋体" w:cs="宋体"/>
          <w:color w:val="FF0000"/>
        </w:rPr>
        <w:t>可变现净值低于成本</w:t>
      </w:r>
      <w:r>
        <w:rPr>
          <w:rFonts w:hint="eastAsia" w:ascii="宋体" w:hAnsi="宋体" w:cs="宋体"/>
        </w:rPr>
        <w:t>，应计提的存货跌价准备=5 000-4 000=1 000（万元）。计提该存货跌价准备后，</w:t>
      </w:r>
      <w:r>
        <w:rPr>
          <w:rFonts w:hint="eastAsia" w:ascii="宋体" w:hAnsi="宋体" w:cs="宋体"/>
          <w:color w:val="FF0000"/>
        </w:rPr>
        <w:t>该项原材料的账面价值为4 000万元。</w:t>
      </w:r>
      <w:r>
        <w:rPr>
          <w:rFonts w:hint="eastAsia" w:ascii="宋体" w:hAnsi="宋体" w:cs="宋体"/>
        </w:rPr>
        <w:t xml:space="preserve"> </w:t>
      </w:r>
    </w:p>
    <w:p w14:paraId="19108001">
      <w:pPr>
        <w:jc w:val="left"/>
        <w:rPr>
          <w:rFonts w:ascii="宋体" w:hAnsi="宋体" w:cs="宋体"/>
        </w:rPr>
      </w:pPr>
      <w:r>
        <w:rPr>
          <w:rFonts w:hint="eastAsia" w:ascii="宋体" w:hAnsi="宋体" w:cs="宋体"/>
        </w:rPr>
        <w:t>该项原材料的计税基础不会因存货跌价准备的提取而发生变化，</w:t>
      </w:r>
      <w:r>
        <w:rPr>
          <w:rFonts w:hint="eastAsia" w:ascii="宋体" w:hAnsi="宋体" w:cs="宋体"/>
          <w:color w:val="FF0000"/>
        </w:rPr>
        <w:t>其计税基础为5 000万元不变。</w:t>
      </w:r>
    </w:p>
    <w:p w14:paraId="2CCB6344">
      <w:pPr>
        <w:jc w:val="left"/>
        <w:rPr>
          <w:rFonts w:ascii="宋体" w:hAnsi="宋体" w:cs="宋体"/>
        </w:rPr>
      </w:pPr>
      <w:r>
        <w:rPr>
          <w:rFonts w:hint="eastAsia" w:ascii="宋体" w:hAnsi="宋体" w:cs="宋体"/>
        </w:rPr>
        <w:t>该存货的账面价值4 000万元与其计税基础5 000万元之间产生了</w:t>
      </w:r>
      <w:r>
        <w:rPr>
          <w:rFonts w:hint="eastAsia" w:ascii="宋体" w:hAnsi="宋体" w:cs="宋体"/>
          <w:color w:val="FF0000"/>
        </w:rPr>
        <w:t>1 000万元的暂时性差异</w:t>
      </w:r>
      <w:r>
        <w:rPr>
          <w:rFonts w:hint="eastAsia" w:ascii="宋体" w:hAnsi="宋体" w:cs="宋体"/>
        </w:rPr>
        <w:t>，该差异会减少企业在未来期间的应纳税所得额。</w:t>
      </w:r>
    </w:p>
    <w:p w14:paraId="4C9D6078">
      <w:pPr>
        <w:jc w:val="left"/>
        <w:rPr>
          <w:rFonts w:ascii="宋体" w:hAnsi="宋体" w:cs="宋体"/>
        </w:rPr>
      </w:pPr>
      <w:r>
        <w:rPr>
          <w:rFonts w:ascii="宋体" w:hAnsi="宋体" w:cs="宋体"/>
        </w:rPr>
        <w:t>借：递延所得税资产  250</w:t>
      </w:r>
    </w:p>
    <w:p w14:paraId="718DA07E">
      <w:pPr>
        <w:jc w:val="left"/>
        <w:rPr>
          <w:rFonts w:hint="eastAsia" w:ascii="宋体" w:hAnsi="宋体" w:cs="宋体"/>
        </w:rPr>
      </w:pPr>
      <w:r>
        <w:rPr>
          <w:rFonts w:ascii="宋体" w:hAnsi="宋体" w:cs="宋体"/>
        </w:rPr>
        <w:t>　　贷：所得税费用       250</w:t>
      </w:r>
    </w:p>
    <w:p w14:paraId="55B8B66F">
      <w:pPr>
        <w:jc w:val="left"/>
        <w:rPr>
          <w:rFonts w:ascii="宋体" w:hAnsi="宋体" w:cs="宋体"/>
        </w:rPr>
      </w:pPr>
      <w:r>
        <w:rPr>
          <w:rFonts w:hint="eastAsia" w:ascii="宋体" w:hAnsi="宋体" w:cs="宋体"/>
        </w:rPr>
        <w:t>2、采用</w:t>
      </w:r>
      <w:r>
        <w:rPr>
          <w:rFonts w:hint="eastAsia" w:ascii="宋体" w:hAnsi="宋体" w:cs="宋体"/>
          <w:color w:val="FF0000"/>
        </w:rPr>
        <w:t>公允价值模式</w:t>
      </w:r>
      <w:r>
        <w:rPr>
          <w:rFonts w:hint="eastAsia" w:ascii="宋体" w:hAnsi="宋体" w:cs="宋体"/>
        </w:rPr>
        <w:t>进行后续计量的投资性房地产</w:t>
      </w:r>
    </w:p>
    <w:p w14:paraId="33D27826">
      <w:pPr>
        <w:jc w:val="left"/>
        <w:rPr>
          <w:rFonts w:ascii="宋体" w:hAnsi="宋体" w:cs="宋体"/>
          <w:color w:val="FF0000"/>
        </w:rPr>
      </w:pPr>
      <w:r>
        <w:rPr>
          <w:rFonts w:hint="eastAsia" w:ascii="宋体" w:hAnsi="宋体" w:cs="宋体"/>
        </w:rPr>
        <w:t>会计：期末按</w:t>
      </w:r>
      <w:r>
        <w:rPr>
          <w:rFonts w:hint="eastAsia" w:ascii="宋体" w:hAnsi="宋体" w:cs="宋体"/>
          <w:color w:val="FF0000"/>
        </w:rPr>
        <w:t>公允价值计量</w:t>
      </w:r>
    </w:p>
    <w:p w14:paraId="2EB996AA">
      <w:pPr>
        <w:jc w:val="left"/>
        <w:rPr>
          <w:rFonts w:hint="eastAsia" w:ascii="宋体" w:hAnsi="宋体" w:cs="宋体"/>
          <w:color w:val="FF0000"/>
        </w:rPr>
      </w:pPr>
      <w:r>
        <w:rPr>
          <w:rFonts w:hint="eastAsia" w:ascii="宋体" w:hAnsi="宋体" w:cs="宋体"/>
        </w:rPr>
        <w:t>税法：以历史成本为基础确定</w:t>
      </w:r>
      <w:r>
        <w:rPr>
          <w:rFonts w:hint="eastAsia" w:ascii="宋体" w:hAnsi="宋体" w:cs="宋体"/>
          <w:color w:val="FF0000"/>
        </w:rPr>
        <w:t>（原值-税法累计折旧）</w:t>
      </w:r>
    </w:p>
    <w:p w14:paraId="2EFB5519">
      <w:pPr>
        <w:jc w:val="left"/>
        <w:rPr>
          <w:rFonts w:ascii="宋体" w:hAnsi="宋体" w:cs="宋体"/>
          <w:color w:val="FF0000"/>
        </w:rPr>
      </w:pPr>
      <w:r>
        <w:rPr>
          <w:rFonts w:hint="eastAsia" w:ascii="宋体" w:hAnsi="宋体" w:cs="宋体"/>
          <w:color w:val="FF0000"/>
        </w:rPr>
        <w:t>【例17-6】</w:t>
      </w:r>
      <w:r>
        <w:rPr>
          <w:rFonts w:hint="eastAsia" w:ascii="宋体" w:hAnsi="宋体" w:cs="宋体"/>
        </w:rPr>
        <w:t>甲公司的C建筑物于2021年12月30日投入使用并直接出租，</w:t>
      </w:r>
      <w:r>
        <w:rPr>
          <w:rFonts w:hint="eastAsia" w:ascii="宋体" w:hAnsi="宋体" w:cs="宋体"/>
          <w:color w:val="FF0000"/>
        </w:rPr>
        <w:t>成本为680万元</w:t>
      </w:r>
      <w:r>
        <w:rPr>
          <w:rFonts w:hint="eastAsia" w:ascii="宋体" w:hAnsi="宋体" w:cs="宋体"/>
        </w:rPr>
        <w:t>，甲公司对投资性房地产采用</w:t>
      </w:r>
      <w:r>
        <w:rPr>
          <w:rFonts w:hint="eastAsia" w:ascii="宋体" w:hAnsi="宋体" w:cs="宋体"/>
          <w:color w:val="FF0000"/>
        </w:rPr>
        <w:t>公允价值模式进行后续计量</w:t>
      </w:r>
      <w:r>
        <w:rPr>
          <w:rFonts w:hint="eastAsia" w:ascii="宋体" w:hAnsi="宋体" w:cs="宋体"/>
        </w:rPr>
        <w:t>。2023年12月31日，已出租C建筑物</w:t>
      </w:r>
      <w:r>
        <w:rPr>
          <w:rFonts w:hint="eastAsia" w:ascii="宋体" w:hAnsi="宋体" w:cs="宋体"/>
          <w:color w:val="FF0000"/>
        </w:rPr>
        <w:t>累计公允价值变动收益为120万元，</w:t>
      </w:r>
      <w:r>
        <w:rPr>
          <w:rFonts w:hint="eastAsia" w:ascii="宋体" w:hAnsi="宋体" w:cs="宋体"/>
        </w:rPr>
        <w:t>其中</w:t>
      </w:r>
      <w:r>
        <w:rPr>
          <w:rFonts w:hint="eastAsia" w:ascii="宋体" w:hAnsi="宋体" w:cs="宋体"/>
          <w:color w:val="FF0000"/>
        </w:rPr>
        <w:t>本年度公允价值变动收益为50万元。</w:t>
      </w:r>
    </w:p>
    <w:p w14:paraId="3365DFFA">
      <w:pPr>
        <w:jc w:val="left"/>
        <w:rPr>
          <w:rFonts w:hint="eastAsia" w:ascii="宋体" w:hAnsi="宋体" w:cs="宋体"/>
        </w:rPr>
      </w:pPr>
      <w:r>
        <w:rPr>
          <w:rFonts w:hint="eastAsia" w:ascii="宋体" w:hAnsi="宋体" w:cs="宋体"/>
          <w:color w:val="FF0000"/>
        </w:rPr>
        <w:t>根据税法规定，</w:t>
      </w:r>
      <w:r>
        <w:rPr>
          <w:rFonts w:hint="eastAsia" w:ascii="宋体" w:hAnsi="宋体" w:cs="宋体"/>
        </w:rPr>
        <w:t>已出租C建筑物以</w:t>
      </w:r>
      <w:r>
        <w:rPr>
          <w:rFonts w:hint="eastAsia" w:ascii="宋体" w:hAnsi="宋体" w:cs="宋体"/>
          <w:color w:val="FF0000"/>
        </w:rPr>
        <w:t>历史成本扣除按税法规定计提折旧后作为其计税基础，</w:t>
      </w:r>
      <w:r>
        <w:rPr>
          <w:rFonts w:hint="eastAsia" w:ascii="宋体" w:hAnsi="宋体" w:cs="宋体"/>
        </w:rPr>
        <w:t>折旧年限为</w:t>
      </w:r>
      <w:r>
        <w:rPr>
          <w:rFonts w:hint="eastAsia" w:ascii="宋体" w:hAnsi="宋体" w:cs="宋体"/>
          <w:color w:val="FF0000"/>
        </w:rPr>
        <w:t>20年，</w:t>
      </w:r>
      <w:r>
        <w:rPr>
          <w:rFonts w:hint="eastAsia" w:ascii="宋体" w:hAnsi="宋体" w:cs="宋体"/>
        </w:rPr>
        <w:t>净残值为零，自投入使用的次月起</w:t>
      </w:r>
      <w:r>
        <w:rPr>
          <w:rFonts w:hint="eastAsia" w:ascii="宋体" w:hAnsi="宋体" w:cs="宋体"/>
          <w:color w:val="FF0000"/>
        </w:rPr>
        <w:t>年限平均法</w:t>
      </w:r>
      <w:r>
        <w:rPr>
          <w:rFonts w:hint="eastAsia" w:ascii="宋体" w:hAnsi="宋体" w:cs="宋体"/>
        </w:rPr>
        <w:t>计提折旧。</w:t>
      </w:r>
    </w:p>
    <w:p w14:paraId="3E4447CD">
      <w:pPr>
        <w:jc w:val="left"/>
        <w:rPr>
          <w:rFonts w:ascii="宋体" w:hAnsi="宋体" w:cs="宋体"/>
        </w:rPr>
      </w:pPr>
      <w:r>
        <w:rPr>
          <w:rFonts w:hint="eastAsia" w:ascii="宋体" w:hAnsi="宋体" w:cs="宋体"/>
        </w:rPr>
        <w:t>分析：</w:t>
      </w:r>
    </w:p>
    <w:p w14:paraId="6B221351">
      <w:pPr>
        <w:jc w:val="left"/>
        <w:rPr>
          <w:rFonts w:ascii="宋体" w:hAnsi="宋体" w:cs="宋体"/>
          <w:color w:val="FF0000"/>
        </w:rPr>
      </w:pPr>
      <w:r>
        <w:rPr>
          <w:rFonts w:hint="eastAsia" w:ascii="宋体" w:hAnsi="宋体" w:cs="宋体"/>
        </w:rPr>
        <w:t>2023年12月31日，该投资性房地产的</w:t>
      </w:r>
      <w:r>
        <w:rPr>
          <w:rFonts w:hint="eastAsia" w:ascii="宋体" w:hAnsi="宋体" w:cs="宋体"/>
          <w:color w:val="FF0000"/>
        </w:rPr>
        <w:t>账面价值为800万元（680+120=800）；</w:t>
      </w:r>
    </w:p>
    <w:p w14:paraId="43607DDC">
      <w:pPr>
        <w:jc w:val="left"/>
        <w:rPr>
          <w:rFonts w:ascii="宋体" w:hAnsi="宋体" w:cs="宋体"/>
          <w:color w:val="FF0000"/>
        </w:rPr>
      </w:pPr>
      <w:r>
        <w:rPr>
          <w:rFonts w:hint="eastAsia" w:ascii="宋体" w:hAnsi="宋体" w:cs="宋体"/>
          <w:color w:val="FF0000"/>
        </w:rPr>
        <w:t>计税基础为612万元：</w:t>
      </w:r>
    </w:p>
    <w:p w14:paraId="4C46E048">
      <w:pPr>
        <w:jc w:val="left"/>
        <w:rPr>
          <w:rFonts w:ascii="宋体" w:hAnsi="宋体" w:cs="宋体"/>
          <w:color w:val="FF0000"/>
        </w:rPr>
      </w:pPr>
      <w:r>
        <w:rPr>
          <w:rFonts w:hint="eastAsia" w:ascii="宋体" w:hAnsi="宋体" w:cs="宋体"/>
          <w:color w:val="FF0000"/>
        </w:rPr>
        <w:t>（原值-两年折旧=680-680÷20×2）</w:t>
      </w:r>
    </w:p>
    <w:p w14:paraId="0063150A">
      <w:pPr>
        <w:jc w:val="left"/>
        <w:rPr>
          <w:rFonts w:hint="eastAsia" w:ascii="宋体" w:hAnsi="宋体" w:cs="宋体"/>
          <w:color w:val="FF0000"/>
        </w:rPr>
      </w:pPr>
      <w:r>
        <w:rPr>
          <w:rFonts w:hint="eastAsia" w:ascii="宋体" w:hAnsi="宋体" w:cs="宋体"/>
        </w:rPr>
        <w:t>该投资性房地产账面价值与其计税基础之间的</w:t>
      </w:r>
      <w:r>
        <w:rPr>
          <w:rFonts w:hint="eastAsia" w:ascii="宋体" w:hAnsi="宋体" w:cs="宋体"/>
          <w:color w:val="FF0000"/>
        </w:rPr>
        <w:t>差额188万元</w:t>
      </w:r>
      <w:r>
        <w:rPr>
          <w:rFonts w:hint="eastAsia" w:ascii="宋体" w:hAnsi="宋体" w:cs="宋体"/>
        </w:rPr>
        <w:t>将计入未来期间的应纳税所得额，形成未来期间企业所得税税款流出的增加，</w:t>
      </w:r>
      <w:r>
        <w:rPr>
          <w:rFonts w:hint="eastAsia" w:ascii="宋体" w:hAnsi="宋体" w:cs="宋体"/>
          <w:color w:val="FF0000"/>
        </w:rPr>
        <w:t>为应纳税暂时性差异。</w:t>
      </w:r>
    </w:p>
    <w:p w14:paraId="55CB2FA0">
      <w:pPr>
        <w:jc w:val="left"/>
        <w:rPr>
          <w:rFonts w:ascii="宋体" w:hAnsi="宋体" w:cs="宋体"/>
          <w:color w:val="FF0000"/>
        </w:rPr>
      </w:pPr>
      <w:r>
        <w:rPr>
          <w:rFonts w:hint="eastAsia" w:ascii="宋体" w:hAnsi="宋体" w:cs="宋体"/>
          <w:color w:val="FF0000"/>
        </w:rPr>
        <w:t>三、负债的计税基础</w:t>
      </w:r>
    </w:p>
    <w:p w14:paraId="2E961EB7">
      <w:pPr>
        <w:jc w:val="left"/>
        <w:rPr>
          <w:rFonts w:ascii="宋体" w:hAnsi="宋体" w:cs="宋体"/>
          <w:color w:val="FF0000"/>
        </w:rPr>
      </w:pPr>
      <w:r>
        <w:rPr>
          <w:rFonts w:hint="eastAsia" w:ascii="宋体" w:hAnsi="宋体" w:cs="宋体"/>
        </w:rPr>
        <w:t>负债的计税基础，是指负债的</w:t>
      </w:r>
      <w:r>
        <w:rPr>
          <w:rFonts w:hint="eastAsia" w:ascii="宋体" w:hAnsi="宋体" w:cs="宋体"/>
          <w:color w:val="FF0000"/>
        </w:rPr>
        <w:t>账面价值减去</w:t>
      </w:r>
      <w:r>
        <w:rPr>
          <w:rFonts w:hint="eastAsia" w:ascii="宋体" w:hAnsi="宋体" w:cs="宋体"/>
        </w:rPr>
        <w:t>未来期间计算应纳税所得额时按照税法规定</w:t>
      </w:r>
      <w:r>
        <w:rPr>
          <w:rFonts w:hint="eastAsia" w:ascii="宋体" w:hAnsi="宋体" w:cs="宋体"/>
          <w:color w:val="FF0000"/>
        </w:rPr>
        <w:t>可予抵扣的金额。</w:t>
      </w:r>
    </w:p>
    <w:p w14:paraId="43D2E5FD">
      <w:pPr>
        <w:jc w:val="left"/>
        <w:rPr>
          <w:rFonts w:ascii="宋体" w:hAnsi="宋体" w:cs="宋体"/>
        </w:rPr>
      </w:pPr>
      <w:r>
        <w:rPr>
          <w:rFonts w:hint="eastAsia" w:ascii="宋体" w:hAnsi="宋体" w:cs="宋体"/>
        </w:rPr>
        <w:t>负债的计税基础</w:t>
      </w:r>
    </w:p>
    <w:p w14:paraId="071DDE77">
      <w:pPr>
        <w:jc w:val="left"/>
        <w:rPr>
          <w:rFonts w:ascii="宋体" w:hAnsi="宋体" w:cs="宋体"/>
        </w:rPr>
      </w:pPr>
      <w:r>
        <w:rPr>
          <w:rFonts w:hint="eastAsia" w:ascii="宋体" w:hAnsi="宋体" w:cs="宋体"/>
        </w:rPr>
        <w:t>=账面价值-未来期间按照税法规定</w:t>
      </w:r>
      <w:r>
        <w:rPr>
          <w:rFonts w:hint="eastAsia" w:ascii="宋体" w:hAnsi="宋体" w:cs="宋体"/>
          <w:color w:val="FF0000"/>
        </w:rPr>
        <w:t>可予税前扣除</w:t>
      </w:r>
      <w:r>
        <w:rPr>
          <w:rFonts w:hint="eastAsia" w:ascii="宋体" w:hAnsi="宋体" w:cs="宋体"/>
        </w:rPr>
        <w:t>的金额</w:t>
      </w:r>
    </w:p>
    <w:p w14:paraId="1D7C5A36">
      <w:pPr>
        <w:jc w:val="left"/>
        <w:rPr>
          <w:rFonts w:hint="eastAsia" w:ascii="宋体" w:hAnsi="宋体" w:cs="宋体"/>
        </w:rPr>
      </w:pPr>
      <w:r>
        <w:rPr>
          <w:rFonts w:hint="eastAsia" w:ascii="宋体" w:hAnsi="宋体" w:cs="宋体"/>
        </w:rPr>
        <w:t>=</w:t>
      </w:r>
      <w:r>
        <w:rPr>
          <w:rFonts w:hint="eastAsia" w:ascii="宋体" w:hAnsi="宋体" w:cs="宋体"/>
          <w:color w:val="FF0000"/>
        </w:rPr>
        <w:t xml:space="preserve">未来不可以税前扣除的金额   </w:t>
      </w:r>
      <w:r>
        <w:rPr>
          <w:rFonts w:hint="eastAsia" w:ascii="宋体" w:hAnsi="宋体" w:cs="宋体"/>
        </w:rPr>
        <w:t xml:space="preserve"> </w:t>
      </w:r>
    </w:p>
    <w:p w14:paraId="3FD954B4">
      <w:pPr>
        <w:jc w:val="left"/>
        <w:rPr>
          <w:rFonts w:ascii="宋体" w:hAnsi="宋体" w:cs="宋体"/>
          <w:color w:val="FF0000"/>
        </w:rPr>
      </w:pPr>
      <w:r>
        <w:rPr>
          <w:rFonts w:hint="eastAsia" w:ascii="宋体" w:hAnsi="宋体" w:cs="宋体"/>
          <w:color w:val="FF0000"/>
        </w:rPr>
        <w:t>（一）预计负债</w:t>
      </w:r>
    </w:p>
    <w:p w14:paraId="3DE2D666">
      <w:pPr>
        <w:jc w:val="left"/>
        <w:rPr>
          <w:rFonts w:ascii="宋体" w:hAnsi="宋体" w:cs="宋体"/>
          <w:color w:val="FF0000"/>
        </w:rPr>
      </w:pPr>
      <w:r>
        <w:rPr>
          <w:rFonts w:hint="eastAsia" w:ascii="宋体" w:hAnsi="宋体" w:cs="宋体"/>
          <w:color w:val="FF0000"/>
        </w:rPr>
        <w:t>1、企业因销售商品提供售后服务等原因确认的预计负债</w:t>
      </w:r>
    </w:p>
    <w:p w14:paraId="4BAD6F5A">
      <w:pPr>
        <w:jc w:val="left"/>
        <w:rPr>
          <w:rFonts w:hint="eastAsia" w:ascii="宋体" w:hAnsi="宋体" w:cs="宋体"/>
        </w:rPr>
      </w:pPr>
      <w:r>
        <w:rPr>
          <w:rFonts w:hint="eastAsia" w:ascii="宋体" w:hAnsi="宋体" w:cs="宋体"/>
        </w:rPr>
        <w:t>对于不能作为单项履约义务的质量保证，企业应将预计提供售后服务发生的支出在销售当期确认为费用，同时确认预计负债。</w:t>
      </w:r>
    </w:p>
    <w:p w14:paraId="5B2461C3">
      <w:pPr>
        <w:jc w:val="left"/>
        <w:rPr>
          <w:rFonts w:ascii="宋体" w:hAnsi="宋体" w:cs="宋体"/>
          <w:color w:val="FF0000"/>
        </w:rPr>
      </w:pPr>
      <w:r>
        <w:rPr>
          <w:rFonts w:hint="eastAsia" w:ascii="宋体" w:hAnsi="宋体" w:cs="宋体"/>
        </w:rPr>
        <w:t>如果</w:t>
      </w:r>
      <w:r>
        <w:rPr>
          <w:rFonts w:hint="eastAsia" w:ascii="宋体" w:hAnsi="宋体" w:cs="宋体"/>
          <w:color w:val="FF0000"/>
        </w:rPr>
        <w:t>税法</w:t>
      </w:r>
      <w:r>
        <w:rPr>
          <w:rFonts w:hint="eastAsia" w:ascii="宋体" w:hAnsi="宋体" w:cs="宋体"/>
        </w:rPr>
        <w:t>规定，与销售产品有关的支出应于发生时税前扣除，由于该类事项产生的预计负债在期末的计税基础为其账面价值与未来期间可税前扣除的金额之间的差额，因有关的支出</w:t>
      </w:r>
      <w:r>
        <w:rPr>
          <w:rFonts w:hint="eastAsia" w:ascii="宋体" w:hAnsi="宋体" w:cs="宋体"/>
          <w:color w:val="FF0000"/>
        </w:rPr>
        <w:t>实际发生时可全部税前扣除，其计税基础为0。</w:t>
      </w:r>
    </w:p>
    <w:p w14:paraId="73E3F547">
      <w:pPr>
        <w:jc w:val="left"/>
        <w:rPr>
          <w:rFonts w:hint="eastAsia" w:ascii="宋体" w:hAnsi="宋体" w:cs="宋体"/>
          <w:color w:val="FF0000"/>
        </w:rPr>
      </w:pPr>
      <w:r>
        <w:rPr>
          <w:rFonts w:hint="eastAsia" w:ascii="宋体" w:hAnsi="宋体" w:cs="宋体"/>
          <w:color w:val="FF0000"/>
        </w:rPr>
        <w:t>计税基础=账面价值-未来可抵扣差异=0</w:t>
      </w:r>
    </w:p>
    <w:p w14:paraId="5AB0F623">
      <w:pPr>
        <w:jc w:val="left"/>
        <w:rPr>
          <w:rFonts w:ascii="宋体" w:hAnsi="宋体" w:cs="宋体"/>
        </w:rPr>
      </w:pPr>
      <w:r>
        <w:rPr>
          <w:rFonts w:hint="eastAsia" w:ascii="宋体" w:hAnsi="宋体" w:cs="宋体"/>
          <w:color w:val="FF0000"/>
        </w:rPr>
        <w:t>【例17-7】</w:t>
      </w:r>
      <w:r>
        <w:rPr>
          <w:rFonts w:hint="eastAsia" w:ascii="宋体" w:hAnsi="宋体" w:cs="宋体"/>
        </w:rPr>
        <w:t>甲公司2023年因销售产品承诺提供3年的保修服务，在当年度利润表中确认了</w:t>
      </w:r>
      <w:r>
        <w:rPr>
          <w:rFonts w:hint="eastAsia" w:ascii="宋体" w:hAnsi="宋体" w:cs="宋体"/>
          <w:color w:val="FF0000"/>
        </w:rPr>
        <w:t>800万元主营业务成本，同时确认为预计负债，</w:t>
      </w:r>
      <w:r>
        <w:rPr>
          <w:rFonts w:hint="eastAsia" w:ascii="宋体" w:hAnsi="宋体" w:cs="宋体"/>
        </w:rPr>
        <w:t>当年度发生保修支出200万元，预计负债的期末余额为600万元。假定</w:t>
      </w:r>
      <w:r>
        <w:rPr>
          <w:rFonts w:hint="eastAsia" w:ascii="宋体" w:hAnsi="宋体" w:cs="宋体"/>
          <w:color w:val="FF0000"/>
        </w:rPr>
        <w:t>税法规定，</w:t>
      </w:r>
      <w:r>
        <w:rPr>
          <w:rFonts w:hint="eastAsia" w:ascii="宋体" w:hAnsi="宋体" w:cs="宋体"/>
        </w:rPr>
        <w:t>与产品售后服务相关的费用在实际发生时税前扣除。</w:t>
      </w:r>
    </w:p>
    <w:p w14:paraId="2FA5641C">
      <w:pPr>
        <w:jc w:val="left"/>
        <w:rPr>
          <w:rFonts w:hint="eastAsia" w:ascii="宋体" w:hAnsi="宋体" w:cs="宋体"/>
          <w:color w:val="FF0000"/>
        </w:rPr>
      </w:pPr>
      <w:r>
        <w:rPr>
          <w:rFonts w:hint="eastAsia" w:ascii="宋体" w:hAnsi="宋体" w:cs="宋体"/>
          <w:color w:val="FF0000"/>
        </w:rPr>
        <w:t>（应纳税所得额+800万-200万，调增600万元，可抵扣差异600万，递延所得税资产150万）</w:t>
      </w:r>
    </w:p>
    <w:p w14:paraId="089BC319">
      <w:pPr>
        <w:jc w:val="left"/>
        <w:rPr>
          <w:rFonts w:ascii="宋体" w:hAnsi="宋体" w:cs="宋体"/>
          <w:color w:val="FF0000"/>
        </w:rPr>
      </w:pPr>
      <w:r>
        <w:rPr>
          <w:rFonts w:hint="eastAsia" w:ascii="宋体" w:hAnsi="宋体" w:cs="宋体"/>
          <w:color w:val="FF0000"/>
        </w:rPr>
        <w:t>分析：</w:t>
      </w:r>
    </w:p>
    <w:p w14:paraId="5775C0E5">
      <w:pPr>
        <w:jc w:val="left"/>
        <w:rPr>
          <w:rFonts w:ascii="宋体" w:hAnsi="宋体" w:cs="宋体"/>
        </w:rPr>
      </w:pPr>
      <w:r>
        <w:rPr>
          <w:rFonts w:hint="eastAsia" w:ascii="宋体" w:hAnsi="宋体" w:cs="宋体"/>
        </w:rPr>
        <w:t>该项预计负债在甲公司2023年12月31日的账面价值为</w:t>
      </w:r>
      <w:r>
        <w:rPr>
          <w:rFonts w:hint="eastAsia" w:ascii="宋体" w:hAnsi="宋体" w:cs="宋体"/>
          <w:color w:val="FF0000"/>
        </w:rPr>
        <w:t>600万元</w:t>
      </w:r>
    </w:p>
    <w:p w14:paraId="512D58AA">
      <w:pPr>
        <w:jc w:val="left"/>
        <w:rPr>
          <w:rFonts w:ascii="宋体" w:hAnsi="宋体" w:cs="宋体"/>
        </w:rPr>
      </w:pPr>
      <w:r>
        <w:rPr>
          <w:rFonts w:hint="eastAsia" w:ascii="宋体" w:hAnsi="宋体" w:cs="宋体"/>
        </w:rPr>
        <w:t>该项预计负债的计税基础</w:t>
      </w:r>
    </w:p>
    <w:p w14:paraId="600118B8">
      <w:pPr>
        <w:jc w:val="left"/>
        <w:rPr>
          <w:rFonts w:ascii="宋体" w:hAnsi="宋体" w:cs="宋体"/>
          <w:color w:val="FF0000"/>
        </w:rPr>
      </w:pPr>
      <w:r>
        <w:rPr>
          <w:rFonts w:hint="eastAsia" w:ascii="宋体" w:hAnsi="宋体" w:cs="宋体"/>
        </w:rPr>
        <w:t>=账面价值-未来期间计算应纳税所得额时按照税法规定可</w:t>
      </w:r>
      <w:r>
        <w:rPr>
          <w:rFonts w:hint="eastAsia" w:ascii="宋体" w:hAnsi="宋体" w:cs="宋体"/>
          <w:color w:val="FF0000"/>
        </w:rPr>
        <w:t>予抵扣的金额</w:t>
      </w:r>
    </w:p>
    <w:p w14:paraId="7C9B7D8E">
      <w:pPr>
        <w:jc w:val="left"/>
        <w:rPr>
          <w:rFonts w:ascii="宋体" w:hAnsi="宋体" w:cs="宋体"/>
          <w:color w:val="FF0000"/>
        </w:rPr>
      </w:pPr>
      <w:r>
        <w:rPr>
          <w:rFonts w:hint="eastAsia" w:ascii="宋体" w:hAnsi="宋体" w:cs="宋体"/>
          <w:color w:val="FF0000"/>
        </w:rPr>
        <w:t>=6 000 000-6 000 000=0（元）</w:t>
      </w:r>
    </w:p>
    <w:p w14:paraId="18839885">
      <w:pPr>
        <w:jc w:val="left"/>
        <w:rPr>
          <w:rFonts w:ascii="宋体" w:hAnsi="宋体" w:cs="宋体"/>
        </w:rPr>
      </w:pPr>
      <w:r>
        <w:rPr>
          <w:rFonts w:ascii="宋体" w:hAnsi="宋体" w:cs="宋体"/>
        </w:rPr>
        <w:t xml:space="preserve">借：递延所得税资产  150 </w:t>
      </w:r>
    </w:p>
    <w:p w14:paraId="0170F3F0">
      <w:pPr>
        <w:jc w:val="left"/>
        <w:rPr>
          <w:rFonts w:hint="eastAsia" w:ascii="宋体" w:hAnsi="宋体" w:cs="宋体"/>
        </w:rPr>
      </w:pPr>
      <w:r>
        <w:rPr>
          <w:rFonts w:ascii="宋体" w:hAnsi="宋体" w:cs="宋体"/>
        </w:rPr>
        <w:t>　　贷：所得税费用      150</w:t>
      </w:r>
    </w:p>
    <w:p w14:paraId="365B415D">
      <w:pPr>
        <w:jc w:val="left"/>
        <w:rPr>
          <w:rFonts w:ascii="宋体" w:hAnsi="宋体" w:cs="宋体"/>
          <w:color w:val="FF0000"/>
        </w:rPr>
      </w:pPr>
      <w:r>
        <w:rPr>
          <w:rFonts w:hint="eastAsia" w:ascii="宋体" w:hAnsi="宋体" w:cs="宋体"/>
          <w:color w:val="FF0000"/>
        </w:rPr>
        <w:t>2、因其他事项确认的预计负债</w:t>
      </w:r>
    </w:p>
    <w:p w14:paraId="3B304CC0">
      <w:pPr>
        <w:jc w:val="left"/>
        <w:rPr>
          <w:rFonts w:ascii="宋体" w:hAnsi="宋体" w:cs="宋体"/>
          <w:color w:val="FF0000"/>
        </w:rPr>
      </w:pPr>
      <w:r>
        <w:rPr>
          <w:rFonts w:hint="eastAsia" w:ascii="宋体" w:hAnsi="宋体" w:cs="宋体"/>
        </w:rPr>
        <w:t>如果税法规定无论是否</w:t>
      </w:r>
      <w:r>
        <w:rPr>
          <w:rFonts w:hint="eastAsia" w:ascii="宋体" w:hAnsi="宋体" w:cs="宋体"/>
          <w:color w:val="FF0000"/>
        </w:rPr>
        <w:t>实际发生均不允许税前扣除</w:t>
      </w:r>
      <w:r>
        <w:rPr>
          <w:rFonts w:hint="eastAsia" w:ascii="宋体" w:hAnsi="宋体" w:cs="宋体"/>
        </w:rPr>
        <w:t>，即未来期间按照税法规定可予抵扣的金额为0，</w:t>
      </w:r>
      <w:r>
        <w:rPr>
          <w:rFonts w:hint="eastAsia" w:ascii="宋体" w:hAnsi="宋体" w:cs="宋体"/>
          <w:color w:val="FF0000"/>
        </w:rPr>
        <w:t>则其账面价值与计税基础相同。</w:t>
      </w:r>
    </w:p>
    <w:p w14:paraId="27F70916">
      <w:pPr>
        <w:jc w:val="left"/>
        <w:rPr>
          <w:rFonts w:hint="eastAsia" w:ascii="宋体" w:hAnsi="宋体" w:cs="宋体"/>
          <w:color w:val="FF0000"/>
        </w:rPr>
      </w:pPr>
      <w:r>
        <w:rPr>
          <w:rFonts w:hint="eastAsia" w:ascii="宋体" w:hAnsi="宋体" w:cs="宋体"/>
          <w:color w:val="FF0000"/>
        </w:rPr>
        <w:t>（即没差异，没递延问题）</w:t>
      </w:r>
    </w:p>
    <w:p w14:paraId="7906CBE7">
      <w:pPr>
        <w:jc w:val="left"/>
        <w:rPr>
          <w:rFonts w:ascii="宋体" w:hAnsi="宋体" w:cs="宋体"/>
          <w:color w:val="FF0000"/>
        </w:rPr>
      </w:pPr>
      <w:r>
        <w:rPr>
          <w:rFonts w:hint="eastAsia" w:ascii="宋体" w:hAnsi="宋体" w:cs="宋体"/>
          <w:color w:val="FF0000"/>
        </w:rPr>
        <w:t>【例17-8】</w:t>
      </w:r>
      <w:r>
        <w:rPr>
          <w:rFonts w:hint="eastAsia" w:ascii="宋体" w:hAnsi="宋体" w:cs="宋体"/>
        </w:rPr>
        <w:t>2023年10月5日，甲公司为乙公司银行借款提供担保，乙公司未如期偿还借款，而被银行提起诉讼，要求其履行担保责任；12月31日，该案件尚未结案。甲公司预计</w:t>
      </w:r>
      <w:r>
        <w:rPr>
          <w:rFonts w:hint="eastAsia" w:ascii="宋体" w:hAnsi="宋体" w:cs="宋体"/>
          <w:color w:val="FF0000"/>
        </w:rPr>
        <w:t>很可能履行的担保责任为300万元。</w:t>
      </w:r>
      <w:r>
        <w:rPr>
          <w:rFonts w:hint="eastAsia" w:ascii="宋体" w:hAnsi="宋体" w:cs="宋体"/>
        </w:rPr>
        <w:t>假定税法规定，企业为其他单位债务</w:t>
      </w:r>
      <w:r>
        <w:rPr>
          <w:rFonts w:hint="eastAsia" w:ascii="宋体" w:hAnsi="宋体" w:cs="宋体"/>
          <w:color w:val="FF0000"/>
        </w:rPr>
        <w:t>提供担保发生的损失不允许在税前扣除。</w:t>
      </w:r>
    </w:p>
    <w:p w14:paraId="20D06111">
      <w:pPr>
        <w:jc w:val="left"/>
        <w:rPr>
          <w:rFonts w:ascii="宋体" w:hAnsi="宋体" w:cs="宋体"/>
          <w:color w:val="FF0000"/>
        </w:rPr>
      </w:pPr>
      <w:r>
        <w:rPr>
          <w:rFonts w:hint="eastAsia" w:ascii="宋体" w:hAnsi="宋体" w:cs="宋体"/>
          <w:color w:val="FF0000"/>
        </w:rPr>
        <w:t>分析：</w:t>
      </w:r>
    </w:p>
    <w:p w14:paraId="03821AC9">
      <w:pPr>
        <w:jc w:val="left"/>
        <w:rPr>
          <w:rFonts w:hint="eastAsia" w:ascii="宋体" w:hAnsi="宋体" w:cs="宋体"/>
          <w:color w:val="FF0000"/>
        </w:rPr>
      </w:pPr>
      <w:r>
        <w:rPr>
          <w:rFonts w:hint="eastAsia" w:ascii="宋体" w:hAnsi="宋体" w:cs="宋体"/>
        </w:rPr>
        <w:t>2023年12月31日该项预计负债</w:t>
      </w:r>
      <w:r>
        <w:rPr>
          <w:rFonts w:hint="eastAsia" w:ascii="宋体" w:hAnsi="宋体" w:cs="宋体"/>
          <w:color w:val="FF0000"/>
        </w:rPr>
        <w:t>账面价值为300万元，计税基础为300万元（300-0）</w:t>
      </w:r>
      <w:r>
        <w:rPr>
          <w:rFonts w:hint="eastAsia" w:ascii="宋体" w:hAnsi="宋体" w:cs="宋体"/>
        </w:rPr>
        <w:t>。该项预计负债的账面价值等于计税基础，</w:t>
      </w:r>
      <w:r>
        <w:rPr>
          <w:rFonts w:hint="eastAsia" w:ascii="宋体" w:hAnsi="宋体" w:cs="宋体"/>
          <w:color w:val="FF0000"/>
        </w:rPr>
        <w:t>不产生暂时性差异。</w:t>
      </w:r>
    </w:p>
    <w:p w14:paraId="3AFBC45C">
      <w:pPr>
        <w:jc w:val="left"/>
        <w:rPr>
          <w:rFonts w:ascii="宋体" w:hAnsi="宋体" w:cs="宋体"/>
          <w:color w:val="FF0000"/>
        </w:rPr>
      </w:pPr>
      <w:r>
        <w:rPr>
          <w:rFonts w:hint="eastAsia" w:ascii="宋体" w:hAnsi="宋体" w:cs="宋体"/>
          <w:color w:val="FF0000"/>
        </w:rPr>
        <w:t>（二）合同负债</w:t>
      </w:r>
    </w:p>
    <w:p w14:paraId="353CDBB6">
      <w:pPr>
        <w:jc w:val="left"/>
        <w:rPr>
          <w:rFonts w:ascii="宋体" w:hAnsi="宋体" w:cs="宋体"/>
          <w:color w:val="FF0000"/>
        </w:rPr>
      </w:pPr>
      <w:r>
        <w:rPr>
          <w:rFonts w:hint="eastAsia" w:ascii="宋体" w:hAnsi="宋体" w:cs="宋体"/>
          <w:color w:val="FF0000"/>
        </w:rPr>
        <w:t>1、合同负债计入当期应纳税所得额</w:t>
      </w:r>
      <w:r>
        <w:rPr>
          <w:rFonts w:hint="eastAsia" w:ascii="宋体" w:hAnsi="宋体" w:cs="宋体"/>
        </w:rPr>
        <w:t>（如房地产开发企业），</w:t>
      </w:r>
      <w:r>
        <w:rPr>
          <w:rFonts w:hint="eastAsia" w:ascii="宋体" w:hAnsi="宋体" w:cs="宋体"/>
          <w:color w:val="FF0000"/>
        </w:rPr>
        <w:t>计税基础为0。</w:t>
      </w:r>
    </w:p>
    <w:p w14:paraId="0ED47F41">
      <w:pPr>
        <w:jc w:val="left"/>
        <w:rPr>
          <w:rFonts w:ascii="宋体" w:hAnsi="宋体" w:cs="宋体"/>
          <w:color w:val="FF0000"/>
        </w:rPr>
      </w:pPr>
      <w:r>
        <w:rPr>
          <w:rFonts w:hint="eastAsia" w:ascii="宋体" w:hAnsi="宋体" w:cs="宋体"/>
        </w:rPr>
        <w:t>2、合同负债</w:t>
      </w:r>
      <w:r>
        <w:rPr>
          <w:rFonts w:hint="eastAsia" w:ascii="宋体" w:hAnsi="宋体" w:cs="宋体"/>
          <w:color w:val="FF0000"/>
        </w:rPr>
        <w:t>未计入</w:t>
      </w:r>
      <w:r>
        <w:rPr>
          <w:rFonts w:hint="eastAsia" w:ascii="宋体" w:hAnsi="宋体" w:cs="宋体"/>
        </w:rPr>
        <w:t>当期应纳税所得额，</w:t>
      </w:r>
      <w:r>
        <w:rPr>
          <w:rFonts w:hint="eastAsia" w:ascii="宋体" w:hAnsi="宋体" w:cs="宋体"/>
          <w:color w:val="FF0000"/>
        </w:rPr>
        <w:t>计税基础与账面价值相等。</w:t>
      </w:r>
    </w:p>
    <w:p w14:paraId="2DD3DDEE">
      <w:pPr>
        <w:jc w:val="left"/>
        <w:rPr>
          <w:rFonts w:ascii="宋体" w:hAnsi="宋体" w:cs="宋体"/>
          <w:color w:val="FF0000"/>
        </w:rPr>
      </w:pPr>
      <w:r>
        <w:rPr>
          <w:rFonts w:hint="eastAsia" w:ascii="宋体" w:hAnsi="宋体" w:cs="宋体"/>
          <w:color w:val="FF0000"/>
        </w:rPr>
        <w:t>【例】老庄有限责任</w:t>
      </w:r>
      <w:r>
        <w:rPr>
          <w:rFonts w:hint="eastAsia" w:ascii="宋体" w:hAnsi="宋体" w:cs="宋体"/>
        </w:rPr>
        <w:t>公司2025年12月31日</w:t>
      </w:r>
      <w:r>
        <w:rPr>
          <w:rFonts w:hint="eastAsia" w:ascii="宋体" w:hAnsi="宋体" w:cs="宋体"/>
          <w:color w:val="FF0000"/>
        </w:rPr>
        <w:t>收到客户预付款项200万元。</w:t>
      </w:r>
    </w:p>
    <w:p w14:paraId="0E830AB7">
      <w:pPr>
        <w:jc w:val="left"/>
        <w:rPr>
          <w:rFonts w:ascii="宋体" w:hAnsi="宋体" w:cs="宋体"/>
          <w:color w:val="FF0000"/>
        </w:rPr>
      </w:pPr>
      <w:r>
        <w:rPr>
          <w:rFonts w:hint="eastAsia" w:ascii="宋体" w:hAnsi="宋体" w:cs="宋体"/>
          <w:color w:val="FF0000"/>
        </w:rPr>
        <w:t>（1）若合同负债不计入当期应纳税所得额</w:t>
      </w:r>
    </w:p>
    <w:p w14:paraId="6953E15A">
      <w:pPr>
        <w:jc w:val="left"/>
        <w:rPr>
          <w:rFonts w:ascii="宋体" w:hAnsi="宋体" w:cs="宋体"/>
          <w:color w:val="FF0000"/>
        </w:rPr>
      </w:pPr>
      <w:r>
        <w:rPr>
          <w:rFonts w:hint="eastAsia" w:ascii="宋体" w:hAnsi="宋体" w:cs="宋体"/>
        </w:rPr>
        <w:t>2025年12月31日合同负债的</w:t>
      </w:r>
      <w:r>
        <w:rPr>
          <w:rFonts w:hint="eastAsia" w:ascii="宋体" w:hAnsi="宋体" w:cs="宋体"/>
          <w:color w:val="FF0000"/>
        </w:rPr>
        <w:t>账面价值为200万元</w:t>
      </w:r>
    </w:p>
    <w:p w14:paraId="5AC45578">
      <w:pPr>
        <w:jc w:val="left"/>
        <w:rPr>
          <w:rFonts w:ascii="宋体" w:hAnsi="宋体" w:cs="宋体"/>
        </w:rPr>
      </w:pPr>
      <w:r>
        <w:rPr>
          <w:rFonts w:hint="eastAsia" w:ascii="宋体" w:hAnsi="宋体" w:cs="宋体"/>
        </w:rPr>
        <w:t>2025年12月31日合同负债的计税基础</w:t>
      </w:r>
    </w:p>
    <w:p w14:paraId="0E5B3797">
      <w:pPr>
        <w:jc w:val="left"/>
        <w:rPr>
          <w:rFonts w:ascii="宋体" w:hAnsi="宋体" w:cs="宋体"/>
        </w:rPr>
      </w:pPr>
      <w:r>
        <w:rPr>
          <w:rFonts w:hint="eastAsia" w:ascii="宋体" w:hAnsi="宋体" w:cs="宋体"/>
        </w:rPr>
        <w:t>=账面价值200-可从未来经济利益中扣除的金额0</w:t>
      </w:r>
    </w:p>
    <w:p w14:paraId="2AAD77B1">
      <w:pPr>
        <w:jc w:val="left"/>
        <w:rPr>
          <w:rFonts w:ascii="宋体" w:hAnsi="宋体" w:cs="宋体"/>
          <w:color w:val="FF0000"/>
        </w:rPr>
      </w:pPr>
      <w:r>
        <w:rPr>
          <w:rFonts w:hint="eastAsia" w:ascii="宋体" w:hAnsi="宋体" w:cs="宋体"/>
          <w:color w:val="FF0000"/>
        </w:rPr>
        <w:t>=200（万元）</w:t>
      </w:r>
    </w:p>
    <w:p w14:paraId="27BFB791">
      <w:pPr>
        <w:jc w:val="left"/>
        <w:rPr>
          <w:rFonts w:ascii="宋体" w:hAnsi="宋体" w:cs="宋体"/>
          <w:color w:val="FF0000"/>
        </w:rPr>
      </w:pPr>
      <w:r>
        <w:rPr>
          <w:rFonts w:hint="eastAsia" w:ascii="宋体" w:hAnsi="宋体" w:cs="宋体"/>
          <w:color w:val="FF0000"/>
        </w:rPr>
        <w:t>（2）若合同负债计入当期应纳税所得额</w:t>
      </w:r>
    </w:p>
    <w:p w14:paraId="230F25FD">
      <w:pPr>
        <w:jc w:val="left"/>
        <w:rPr>
          <w:rFonts w:ascii="宋体" w:hAnsi="宋体" w:cs="宋体"/>
          <w:color w:val="FF0000"/>
        </w:rPr>
      </w:pPr>
      <w:r>
        <w:rPr>
          <w:rFonts w:hint="eastAsia" w:ascii="宋体" w:hAnsi="宋体" w:cs="宋体"/>
        </w:rPr>
        <w:t>2025年12月31日合同负债的</w:t>
      </w:r>
      <w:r>
        <w:rPr>
          <w:rFonts w:hint="eastAsia" w:ascii="宋体" w:hAnsi="宋体" w:cs="宋体"/>
          <w:color w:val="FF0000"/>
        </w:rPr>
        <w:t>账面价值为200万元</w:t>
      </w:r>
    </w:p>
    <w:p w14:paraId="21B4D311">
      <w:pPr>
        <w:jc w:val="left"/>
        <w:rPr>
          <w:rFonts w:ascii="宋体" w:hAnsi="宋体" w:cs="宋体"/>
        </w:rPr>
      </w:pPr>
      <w:r>
        <w:rPr>
          <w:rFonts w:hint="eastAsia" w:ascii="宋体" w:hAnsi="宋体" w:cs="宋体"/>
        </w:rPr>
        <w:t>因按税法规定合同负债已计入当期应纳税所得额，所以在以后年度减少合同负债确认收入时，由税前会计利润计算应纳税所得额时应将其扣除。</w:t>
      </w:r>
    </w:p>
    <w:p w14:paraId="3E40FEF3">
      <w:pPr>
        <w:jc w:val="left"/>
        <w:rPr>
          <w:rFonts w:ascii="宋体" w:hAnsi="宋体" w:cs="宋体"/>
          <w:color w:val="FF0000"/>
        </w:rPr>
      </w:pPr>
      <w:r>
        <w:rPr>
          <w:rFonts w:hint="eastAsia" w:ascii="宋体" w:hAnsi="宋体" w:cs="宋体"/>
        </w:rPr>
        <w:t>2025年12月31日合同负债的</w:t>
      </w:r>
      <w:r>
        <w:rPr>
          <w:rFonts w:hint="eastAsia" w:ascii="宋体" w:hAnsi="宋体" w:cs="宋体"/>
          <w:color w:val="FF0000"/>
        </w:rPr>
        <w:t>计税基础</w:t>
      </w:r>
    </w:p>
    <w:p w14:paraId="470FA979">
      <w:pPr>
        <w:jc w:val="left"/>
        <w:rPr>
          <w:rFonts w:ascii="宋体" w:hAnsi="宋体" w:cs="宋体"/>
        </w:rPr>
      </w:pPr>
      <w:r>
        <w:rPr>
          <w:rFonts w:hint="eastAsia" w:ascii="宋体" w:hAnsi="宋体" w:cs="宋体"/>
        </w:rPr>
        <w:t xml:space="preserve">=账面价值200-可从未来经济利益中扣除的金额200 </w:t>
      </w:r>
    </w:p>
    <w:p w14:paraId="11D4FE03">
      <w:pPr>
        <w:jc w:val="left"/>
        <w:rPr>
          <w:rFonts w:ascii="宋体" w:hAnsi="宋体" w:cs="宋体"/>
          <w:color w:val="FF0000"/>
        </w:rPr>
      </w:pPr>
      <w:r>
        <w:rPr>
          <w:rFonts w:hint="eastAsia" w:ascii="宋体" w:hAnsi="宋体" w:cs="宋体"/>
          <w:color w:val="FF0000"/>
        </w:rPr>
        <w:t>=0</w:t>
      </w:r>
    </w:p>
    <w:p w14:paraId="79125E6C">
      <w:pPr>
        <w:jc w:val="left"/>
        <w:rPr>
          <w:rFonts w:hint="eastAsia" w:ascii="宋体" w:hAnsi="宋体" w:cs="宋体"/>
          <w:color w:val="FF0000"/>
        </w:rPr>
      </w:pPr>
      <w:r>
        <w:rPr>
          <w:rFonts w:hint="eastAsia" w:ascii="宋体" w:hAnsi="宋体" w:cs="宋体"/>
          <w:color w:val="FF0000"/>
        </w:rPr>
        <w:t>200万可抵扣差异，50万递延所得税资产</w:t>
      </w:r>
    </w:p>
    <w:p w14:paraId="7F8654C6">
      <w:pPr>
        <w:jc w:val="left"/>
        <w:rPr>
          <w:rFonts w:ascii="宋体" w:hAnsi="宋体" w:cs="宋体"/>
          <w:color w:val="FF0000"/>
        </w:rPr>
      </w:pPr>
      <w:r>
        <w:rPr>
          <w:rFonts w:hint="eastAsia" w:ascii="宋体" w:hAnsi="宋体" w:cs="宋体"/>
          <w:color w:val="FF0000"/>
        </w:rPr>
        <w:t xml:space="preserve">（三）应付职工薪酬 </w:t>
      </w:r>
    </w:p>
    <w:p w14:paraId="2430D5BC">
      <w:pPr>
        <w:jc w:val="left"/>
        <w:rPr>
          <w:rFonts w:ascii="宋体" w:hAnsi="宋体" w:cs="宋体"/>
          <w:color w:val="FF0000"/>
        </w:rPr>
      </w:pPr>
      <w:r>
        <w:rPr>
          <w:rFonts w:hint="eastAsia" w:ascii="宋体" w:hAnsi="宋体" w:cs="宋体"/>
        </w:rPr>
        <w:t>税法中对于</w:t>
      </w:r>
      <w:r>
        <w:rPr>
          <w:rFonts w:hint="eastAsia" w:ascii="宋体" w:hAnsi="宋体" w:cs="宋体"/>
          <w:color w:val="FF0000"/>
        </w:rPr>
        <w:t>合理的职工薪酬基本允许税前扣除；</w:t>
      </w:r>
    </w:p>
    <w:p w14:paraId="2F3D7A68">
      <w:pPr>
        <w:jc w:val="left"/>
        <w:rPr>
          <w:rFonts w:ascii="宋体" w:hAnsi="宋体" w:cs="宋体"/>
          <w:color w:val="FF0000"/>
        </w:rPr>
      </w:pPr>
      <w:r>
        <w:rPr>
          <w:rFonts w:hint="eastAsia" w:ascii="宋体" w:hAnsi="宋体" w:cs="宋体"/>
        </w:rPr>
        <w:t>但税法中如果规定了税前扣除标准的，按照会计准则规定计入成本费用的金额</w:t>
      </w:r>
      <w:r>
        <w:rPr>
          <w:rFonts w:hint="eastAsia" w:ascii="宋体" w:hAnsi="宋体" w:cs="宋体"/>
          <w:color w:val="FF0000"/>
        </w:rPr>
        <w:t>超过规定标准部分，应进行纳税调整。</w:t>
      </w:r>
    </w:p>
    <w:p w14:paraId="7050F673">
      <w:pPr>
        <w:jc w:val="left"/>
        <w:rPr>
          <w:rFonts w:hint="eastAsia" w:ascii="宋体" w:hAnsi="宋体" w:cs="宋体"/>
          <w:color w:val="FF0000"/>
        </w:rPr>
      </w:pPr>
      <w:r>
        <w:rPr>
          <w:rFonts w:hint="eastAsia" w:ascii="宋体" w:hAnsi="宋体" w:cs="宋体"/>
          <w:color w:val="FF0000"/>
        </w:rPr>
        <w:t>超过部分在发生当期不允许税前扣除</w:t>
      </w:r>
      <w:r>
        <w:rPr>
          <w:rFonts w:hint="eastAsia" w:ascii="宋体" w:hAnsi="宋体" w:cs="宋体"/>
        </w:rPr>
        <w:t>，在</w:t>
      </w:r>
      <w:r>
        <w:rPr>
          <w:rFonts w:hint="eastAsia" w:ascii="宋体" w:hAnsi="宋体" w:cs="宋体"/>
          <w:color w:val="FF0000"/>
        </w:rPr>
        <w:t>以后期间也不允许税前扣除</w:t>
      </w:r>
      <w:r>
        <w:rPr>
          <w:rFonts w:hint="eastAsia" w:ascii="宋体" w:hAnsi="宋体" w:cs="宋体"/>
        </w:rPr>
        <w:t>，即该部分差额对未来期间计税</w:t>
      </w:r>
      <w:r>
        <w:rPr>
          <w:rFonts w:hint="eastAsia" w:ascii="宋体" w:hAnsi="宋体" w:cs="宋体"/>
          <w:color w:val="FF0000"/>
        </w:rPr>
        <w:t>不产生影响，</w:t>
      </w:r>
      <w:r>
        <w:rPr>
          <w:rFonts w:hint="eastAsia" w:ascii="宋体" w:hAnsi="宋体" w:cs="宋体"/>
        </w:rPr>
        <w:t>故</w:t>
      </w:r>
      <w:r>
        <w:rPr>
          <w:rFonts w:hint="eastAsia" w:ascii="宋体" w:hAnsi="宋体" w:cs="宋体"/>
          <w:color w:val="FF0000"/>
        </w:rPr>
        <w:t xml:space="preserve">应付职工薪酬的账面价值=计税基础。 </w:t>
      </w:r>
    </w:p>
    <w:p w14:paraId="1BCE995C">
      <w:pPr>
        <w:overflowPunct w:val="0"/>
        <w:jc w:val="center"/>
        <w:rPr>
          <w:rFonts w:hint="eastAsia" w:ascii="宋体" w:hAnsi="宋体" w:cs="宋体"/>
          <w:b/>
          <w:bCs/>
        </w:rPr>
      </w:pPr>
      <w:r>
        <w:rPr>
          <w:rFonts w:hint="eastAsia" w:ascii="宋体" w:hAnsi="宋体" w:cs="宋体"/>
          <w:b/>
          <w:bCs/>
        </w:rPr>
        <w:t>第一节  计税基础与暂时性差异</w:t>
      </w:r>
    </w:p>
    <w:p w14:paraId="00354628">
      <w:pPr>
        <w:jc w:val="left"/>
        <w:rPr>
          <w:rFonts w:ascii="宋体" w:hAnsi="宋体" w:cs="宋体"/>
          <w:color w:val="FF0000"/>
        </w:rPr>
      </w:pPr>
      <w:r>
        <w:rPr>
          <w:rFonts w:hint="eastAsia" w:ascii="宋体" w:hAnsi="宋体" w:cs="宋体"/>
          <w:color w:val="FF0000"/>
        </w:rPr>
        <w:t>（四）其他负债</w:t>
      </w:r>
    </w:p>
    <w:p w14:paraId="2D1627A8">
      <w:pPr>
        <w:jc w:val="left"/>
        <w:rPr>
          <w:rFonts w:ascii="宋体" w:hAnsi="宋体" w:cs="宋体"/>
        </w:rPr>
      </w:pPr>
      <w:r>
        <w:rPr>
          <w:rFonts w:hint="eastAsia" w:ascii="宋体" w:hAnsi="宋体" w:cs="宋体"/>
        </w:rPr>
        <w:t>企业的其他负债项目，如企业应交的罚款和滞纳金等，在尚未支付之前按照会计准则规定确认为费用，同时作为负债反映</w:t>
      </w:r>
      <w:r>
        <w:rPr>
          <w:rFonts w:hint="eastAsia" w:ascii="宋体" w:hAnsi="宋体" w:cs="宋体"/>
          <w:color w:val="FF0000"/>
        </w:rPr>
        <w:t>（其他应付款）。</w:t>
      </w:r>
    </w:p>
    <w:p w14:paraId="2D26F8BB">
      <w:pPr>
        <w:jc w:val="left"/>
        <w:rPr>
          <w:rFonts w:ascii="宋体" w:hAnsi="宋体" w:cs="宋体"/>
          <w:color w:val="FF0000"/>
        </w:rPr>
      </w:pPr>
      <w:r>
        <w:rPr>
          <w:rFonts w:hint="eastAsia" w:ascii="宋体" w:hAnsi="宋体" w:cs="宋体"/>
        </w:rPr>
        <w:t>税法规定，罚款和滞纳金不得税前扣除，其计税基础为账面价值减去未来期间计税时可予税前扣除的金额0之间的差额，</w:t>
      </w:r>
      <w:r>
        <w:rPr>
          <w:rFonts w:hint="eastAsia" w:ascii="宋体" w:hAnsi="宋体" w:cs="宋体"/>
          <w:color w:val="FF0000"/>
        </w:rPr>
        <w:t>即计税基础等于账面价值。</w:t>
      </w:r>
    </w:p>
    <w:p w14:paraId="073B2873">
      <w:pPr>
        <w:jc w:val="left"/>
        <w:rPr>
          <w:rFonts w:hint="eastAsia" w:ascii="宋体" w:hAnsi="宋体" w:cs="宋体"/>
          <w:color w:val="FF0000"/>
        </w:rPr>
      </w:pPr>
      <w:r>
        <w:rPr>
          <w:rFonts w:hint="eastAsia" w:ascii="宋体" w:hAnsi="宋体" w:cs="宋体"/>
          <w:color w:val="FF0000"/>
        </w:rPr>
        <w:t>（永久性差异，只影响应交税费，不影响递延）</w:t>
      </w:r>
    </w:p>
    <w:p w14:paraId="7307ED48">
      <w:pPr>
        <w:jc w:val="left"/>
        <w:rPr>
          <w:rFonts w:hint="eastAsia" w:ascii="宋体" w:hAnsi="宋体" w:cs="宋体"/>
          <w:color w:val="FF0000"/>
        </w:rPr>
      </w:pPr>
      <w:r>
        <w:rPr>
          <w:rFonts w:hint="eastAsia" w:ascii="宋体" w:hAnsi="宋体" w:cs="宋体"/>
          <w:color w:val="FF0000"/>
        </w:rPr>
        <w:t>【例17-9】</w:t>
      </w:r>
      <w:r>
        <w:rPr>
          <w:rFonts w:hint="eastAsia" w:ascii="宋体" w:hAnsi="宋体" w:cs="宋体"/>
        </w:rPr>
        <w:t>甲公司因未按照税法规定缴纳税金，按规定需在2023年缴纳滞纳金</w:t>
      </w:r>
      <w:r>
        <w:rPr>
          <w:rFonts w:hint="eastAsia" w:ascii="宋体" w:hAnsi="宋体" w:cs="宋体"/>
          <w:color w:val="FF0000"/>
        </w:rPr>
        <w:t>100万元</w:t>
      </w:r>
      <w:r>
        <w:rPr>
          <w:rFonts w:hint="eastAsia" w:ascii="宋体" w:hAnsi="宋体" w:cs="宋体"/>
        </w:rPr>
        <w:t>，至2023年12月31日，该款项尚未支付，</w:t>
      </w:r>
      <w:r>
        <w:rPr>
          <w:rFonts w:hint="eastAsia" w:ascii="宋体" w:hAnsi="宋体" w:cs="宋体"/>
          <w:color w:val="FF0000"/>
        </w:rPr>
        <w:t>形成其他应付款100万元。</w:t>
      </w:r>
      <w:r>
        <w:rPr>
          <w:rFonts w:hint="eastAsia" w:ascii="宋体" w:hAnsi="宋体" w:cs="宋体"/>
        </w:rPr>
        <w:t>税法规定，企业因违反国家法律、法规规定缴纳的罚款、滞纳金</w:t>
      </w:r>
      <w:r>
        <w:rPr>
          <w:rFonts w:hint="eastAsia" w:ascii="宋体" w:hAnsi="宋体" w:cs="宋体"/>
          <w:color w:val="FF0000"/>
        </w:rPr>
        <w:t>不允许税前扣除。</w:t>
      </w:r>
    </w:p>
    <w:p w14:paraId="2DFFFF0D">
      <w:pPr>
        <w:jc w:val="left"/>
        <w:rPr>
          <w:rFonts w:ascii="宋体" w:hAnsi="宋体" w:cs="宋体"/>
          <w:color w:val="FF0000"/>
        </w:rPr>
      </w:pPr>
      <w:r>
        <w:rPr>
          <w:rFonts w:hint="eastAsia" w:ascii="宋体" w:hAnsi="宋体" w:cs="宋体"/>
          <w:color w:val="FF0000"/>
        </w:rPr>
        <w:t>分析：</w:t>
      </w:r>
    </w:p>
    <w:p w14:paraId="0302218B">
      <w:pPr>
        <w:jc w:val="left"/>
        <w:rPr>
          <w:rFonts w:ascii="宋体" w:hAnsi="宋体" w:cs="宋体"/>
          <w:color w:val="FF0000"/>
        </w:rPr>
      </w:pPr>
      <w:r>
        <w:rPr>
          <w:rFonts w:hint="eastAsia" w:ascii="宋体" w:hAnsi="宋体" w:cs="宋体"/>
        </w:rPr>
        <w:t>应缴滞纳金形成的其他应付款</w:t>
      </w:r>
      <w:r>
        <w:rPr>
          <w:rFonts w:hint="eastAsia" w:ascii="宋体" w:hAnsi="宋体" w:cs="宋体"/>
          <w:color w:val="FF0000"/>
        </w:rPr>
        <w:t>账面价值为100万</w:t>
      </w:r>
      <w:r>
        <w:rPr>
          <w:rFonts w:hint="eastAsia" w:ascii="宋体" w:hAnsi="宋体" w:cs="宋体"/>
        </w:rPr>
        <w:t>元，税法规定该支出不允许税前扣除，</w:t>
      </w:r>
      <w:r>
        <w:rPr>
          <w:rFonts w:hint="eastAsia" w:ascii="宋体" w:hAnsi="宋体" w:cs="宋体"/>
          <w:color w:val="FF0000"/>
        </w:rPr>
        <w:t>其计税基础=100-0=100（万元）。</w:t>
      </w:r>
    </w:p>
    <w:p w14:paraId="73BB79F8">
      <w:pPr>
        <w:jc w:val="left"/>
        <w:rPr>
          <w:rFonts w:ascii="宋体" w:hAnsi="宋体" w:cs="宋体"/>
        </w:rPr>
      </w:pPr>
      <w:r>
        <w:rPr>
          <w:rFonts w:hint="eastAsia" w:ascii="宋体" w:hAnsi="宋体" w:cs="宋体"/>
        </w:rPr>
        <w:t>对于罚款和滞纳金支出，会计与税收规定存在差异，但该差异仅影响发生当期，对未来期间计税不产生影响，因而不产生暂时性差异。</w:t>
      </w:r>
    </w:p>
    <w:p w14:paraId="2443D971">
      <w:pPr>
        <w:overflowPunct w:val="0"/>
        <w:jc w:val="left"/>
        <w:rPr>
          <w:rFonts w:ascii="宋体" w:hAnsi="宋体" w:cs="宋体"/>
        </w:rPr>
      </w:pPr>
    </w:p>
    <w:p w14:paraId="060EBC70">
      <w:pPr>
        <w:jc w:val="left"/>
        <w:rPr>
          <w:rFonts w:ascii="宋体" w:hAnsi="宋体" w:cs="宋体"/>
        </w:rPr>
      </w:pPr>
      <w:r>
        <w:rPr>
          <w:rFonts w:hint="eastAsia" w:ascii="宋体" w:hAnsi="宋体" w:cs="宋体"/>
        </w:rPr>
        <w:t>【例-多选题】下列各项资产和负债中，因账面价值与计税基础不一致形成暂时性差异的有（  ）。</w:t>
      </w:r>
    </w:p>
    <w:p w14:paraId="2017C890">
      <w:pPr>
        <w:jc w:val="left"/>
        <w:rPr>
          <w:rFonts w:ascii="宋体" w:hAnsi="宋体" w:cs="宋体"/>
        </w:rPr>
      </w:pPr>
      <w:r>
        <w:rPr>
          <w:rFonts w:hint="eastAsia" w:ascii="宋体" w:hAnsi="宋体" w:cs="宋体"/>
        </w:rPr>
        <w:t>A.使用寿命不确定的无形资产</w:t>
      </w:r>
    </w:p>
    <w:p w14:paraId="25B04099">
      <w:pPr>
        <w:jc w:val="left"/>
        <w:rPr>
          <w:rFonts w:ascii="宋体" w:hAnsi="宋体" w:cs="宋体"/>
        </w:rPr>
      </w:pPr>
      <w:r>
        <w:rPr>
          <w:rFonts w:hint="eastAsia" w:ascii="宋体" w:hAnsi="宋体" w:cs="宋体"/>
        </w:rPr>
        <w:t>B.已计提减值准备的固定资产</w:t>
      </w:r>
    </w:p>
    <w:p w14:paraId="57DEFB0C">
      <w:pPr>
        <w:jc w:val="left"/>
        <w:rPr>
          <w:rFonts w:ascii="宋体" w:hAnsi="宋体" w:cs="宋体"/>
        </w:rPr>
      </w:pPr>
      <w:r>
        <w:rPr>
          <w:rFonts w:hint="eastAsia" w:ascii="宋体" w:hAnsi="宋体" w:cs="宋体"/>
        </w:rPr>
        <w:t>C.已确认公允价值变动损益的交易性金融资产</w:t>
      </w:r>
    </w:p>
    <w:p w14:paraId="4B53CE47">
      <w:pPr>
        <w:jc w:val="left"/>
        <w:rPr>
          <w:rFonts w:hint="eastAsia" w:ascii="宋体" w:hAnsi="宋体" w:cs="宋体"/>
        </w:rPr>
      </w:pPr>
      <w:r>
        <w:rPr>
          <w:rFonts w:hint="eastAsia" w:ascii="宋体" w:hAnsi="宋体" w:cs="宋体"/>
        </w:rPr>
        <w:t>D.因违反税法规定应缴纳但尚未缴纳的滞纳金</w:t>
      </w:r>
    </w:p>
    <w:p w14:paraId="14DE6C52">
      <w:pPr>
        <w:jc w:val="left"/>
        <w:rPr>
          <w:rFonts w:ascii="宋体" w:hAnsi="宋体" w:cs="宋体"/>
        </w:rPr>
      </w:pPr>
      <w:r>
        <w:rPr>
          <w:rFonts w:hint="eastAsia" w:ascii="宋体" w:hAnsi="宋体" w:cs="宋体"/>
        </w:rPr>
        <w:t>答案：ABC</w:t>
      </w:r>
    </w:p>
    <w:p w14:paraId="76A7E025">
      <w:pPr>
        <w:jc w:val="left"/>
        <w:rPr>
          <w:rFonts w:ascii="宋体" w:hAnsi="宋体" w:cs="宋体"/>
        </w:rPr>
      </w:pPr>
      <w:r>
        <w:rPr>
          <w:rFonts w:hint="eastAsia" w:ascii="宋体" w:hAnsi="宋体" w:cs="宋体"/>
        </w:rPr>
        <w:t>解析：选项A，使用寿命不确定的无形资产会计上不计提摊销，但税法规定会按一定方法进行摊销，会形成暂时性差异；选项B，企业计提的资产减值准备在发生实质性损失之前税法不承认，因此不允许税前扣除，会形成暂时性差异；选项C，交易性金融资产持有期间公允价值的变动税法上也不承认，会形成暂时性差异；选项D，因违反税法规定应缴纳但尚未缴纳的滞纳金是企业的负债，税法不允许扣除，是永久性差异，不产生暂时性差异。</w:t>
      </w:r>
    </w:p>
    <w:p w14:paraId="564865EB">
      <w:pPr>
        <w:overflowPunct w:val="0"/>
        <w:jc w:val="left"/>
        <w:rPr>
          <w:rFonts w:ascii="宋体" w:hAnsi="宋体" w:cs="宋体"/>
        </w:rPr>
      </w:pPr>
    </w:p>
    <w:p w14:paraId="57140E65">
      <w:pPr>
        <w:jc w:val="left"/>
        <w:rPr>
          <w:rFonts w:ascii="宋体" w:hAnsi="宋体" w:cs="宋体"/>
          <w:color w:val="FF0000"/>
        </w:rPr>
      </w:pPr>
      <w:r>
        <w:rPr>
          <w:rFonts w:hint="eastAsia" w:ascii="宋体" w:hAnsi="宋体" w:cs="宋体"/>
          <w:color w:val="FF0000"/>
        </w:rPr>
        <w:t>四、暂时性差异</w:t>
      </w:r>
    </w:p>
    <w:p w14:paraId="63BC25D5">
      <w:pPr>
        <w:jc w:val="left"/>
        <w:rPr>
          <w:rFonts w:ascii="宋体" w:hAnsi="宋体" w:cs="宋体"/>
          <w:color w:val="FF0000"/>
        </w:rPr>
      </w:pPr>
      <w:r>
        <w:rPr>
          <w:rFonts w:hint="eastAsia" w:ascii="宋体" w:hAnsi="宋体" w:cs="宋体"/>
          <w:color w:val="FF0000"/>
        </w:rPr>
        <w:t>（一）基本界定</w:t>
      </w:r>
    </w:p>
    <w:p w14:paraId="2F53757C">
      <w:pPr>
        <w:jc w:val="left"/>
        <w:rPr>
          <w:rFonts w:ascii="宋体" w:hAnsi="宋体" w:cs="宋体"/>
          <w:color w:val="FF0000"/>
        </w:rPr>
      </w:pPr>
      <w:r>
        <w:rPr>
          <w:rFonts w:hint="eastAsia" w:ascii="宋体" w:hAnsi="宋体" w:cs="宋体"/>
        </w:rPr>
        <w:t>暂时性差异，是指资产或负债的</w:t>
      </w:r>
      <w:r>
        <w:rPr>
          <w:rFonts w:hint="eastAsia" w:ascii="宋体" w:hAnsi="宋体" w:cs="宋体"/>
          <w:color w:val="FF0000"/>
        </w:rPr>
        <w:t>账面价值与其计税基础之间的差额。</w:t>
      </w:r>
    </w:p>
    <w:p w14:paraId="559EE12E">
      <w:pPr>
        <w:jc w:val="left"/>
        <w:rPr>
          <w:rFonts w:hint="eastAsia" w:ascii="宋体" w:hAnsi="宋体" w:cs="宋体"/>
        </w:rPr>
      </w:pPr>
      <w:r>
        <w:rPr>
          <w:rFonts w:hint="eastAsia" w:ascii="宋体" w:hAnsi="宋体" w:cs="宋体"/>
        </w:rPr>
        <w:t>某些不符合资产、负债的确认条件，</w:t>
      </w:r>
      <w:r>
        <w:rPr>
          <w:rFonts w:hint="eastAsia" w:ascii="宋体" w:hAnsi="宋体" w:cs="宋体"/>
          <w:color w:val="FF0000"/>
        </w:rPr>
        <w:t>未作为财务报告中资产、负债列示的项目</w:t>
      </w:r>
      <w:r>
        <w:rPr>
          <w:rFonts w:hint="eastAsia" w:ascii="宋体" w:hAnsi="宋体" w:cs="宋体"/>
        </w:rPr>
        <w:t>，如果按照税法规定可以确定其计税基础，该计税基础与其账面价值之间的</w:t>
      </w:r>
      <w:r>
        <w:rPr>
          <w:rFonts w:hint="eastAsia" w:ascii="宋体" w:hAnsi="宋体" w:cs="宋体"/>
          <w:color w:val="FF0000"/>
        </w:rPr>
        <w:t>差额也属于暂时性差异。</w:t>
      </w:r>
    </w:p>
    <w:p w14:paraId="12244582">
      <w:pPr>
        <w:jc w:val="left"/>
        <w:rPr>
          <w:rFonts w:ascii="宋体" w:hAnsi="宋体" w:cs="宋体"/>
          <w:color w:val="FF0000"/>
        </w:rPr>
      </w:pPr>
      <w:r>
        <w:rPr>
          <w:rFonts w:hint="eastAsia" w:ascii="宋体" w:hAnsi="宋体" w:cs="宋体"/>
          <w:color w:val="FF0000"/>
        </w:rPr>
        <w:t>（二）应纳税暂时性差异</w:t>
      </w:r>
    </w:p>
    <w:p w14:paraId="49AFC3FA">
      <w:pPr>
        <w:jc w:val="left"/>
        <w:rPr>
          <w:rFonts w:ascii="宋体" w:hAnsi="宋体" w:cs="宋体"/>
          <w:color w:val="FF0000"/>
        </w:rPr>
      </w:pPr>
      <w:r>
        <w:rPr>
          <w:rFonts w:hint="eastAsia" w:ascii="宋体" w:hAnsi="宋体" w:cs="宋体"/>
        </w:rPr>
        <w:t>应纳税暂时性差异，是指在确定未来收回资产或清偿负债期间的应纳税所得额时，</w:t>
      </w:r>
      <w:r>
        <w:rPr>
          <w:rFonts w:hint="eastAsia" w:ascii="宋体" w:hAnsi="宋体" w:cs="宋体"/>
          <w:color w:val="FF0000"/>
        </w:rPr>
        <w:t>将导致产生应税金额的暂时性差异。</w:t>
      </w:r>
    </w:p>
    <w:p w14:paraId="399DBEC1">
      <w:pPr>
        <w:jc w:val="left"/>
        <w:rPr>
          <w:rFonts w:ascii="宋体" w:hAnsi="宋体" w:cs="宋体"/>
          <w:color w:val="FF0000"/>
        </w:rPr>
      </w:pPr>
      <w:r>
        <w:rPr>
          <w:rFonts w:hint="eastAsia" w:ascii="宋体" w:hAnsi="宋体" w:cs="宋体"/>
          <w:color w:val="FF0000"/>
        </w:rPr>
        <w:t>应纳税暂时性差异通常产生于以下情况：</w:t>
      </w:r>
    </w:p>
    <w:p w14:paraId="7A7F2A41">
      <w:pPr>
        <w:jc w:val="left"/>
        <w:rPr>
          <w:rFonts w:ascii="宋体" w:hAnsi="宋体" w:cs="宋体"/>
        </w:rPr>
      </w:pPr>
      <w:r>
        <w:rPr>
          <w:rFonts w:hint="eastAsia" w:ascii="宋体" w:hAnsi="宋体" w:cs="宋体"/>
        </w:rPr>
        <w:t>1、资产的账面价值</w:t>
      </w:r>
      <w:r>
        <w:rPr>
          <w:rFonts w:hint="eastAsia" w:ascii="宋体" w:hAnsi="宋体" w:cs="宋体"/>
          <w:color w:val="FF0000"/>
        </w:rPr>
        <w:t>大于</w:t>
      </w:r>
      <w:r>
        <w:rPr>
          <w:rFonts w:hint="eastAsia" w:ascii="宋体" w:hAnsi="宋体" w:cs="宋体"/>
        </w:rPr>
        <w:t>其计税基础；</w:t>
      </w:r>
    </w:p>
    <w:p w14:paraId="06841220">
      <w:pPr>
        <w:jc w:val="left"/>
        <w:rPr>
          <w:rFonts w:hint="eastAsia" w:ascii="宋体" w:hAnsi="宋体" w:cs="宋体"/>
        </w:rPr>
      </w:pPr>
      <w:r>
        <w:rPr>
          <w:rFonts w:hint="eastAsia" w:ascii="宋体" w:hAnsi="宋体" w:cs="宋体"/>
        </w:rPr>
        <w:t>2、负债的账面价值</w:t>
      </w:r>
      <w:r>
        <w:rPr>
          <w:rFonts w:hint="eastAsia" w:ascii="宋体" w:hAnsi="宋体" w:cs="宋体"/>
          <w:color w:val="FF0000"/>
        </w:rPr>
        <w:t>小于</w:t>
      </w:r>
      <w:r>
        <w:rPr>
          <w:rFonts w:hint="eastAsia" w:ascii="宋体" w:hAnsi="宋体" w:cs="宋体"/>
        </w:rPr>
        <w:t>其计税基础。</w:t>
      </w:r>
    </w:p>
    <w:p w14:paraId="39900042">
      <w:pPr>
        <w:jc w:val="left"/>
        <w:rPr>
          <w:rFonts w:ascii="宋体" w:hAnsi="宋体" w:cs="宋体"/>
          <w:color w:val="FF0000"/>
        </w:rPr>
      </w:pPr>
      <w:r>
        <w:rPr>
          <w:rFonts w:hint="eastAsia" w:ascii="宋体" w:hAnsi="宋体" w:cs="宋体"/>
          <w:color w:val="FF0000"/>
        </w:rPr>
        <w:t>（三）可抵扣暂时性差异</w:t>
      </w:r>
    </w:p>
    <w:p w14:paraId="496713EA">
      <w:pPr>
        <w:jc w:val="left"/>
        <w:rPr>
          <w:rFonts w:ascii="宋体" w:hAnsi="宋体" w:cs="宋体"/>
          <w:color w:val="FF0000"/>
        </w:rPr>
      </w:pPr>
      <w:r>
        <w:rPr>
          <w:rFonts w:hint="eastAsia" w:ascii="宋体" w:hAnsi="宋体" w:cs="宋体"/>
        </w:rPr>
        <w:t>可抵扣暂时性差异，是指在确定未来收回资产或清偿负债期间的应纳税所得额时，</w:t>
      </w:r>
      <w:r>
        <w:rPr>
          <w:rFonts w:hint="eastAsia" w:ascii="宋体" w:hAnsi="宋体" w:cs="宋体"/>
          <w:color w:val="FF0000"/>
        </w:rPr>
        <w:t>将导致产生可抵扣金额的暂时性差异。</w:t>
      </w:r>
    </w:p>
    <w:p w14:paraId="7EE62CF5">
      <w:pPr>
        <w:jc w:val="left"/>
        <w:rPr>
          <w:rFonts w:ascii="宋体" w:hAnsi="宋体" w:cs="宋体"/>
        </w:rPr>
      </w:pPr>
      <w:r>
        <w:rPr>
          <w:rFonts w:hint="eastAsia" w:ascii="宋体" w:hAnsi="宋体" w:cs="宋体"/>
        </w:rPr>
        <w:t>可抵扣暂时性差异一般产生于以下情况：</w:t>
      </w:r>
    </w:p>
    <w:p w14:paraId="1D3E4582">
      <w:pPr>
        <w:jc w:val="left"/>
        <w:rPr>
          <w:rFonts w:ascii="宋体" w:hAnsi="宋体" w:cs="宋体"/>
        </w:rPr>
      </w:pPr>
      <w:r>
        <w:rPr>
          <w:rFonts w:hint="eastAsia" w:ascii="宋体" w:hAnsi="宋体" w:cs="宋体"/>
        </w:rPr>
        <w:t>1、资产的账面价值</w:t>
      </w:r>
      <w:r>
        <w:rPr>
          <w:rFonts w:hint="eastAsia" w:ascii="宋体" w:hAnsi="宋体" w:cs="宋体"/>
          <w:color w:val="FF0000"/>
        </w:rPr>
        <w:t>小于</w:t>
      </w:r>
      <w:r>
        <w:rPr>
          <w:rFonts w:hint="eastAsia" w:ascii="宋体" w:hAnsi="宋体" w:cs="宋体"/>
        </w:rPr>
        <w:t xml:space="preserve">其计税基础；   </w:t>
      </w:r>
    </w:p>
    <w:p w14:paraId="1917B1D6">
      <w:pPr>
        <w:jc w:val="left"/>
        <w:rPr>
          <w:rFonts w:hint="eastAsia" w:ascii="宋体" w:hAnsi="宋体" w:cs="宋体"/>
        </w:rPr>
      </w:pPr>
      <w:r>
        <w:rPr>
          <w:rFonts w:hint="eastAsia" w:ascii="宋体" w:hAnsi="宋体" w:cs="宋体"/>
        </w:rPr>
        <w:t>2、负债的账面价值</w:t>
      </w:r>
      <w:r>
        <w:rPr>
          <w:rFonts w:hint="eastAsia" w:ascii="宋体" w:hAnsi="宋体" w:cs="宋体"/>
          <w:color w:val="FF0000"/>
        </w:rPr>
        <w:t>大于</w:t>
      </w:r>
      <w:r>
        <w:rPr>
          <w:rFonts w:hint="eastAsia" w:ascii="宋体" w:hAnsi="宋体" w:cs="宋体"/>
        </w:rPr>
        <w:t>其计税基础。</w:t>
      </w:r>
    </w:p>
    <w:p w14:paraId="183CCCDD">
      <w:pPr>
        <w:jc w:val="left"/>
        <w:rPr>
          <w:rFonts w:ascii="宋体" w:hAnsi="宋体" w:cs="宋体"/>
          <w:color w:val="FF0000"/>
        </w:rPr>
      </w:pPr>
      <w:r>
        <w:rPr>
          <w:rFonts w:hint="eastAsia" w:ascii="宋体" w:hAnsi="宋体" w:cs="宋体"/>
          <w:color w:val="FF0000"/>
        </w:rPr>
        <w:t>总结：</w:t>
      </w:r>
    </w:p>
    <w:p w14:paraId="3B9DE881">
      <w:pPr>
        <w:jc w:val="left"/>
        <w:rPr>
          <w:rFonts w:ascii="宋体" w:hAnsi="宋体" w:cs="宋体"/>
        </w:rPr>
      </w:pPr>
      <w:r>
        <w:rPr>
          <w:rFonts w:hint="eastAsia" w:ascii="宋体" w:hAnsi="宋体" w:cs="宋体"/>
        </w:rPr>
        <w:t>①当资产的账面价值小于计税基础时，会产生可抵扣暂时性差异。</w:t>
      </w:r>
    </w:p>
    <w:p w14:paraId="373AD7FB">
      <w:pPr>
        <w:jc w:val="left"/>
        <w:rPr>
          <w:rFonts w:ascii="宋体" w:hAnsi="宋体" w:cs="宋体"/>
        </w:rPr>
      </w:pPr>
      <w:r>
        <w:rPr>
          <w:rFonts w:hint="eastAsia" w:ascii="宋体" w:hAnsi="宋体" w:cs="宋体"/>
        </w:rPr>
        <w:t>②新增可抵扣暂时性差异会追加应税所得，转回可抵扣暂时性差异时会冲减应税所得。</w:t>
      </w:r>
    </w:p>
    <w:p w14:paraId="419D4187">
      <w:pPr>
        <w:jc w:val="left"/>
        <w:rPr>
          <w:rFonts w:hint="eastAsia" w:ascii="宋体" w:hAnsi="宋体" w:cs="宋体"/>
        </w:rPr>
      </w:pPr>
      <w:r>
        <w:rPr>
          <w:rFonts w:hint="eastAsia" w:ascii="宋体" w:hAnsi="宋体" w:cs="宋体"/>
        </w:rPr>
        <w:t>③可抵扣暂时性差异匹配“递延所得税资产”科目，新增可抵扣暂时性差异时列入借方，转回可抵扣暂时性差异时列入贷方。</w:t>
      </w:r>
    </w:p>
    <w:p w14:paraId="4605AAC7">
      <w:pPr>
        <w:jc w:val="left"/>
        <w:rPr>
          <w:rFonts w:ascii="宋体" w:hAnsi="宋体" w:cs="宋体"/>
        </w:rPr>
      </w:pPr>
      <w:r>
        <w:rPr>
          <w:rFonts w:hint="eastAsia" w:ascii="宋体" w:hAnsi="宋体" w:cs="宋体"/>
        </w:rPr>
        <w:t>④“递延所得税资产”的登账额＝当期可抵扣暂时性差异的变动额×所得税税率。</w:t>
      </w:r>
    </w:p>
    <w:p w14:paraId="4F9DD14D">
      <w:pPr>
        <w:jc w:val="left"/>
        <w:rPr>
          <w:rFonts w:ascii="宋体" w:hAnsi="宋体" w:cs="宋体"/>
        </w:rPr>
      </w:pPr>
      <w:r>
        <w:rPr>
          <w:rFonts w:hint="eastAsia" w:ascii="宋体" w:hAnsi="宋体" w:cs="宋体"/>
        </w:rPr>
        <w:t>⑤“递延所得税资产”的余额＝该时点可抵扣暂时性差异×当时的税率。</w:t>
      </w:r>
    </w:p>
    <w:p w14:paraId="1EB4BDEA">
      <w:pPr>
        <w:jc w:val="left"/>
        <w:rPr>
          <w:rFonts w:ascii="宋体" w:hAnsi="宋体" w:cs="宋体"/>
        </w:rPr>
      </w:pPr>
      <w:r>
        <w:rPr>
          <w:rFonts w:hint="eastAsia" w:ascii="宋体" w:hAnsi="宋体" w:cs="宋体"/>
        </w:rPr>
        <w:t>⑥当资产的账面价值大于计税基础时，会产生应纳税暂时性差异。</w:t>
      </w:r>
    </w:p>
    <w:p w14:paraId="1A53BFA6">
      <w:pPr>
        <w:jc w:val="left"/>
        <w:rPr>
          <w:rFonts w:hint="eastAsia" w:ascii="宋体" w:hAnsi="宋体" w:cs="宋体"/>
        </w:rPr>
      </w:pPr>
      <w:r>
        <w:rPr>
          <w:rFonts w:hint="eastAsia" w:ascii="宋体" w:hAnsi="宋体" w:cs="宋体"/>
        </w:rPr>
        <w:t>⑦新增应纳税暂时性差异会调减应税所得，转回应纳税暂时性差异时会追加应税所得。</w:t>
      </w:r>
    </w:p>
    <w:p w14:paraId="4F090E46">
      <w:pPr>
        <w:jc w:val="left"/>
        <w:rPr>
          <w:rFonts w:ascii="宋体" w:hAnsi="宋体" w:cs="宋体"/>
        </w:rPr>
      </w:pPr>
      <w:r>
        <w:rPr>
          <w:rFonts w:hint="eastAsia" w:ascii="宋体" w:hAnsi="宋体" w:cs="宋体"/>
        </w:rPr>
        <w:t>⑧应纳税暂时性差异匹配“递延所得税负债”科目，新增应纳税暂时性差异时列入贷方，转回应纳税暂时性差异时列入借方。</w:t>
      </w:r>
    </w:p>
    <w:p w14:paraId="26779AD8">
      <w:pPr>
        <w:jc w:val="left"/>
        <w:rPr>
          <w:rFonts w:ascii="宋体" w:hAnsi="宋体" w:cs="宋体"/>
        </w:rPr>
      </w:pPr>
      <w:r>
        <w:rPr>
          <w:rFonts w:hint="eastAsia" w:ascii="宋体" w:hAnsi="宋体" w:cs="宋体"/>
        </w:rPr>
        <w:t>⑨“递延所得税负债”的登账额＝当期应纳税暂时性差异的变动额×所得税税率。</w:t>
      </w:r>
    </w:p>
    <w:p w14:paraId="0566C302">
      <w:pPr>
        <w:jc w:val="left"/>
        <w:rPr>
          <w:rFonts w:hint="eastAsia" w:ascii="宋体" w:hAnsi="宋体" w:cs="宋体"/>
        </w:rPr>
      </w:pPr>
      <w:r>
        <w:rPr>
          <w:rFonts w:hint="eastAsia" w:ascii="宋体" w:hAnsi="宋体" w:cs="宋体"/>
        </w:rPr>
        <w:t>⑩“递延所得税负债”的余额＝该时点应纳税暂时性差异×当时的税率。</w:t>
      </w:r>
    </w:p>
    <w:p w14:paraId="1684F22C">
      <w:pPr>
        <w:jc w:val="left"/>
        <w:rPr>
          <w:rFonts w:ascii="宋体" w:hAnsi="宋体" w:cs="宋体"/>
        </w:rPr>
      </w:pPr>
      <w:r>
        <w:rPr>
          <w:rFonts w:hint="eastAsia" w:ascii="宋体" w:hAnsi="宋体" w:cs="宋体"/>
        </w:rPr>
        <w:t>⑪当负债的账面价值大于计税基础时，会产生可抵扣暂时性差异。</w:t>
      </w:r>
    </w:p>
    <w:p w14:paraId="0EFDF141">
      <w:pPr>
        <w:jc w:val="left"/>
        <w:rPr>
          <w:rFonts w:hint="eastAsia" w:ascii="宋体" w:hAnsi="宋体" w:cs="宋体"/>
        </w:rPr>
      </w:pPr>
      <w:r>
        <w:rPr>
          <w:rFonts w:hint="eastAsia" w:ascii="宋体" w:hAnsi="宋体" w:cs="宋体"/>
        </w:rPr>
        <w:t>⑫根据规律⑪可推导出如下规律：当负债的账面价值小于计税基础时，会产生应纳税暂时性差异。</w:t>
      </w:r>
    </w:p>
    <w:p w14:paraId="45CF0785">
      <w:pPr>
        <w:overflowPunct w:val="0"/>
        <w:jc w:val="center"/>
        <w:rPr>
          <w:rFonts w:hint="eastAsia" w:ascii="宋体" w:hAnsi="宋体" w:cs="宋体"/>
          <w:b/>
          <w:bCs/>
        </w:rPr>
      </w:pPr>
      <w:r>
        <w:rPr>
          <w:rFonts w:hint="eastAsia" w:ascii="宋体" w:hAnsi="宋体" w:cs="宋体"/>
          <w:b/>
          <w:bCs/>
        </w:rPr>
        <w:t>第一节  计税基础与暂时性差异</w:t>
      </w:r>
    </w:p>
    <w:p w14:paraId="679D1184">
      <w:pPr>
        <w:jc w:val="left"/>
        <w:rPr>
          <w:rFonts w:hint="eastAsia" w:ascii="宋体" w:hAnsi="宋体" w:cs="宋体"/>
        </w:rPr>
      </w:pPr>
      <w:r>
        <w:rPr>
          <w:rFonts w:hint="eastAsia" w:ascii="宋体" w:hAnsi="宋体" w:cs="宋体"/>
          <w:color w:val="FF0000"/>
        </w:rPr>
        <w:t>【案例】</w:t>
      </w:r>
      <w:r>
        <w:rPr>
          <w:rFonts w:hint="eastAsia" w:ascii="宋体" w:hAnsi="宋体" w:cs="宋体"/>
        </w:rPr>
        <w:t>甲公司2022初开始对销售部门用的设备提取折旧，该设备原价为40万元，假定无残值，会计上采用两年期直线法提取折旧，税务口径认可四年期直线法折旧。假定每年的税前会计利润为100万元，所得税税率为25%，则会计处理如下：</w:t>
      </w:r>
    </w:p>
    <w:p w14:paraId="281D217F">
      <w:pPr>
        <w:jc w:val="left"/>
        <w:rPr>
          <w:rFonts w:ascii="宋体" w:hAnsi="宋体" w:cs="宋体"/>
          <w:color w:val="FF0000"/>
        </w:rPr>
      </w:pPr>
      <w:r>
        <w:rPr>
          <w:rFonts w:hint="eastAsia" w:ascii="宋体" w:hAnsi="宋体" w:cs="宋体"/>
          <w:color w:val="FF0000"/>
        </w:rPr>
        <w:t>答案：</w:t>
      </w:r>
    </w:p>
    <w:p w14:paraId="680DE869">
      <w:pPr>
        <w:jc w:val="left"/>
        <w:rPr>
          <w:rFonts w:ascii="宋体" w:hAnsi="宋体" w:cs="宋体"/>
        </w:rPr>
      </w:pPr>
      <w:r>
        <w:rPr>
          <w:rFonts w:hint="eastAsia" w:ascii="宋体" w:hAnsi="宋体" w:cs="宋体"/>
        </w:rPr>
        <w:t>（1）设备折旧在会计、税务上的差异</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6"/>
        <w:gridCol w:w="2029"/>
        <w:gridCol w:w="2029"/>
      </w:tblGrid>
      <w:tr w14:paraId="0872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28E3DF3">
            <w:pPr>
              <w:overflowPunct w:val="0"/>
              <w:jc w:val="center"/>
              <w:rPr>
                <w:rFonts w:ascii="宋体" w:hAnsi="宋体" w:cs="宋体"/>
              </w:rPr>
            </w:pPr>
            <w:r>
              <w:rPr>
                <w:rFonts w:hint="eastAsia" w:ascii="宋体" w:hAnsi="宋体" w:cs="宋体"/>
              </w:rPr>
              <w:t xml:space="preserve"> </w:t>
            </w:r>
          </w:p>
        </w:tc>
        <w:tc>
          <w:tcPr>
            <w:tcW w:w="999" w:type="pct"/>
          </w:tcPr>
          <w:p w14:paraId="43405EA7">
            <w:pPr>
              <w:overflowPunct w:val="0"/>
              <w:jc w:val="center"/>
              <w:rPr>
                <w:rFonts w:ascii="宋体" w:hAnsi="宋体" w:cs="宋体"/>
              </w:rPr>
            </w:pPr>
            <w:r>
              <w:rPr>
                <w:rFonts w:hint="eastAsia" w:ascii="宋体" w:hAnsi="宋体" w:cs="宋体"/>
              </w:rPr>
              <w:t>2022年</w:t>
            </w:r>
          </w:p>
        </w:tc>
        <w:tc>
          <w:tcPr>
            <w:tcW w:w="999" w:type="pct"/>
          </w:tcPr>
          <w:p w14:paraId="749FC256">
            <w:pPr>
              <w:overflowPunct w:val="0"/>
              <w:jc w:val="center"/>
              <w:rPr>
                <w:rFonts w:ascii="宋体" w:hAnsi="宋体" w:cs="宋体"/>
              </w:rPr>
            </w:pPr>
            <w:r>
              <w:rPr>
                <w:rFonts w:hint="eastAsia" w:ascii="宋体" w:hAnsi="宋体" w:cs="宋体"/>
              </w:rPr>
              <w:t>2023年</w:t>
            </w:r>
          </w:p>
        </w:tc>
        <w:tc>
          <w:tcPr>
            <w:tcW w:w="1000" w:type="pct"/>
          </w:tcPr>
          <w:p w14:paraId="520A5B07">
            <w:pPr>
              <w:overflowPunct w:val="0"/>
              <w:jc w:val="center"/>
              <w:rPr>
                <w:rFonts w:ascii="宋体" w:hAnsi="宋体" w:cs="宋体"/>
              </w:rPr>
            </w:pPr>
            <w:r>
              <w:rPr>
                <w:rFonts w:hint="eastAsia" w:ascii="宋体" w:hAnsi="宋体" w:cs="宋体"/>
              </w:rPr>
              <w:t>2024年</w:t>
            </w:r>
          </w:p>
        </w:tc>
        <w:tc>
          <w:tcPr>
            <w:tcW w:w="1000" w:type="pct"/>
          </w:tcPr>
          <w:p w14:paraId="32B11F12">
            <w:pPr>
              <w:overflowPunct w:val="0"/>
              <w:jc w:val="center"/>
              <w:rPr>
                <w:rFonts w:ascii="宋体" w:hAnsi="宋体" w:cs="宋体"/>
              </w:rPr>
            </w:pPr>
            <w:r>
              <w:rPr>
                <w:rFonts w:hint="eastAsia" w:ascii="宋体" w:hAnsi="宋体" w:cs="宋体"/>
              </w:rPr>
              <w:t>2025年</w:t>
            </w:r>
          </w:p>
        </w:tc>
      </w:tr>
      <w:tr w14:paraId="105C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447DD20">
            <w:pPr>
              <w:overflowPunct w:val="0"/>
              <w:jc w:val="center"/>
              <w:rPr>
                <w:rFonts w:ascii="宋体" w:hAnsi="宋体" w:cs="宋体"/>
              </w:rPr>
            </w:pPr>
            <w:r>
              <w:rPr>
                <w:rFonts w:hint="eastAsia" w:ascii="宋体" w:hAnsi="宋体" w:cs="宋体"/>
              </w:rPr>
              <w:t>会计口径</w:t>
            </w:r>
          </w:p>
        </w:tc>
        <w:tc>
          <w:tcPr>
            <w:tcW w:w="999" w:type="pct"/>
          </w:tcPr>
          <w:p w14:paraId="71E6C6D9">
            <w:pPr>
              <w:overflowPunct w:val="0"/>
              <w:jc w:val="center"/>
              <w:rPr>
                <w:rFonts w:ascii="宋体" w:hAnsi="宋体" w:cs="宋体"/>
              </w:rPr>
            </w:pPr>
            <w:r>
              <w:rPr>
                <w:rFonts w:hint="eastAsia" w:ascii="宋体" w:hAnsi="宋体" w:cs="宋体"/>
              </w:rPr>
              <w:t>20</w:t>
            </w:r>
          </w:p>
        </w:tc>
        <w:tc>
          <w:tcPr>
            <w:tcW w:w="999" w:type="pct"/>
          </w:tcPr>
          <w:p w14:paraId="1DD2B097">
            <w:pPr>
              <w:overflowPunct w:val="0"/>
              <w:jc w:val="center"/>
              <w:rPr>
                <w:rFonts w:ascii="宋体" w:hAnsi="宋体" w:cs="宋体"/>
              </w:rPr>
            </w:pPr>
            <w:r>
              <w:rPr>
                <w:rFonts w:hint="eastAsia" w:ascii="宋体" w:hAnsi="宋体" w:cs="宋体"/>
              </w:rPr>
              <w:t>20</w:t>
            </w:r>
          </w:p>
        </w:tc>
        <w:tc>
          <w:tcPr>
            <w:tcW w:w="1000" w:type="pct"/>
          </w:tcPr>
          <w:p w14:paraId="2BD2A02B">
            <w:pPr>
              <w:overflowPunct w:val="0"/>
              <w:jc w:val="center"/>
              <w:rPr>
                <w:rFonts w:ascii="宋体" w:hAnsi="宋体" w:cs="宋体"/>
              </w:rPr>
            </w:pPr>
            <w:r>
              <w:rPr>
                <w:rFonts w:hint="eastAsia" w:ascii="宋体" w:hAnsi="宋体" w:cs="宋体"/>
              </w:rPr>
              <w:t>0</w:t>
            </w:r>
          </w:p>
        </w:tc>
        <w:tc>
          <w:tcPr>
            <w:tcW w:w="1000" w:type="pct"/>
          </w:tcPr>
          <w:p w14:paraId="7F5C2A05">
            <w:pPr>
              <w:overflowPunct w:val="0"/>
              <w:jc w:val="center"/>
              <w:rPr>
                <w:rFonts w:ascii="宋体" w:hAnsi="宋体" w:cs="宋体"/>
              </w:rPr>
            </w:pPr>
            <w:r>
              <w:rPr>
                <w:rFonts w:hint="eastAsia" w:ascii="宋体" w:hAnsi="宋体" w:cs="宋体"/>
              </w:rPr>
              <w:t>0</w:t>
            </w:r>
          </w:p>
        </w:tc>
      </w:tr>
      <w:tr w14:paraId="2DF7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C88B22B">
            <w:pPr>
              <w:overflowPunct w:val="0"/>
              <w:jc w:val="center"/>
              <w:rPr>
                <w:rFonts w:ascii="宋体" w:hAnsi="宋体" w:cs="宋体"/>
              </w:rPr>
            </w:pPr>
            <w:r>
              <w:rPr>
                <w:rFonts w:hint="eastAsia" w:ascii="宋体" w:hAnsi="宋体" w:cs="宋体"/>
              </w:rPr>
              <w:t>税务口径</w:t>
            </w:r>
          </w:p>
        </w:tc>
        <w:tc>
          <w:tcPr>
            <w:tcW w:w="999" w:type="pct"/>
          </w:tcPr>
          <w:p w14:paraId="74EBC08A">
            <w:pPr>
              <w:overflowPunct w:val="0"/>
              <w:jc w:val="center"/>
              <w:rPr>
                <w:rFonts w:ascii="宋体" w:hAnsi="宋体" w:cs="宋体"/>
              </w:rPr>
            </w:pPr>
            <w:r>
              <w:rPr>
                <w:rFonts w:hint="eastAsia" w:ascii="宋体" w:hAnsi="宋体" w:cs="宋体"/>
              </w:rPr>
              <w:t>10</w:t>
            </w:r>
          </w:p>
        </w:tc>
        <w:tc>
          <w:tcPr>
            <w:tcW w:w="999" w:type="pct"/>
          </w:tcPr>
          <w:p w14:paraId="6BE0F374">
            <w:pPr>
              <w:overflowPunct w:val="0"/>
              <w:jc w:val="center"/>
              <w:rPr>
                <w:rFonts w:ascii="宋体" w:hAnsi="宋体" w:cs="宋体"/>
              </w:rPr>
            </w:pPr>
            <w:r>
              <w:rPr>
                <w:rFonts w:hint="eastAsia" w:ascii="宋体" w:hAnsi="宋体" w:cs="宋体"/>
              </w:rPr>
              <w:t>10</w:t>
            </w:r>
          </w:p>
        </w:tc>
        <w:tc>
          <w:tcPr>
            <w:tcW w:w="1000" w:type="pct"/>
          </w:tcPr>
          <w:p w14:paraId="04CA837F">
            <w:pPr>
              <w:overflowPunct w:val="0"/>
              <w:jc w:val="center"/>
              <w:rPr>
                <w:rFonts w:ascii="宋体" w:hAnsi="宋体" w:cs="宋体"/>
              </w:rPr>
            </w:pPr>
            <w:r>
              <w:rPr>
                <w:rFonts w:hint="eastAsia" w:ascii="宋体" w:hAnsi="宋体" w:cs="宋体"/>
              </w:rPr>
              <w:t>10</w:t>
            </w:r>
          </w:p>
        </w:tc>
        <w:tc>
          <w:tcPr>
            <w:tcW w:w="1000" w:type="pct"/>
          </w:tcPr>
          <w:p w14:paraId="3062CE39">
            <w:pPr>
              <w:overflowPunct w:val="0"/>
              <w:jc w:val="center"/>
              <w:rPr>
                <w:rFonts w:ascii="宋体" w:hAnsi="宋体" w:cs="宋体"/>
              </w:rPr>
            </w:pPr>
            <w:r>
              <w:rPr>
                <w:rFonts w:hint="eastAsia" w:ascii="宋体" w:hAnsi="宋体" w:cs="宋体"/>
              </w:rPr>
              <w:t>10</w:t>
            </w:r>
          </w:p>
        </w:tc>
      </w:tr>
      <w:tr w14:paraId="3A2A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D87528B">
            <w:pPr>
              <w:overflowPunct w:val="0"/>
              <w:jc w:val="center"/>
              <w:rPr>
                <w:rFonts w:ascii="宋体" w:hAnsi="宋体" w:cs="宋体"/>
              </w:rPr>
            </w:pPr>
            <w:r>
              <w:rPr>
                <w:rFonts w:hint="eastAsia" w:ascii="宋体" w:hAnsi="宋体" w:cs="宋体"/>
              </w:rPr>
              <w:t>暂时性差异</w:t>
            </w:r>
          </w:p>
        </w:tc>
        <w:tc>
          <w:tcPr>
            <w:tcW w:w="999" w:type="pct"/>
          </w:tcPr>
          <w:p w14:paraId="5E67ECD8">
            <w:pPr>
              <w:overflowPunct w:val="0"/>
              <w:jc w:val="center"/>
              <w:rPr>
                <w:rFonts w:ascii="宋体" w:hAnsi="宋体" w:cs="宋体"/>
              </w:rPr>
            </w:pPr>
            <w:r>
              <w:rPr>
                <w:rFonts w:hint="eastAsia" w:ascii="宋体" w:hAnsi="宋体" w:cs="宋体"/>
              </w:rPr>
              <w:t>10</w:t>
            </w:r>
          </w:p>
        </w:tc>
        <w:tc>
          <w:tcPr>
            <w:tcW w:w="999" w:type="pct"/>
          </w:tcPr>
          <w:p w14:paraId="460F68DE">
            <w:pPr>
              <w:overflowPunct w:val="0"/>
              <w:jc w:val="center"/>
              <w:rPr>
                <w:rFonts w:ascii="宋体" w:hAnsi="宋体" w:cs="宋体"/>
              </w:rPr>
            </w:pPr>
            <w:r>
              <w:rPr>
                <w:rFonts w:hint="eastAsia" w:ascii="宋体" w:hAnsi="宋体" w:cs="宋体"/>
              </w:rPr>
              <w:t>10</w:t>
            </w:r>
          </w:p>
        </w:tc>
        <w:tc>
          <w:tcPr>
            <w:tcW w:w="1000" w:type="pct"/>
          </w:tcPr>
          <w:p w14:paraId="5731B02C">
            <w:pPr>
              <w:overflowPunct w:val="0"/>
              <w:jc w:val="center"/>
              <w:rPr>
                <w:rFonts w:ascii="宋体" w:hAnsi="宋体" w:cs="宋体"/>
              </w:rPr>
            </w:pPr>
            <w:r>
              <w:rPr>
                <w:rFonts w:hint="eastAsia" w:ascii="宋体" w:hAnsi="宋体" w:cs="宋体"/>
              </w:rPr>
              <w:t>-10</w:t>
            </w:r>
          </w:p>
        </w:tc>
        <w:tc>
          <w:tcPr>
            <w:tcW w:w="1000" w:type="pct"/>
          </w:tcPr>
          <w:p w14:paraId="720FF213">
            <w:pPr>
              <w:overflowPunct w:val="0"/>
              <w:jc w:val="center"/>
              <w:rPr>
                <w:rFonts w:ascii="宋体" w:hAnsi="宋体" w:cs="宋体"/>
              </w:rPr>
            </w:pPr>
            <w:r>
              <w:rPr>
                <w:rFonts w:hint="eastAsia" w:ascii="宋体" w:hAnsi="宋体" w:cs="宋体"/>
              </w:rPr>
              <w:t>-10</w:t>
            </w:r>
          </w:p>
        </w:tc>
      </w:tr>
    </w:tbl>
    <w:p w14:paraId="5C96F692">
      <w:pPr>
        <w:jc w:val="left"/>
        <w:rPr>
          <w:rFonts w:ascii="宋体" w:hAnsi="宋体" w:cs="宋体"/>
        </w:rPr>
      </w:pPr>
      <w:r>
        <w:rPr>
          <w:rFonts w:hint="eastAsia" w:ascii="宋体" w:hAnsi="宋体" w:cs="宋体"/>
        </w:rPr>
        <w:t>（2）会计处理如下：</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4"/>
        <w:gridCol w:w="1595"/>
        <w:gridCol w:w="1449"/>
        <w:gridCol w:w="1596"/>
        <w:gridCol w:w="1442"/>
      </w:tblGrid>
      <w:tr w14:paraId="6136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0" w:type="pct"/>
          </w:tcPr>
          <w:p w14:paraId="70FB6BC9">
            <w:pPr>
              <w:overflowPunct w:val="0"/>
              <w:jc w:val="center"/>
              <w:rPr>
                <w:rFonts w:ascii="宋体" w:hAnsi="宋体" w:cs="宋体"/>
              </w:rPr>
            </w:pPr>
            <w:r>
              <w:rPr>
                <w:rFonts w:hint="eastAsia" w:ascii="宋体" w:hAnsi="宋体" w:cs="宋体"/>
              </w:rPr>
              <w:t>项目</w:t>
            </w:r>
          </w:p>
        </w:tc>
        <w:tc>
          <w:tcPr>
            <w:tcW w:w="787" w:type="pct"/>
          </w:tcPr>
          <w:p w14:paraId="0A2CB457">
            <w:pPr>
              <w:overflowPunct w:val="0"/>
              <w:jc w:val="center"/>
              <w:rPr>
                <w:rFonts w:ascii="宋体" w:hAnsi="宋体" w:cs="宋体"/>
              </w:rPr>
            </w:pPr>
            <w:r>
              <w:rPr>
                <w:rFonts w:hint="eastAsia" w:ascii="宋体" w:hAnsi="宋体" w:cs="宋体"/>
              </w:rPr>
              <w:t>2022年</w:t>
            </w:r>
          </w:p>
        </w:tc>
        <w:tc>
          <w:tcPr>
            <w:tcW w:w="715" w:type="pct"/>
          </w:tcPr>
          <w:p w14:paraId="4F905205">
            <w:pPr>
              <w:overflowPunct w:val="0"/>
              <w:jc w:val="center"/>
              <w:rPr>
                <w:rFonts w:ascii="宋体" w:hAnsi="宋体" w:cs="宋体"/>
              </w:rPr>
            </w:pPr>
            <w:r>
              <w:rPr>
                <w:rFonts w:hint="eastAsia" w:ascii="宋体" w:hAnsi="宋体" w:cs="宋体"/>
              </w:rPr>
              <w:t>2023年</w:t>
            </w:r>
          </w:p>
        </w:tc>
        <w:tc>
          <w:tcPr>
            <w:tcW w:w="787" w:type="pct"/>
          </w:tcPr>
          <w:p w14:paraId="0DD769B9">
            <w:pPr>
              <w:overflowPunct w:val="0"/>
              <w:jc w:val="center"/>
              <w:rPr>
                <w:rFonts w:ascii="宋体" w:hAnsi="宋体" w:cs="宋体"/>
              </w:rPr>
            </w:pPr>
            <w:r>
              <w:rPr>
                <w:rFonts w:hint="eastAsia" w:ascii="宋体" w:hAnsi="宋体" w:cs="宋体"/>
              </w:rPr>
              <w:t>2024年</w:t>
            </w:r>
          </w:p>
        </w:tc>
        <w:tc>
          <w:tcPr>
            <w:tcW w:w="711" w:type="pct"/>
          </w:tcPr>
          <w:p w14:paraId="0733A32D">
            <w:pPr>
              <w:overflowPunct w:val="0"/>
              <w:jc w:val="center"/>
              <w:rPr>
                <w:rFonts w:ascii="宋体" w:hAnsi="宋体" w:cs="宋体"/>
              </w:rPr>
            </w:pPr>
            <w:r>
              <w:rPr>
                <w:rFonts w:hint="eastAsia" w:ascii="宋体" w:hAnsi="宋体" w:cs="宋体"/>
              </w:rPr>
              <w:t>2025年</w:t>
            </w:r>
          </w:p>
        </w:tc>
      </w:tr>
      <w:tr w14:paraId="27D1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0" w:type="pct"/>
          </w:tcPr>
          <w:p w14:paraId="5F1A4C5C">
            <w:pPr>
              <w:overflowPunct w:val="0"/>
              <w:jc w:val="center"/>
              <w:rPr>
                <w:rFonts w:ascii="宋体" w:hAnsi="宋体" w:cs="宋体"/>
              </w:rPr>
            </w:pPr>
            <w:r>
              <w:rPr>
                <w:rFonts w:hint="eastAsia" w:ascii="宋体" w:hAnsi="宋体" w:cs="宋体"/>
              </w:rPr>
              <w:t>税前会计利润</w:t>
            </w:r>
          </w:p>
        </w:tc>
        <w:tc>
          <w:tcPr>
            <w:tcW w:w="787" w:type="pct"/>
          </w:tcPr>
          <w:p w14:paraId="6BC5EB62">
            <w:pPr>
              <w:overflowPunct w:val="0"/>
              <w:jc w:val="center"/>
              <w:rPr>
                <w:rFonts w:ascii="宋体" w:hAnsi="宋体" w:cs="宋体"/>
              </w:rPr>
            </w:pPr>
            <w:r>
              <w:rPr>
                <w:rFonts w:hint="eastAsia" w:ascii="宋体" w:hAnsi="宋体" w:cs="宋体"/>
              </w:rPr>
              <w:t>100</w:t>
            </w:r>
          </w:p>
        </w:tc>
        <w:tc>
          <w:tcPr>
            <w:tcW w:w="715" w:type="pct"/>
          </w:tcPr>
          <w:p w14:paraId="717CD253">
            <w:pPr>
              <w:overflowPunct w:val="0"/>
              <w:jc w:val="center"/>
              <w:rPr>
                <w:rFonts w:ascii="宋体" w:hAnsi="宋体" w:cs="宋体"/>
              </w:rPr>
            </w:pPr>
            <w:r>
              <w:rPr>
                <w:rFonts w:hint="eastAsia" w:ascii="宋体" w:hAnsi="宋体" w:cs="宋体"/>
              </w:rPr>
              <w:t>100</w:t>
            </w:r>
          </w:p>
        </w:tc>
        <w:tc>
          <w:tcPr>
            <w:tcW w:w="787" w:type="pct"/>
          </w:tcPr>
          <w:p w14:paraId="450979B1">
            <w:pPr>
              <w:overflowPunct w:val="0"/>
              <w:jc w:val="center"/>
              <w:rPr>
                <w:rFonts w:ascii="宋体" w:hAnsi="宋体" w:cs="宋体"/>
              </w:rPr>
            </w:pPr>
            <w:r>
              <w:rPr>
                <w:rFonts w:hint="eastAsia" w:ascii="宋体" w:hAnsi="宋体" w:cs="宋体"/>
              </w:rPr>
              <w:t>100</w:t>
            </w:r>
          </w:p>
        </w:tc>
        <w:tc>
          <w:tcPr>
            <w:tcW w:w="711" w:type="pct"/>
          </w:tcPr>
          <w:p w14:paraId="29CC2775">
            <w:pPr>
              <w:overflowPunct w:val="0"/>
              <w:jc w:val="center"/>
              <w:rPr>
                <w:rFonts w:ascii="宋体" w:hAnsi="宋体" w:cs="宋体"/>
              </w:rPr>
            </w:pPr>
            <w:r>
              <w:rPr>
                <w:rFonts w:hint="eastAsia" w:ascii="宋体" w:hAnsi="宋体" w:cs="宋体"/>
              </w:rPr>
              <w:t>100</w:t>
            </w:r>
          </w:p>
        </w:tc>
      </w:tr>
      <w:tr w14:paraId="33BA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0" w:type="pct"/>
          </w:tcPr>
          <w:p w14:paraId="61D611A1">
            <w:pPr>
              <w:overflowPunct w:val="0"/>
              <w:jc w:val="center"/>
              <w:rPr>
                <w:rFonts w:ascii="宋体" w:hAnsi="宋体" w:cs="宋体"/>
              </w:rPr>
            </w:pPr>
            <w:r>
              <w:rPr>
                <w:rFonts w:hint="eastAsia" w:ascii="宋体" w:hAnsi="宋体" w:cs="宋体"/>
              </w:rPr>
              <w:t>暂时性差异</w:t>
            </w:r>
          </w:p>
        </w:tc>
        <w:tc>
          <w:tcPr>
            <w:tcW w:w="787" w:type="pct"/>
          </w:tcPr>
          <w:p w14:paraId="0BFBA472">
            <w:pPr>
              <w:overflowPunct w:val="0"/>
              <w:jc w:val="center"/>
              <w:rPr>
                <w:rFonts w:ascii="宋体" w:hAnsi="宋体" w:cs="宋体"/>
              </w:rPr>
            </w:pPr>
            <w:r>
              <w:rPr>
                <w:rFonts w:hint="eastAsia" w:ascii="宋体" w:hAnsi="宋体" w:cs="宋体"/>
              </w:rPr>
              <w:t>10</w:t>
            </w:r>
          </w:p>
        </w:tc>
        <w:tc>
          <w:tcPr>
            <w:tcW w:w="715" w:type="pct"/>
          </w:tcPr>
          <w:p w14:paraId="2CBDFE2A">
            <w:pPr>
              <w:overflowPunct w:val="0"/>
              <w:jc w:val="center"/>
              <w:rPr>
                <w:rFonts w:ascii="宋体" w:hAnsi="宋体" w:cs="宋体"/>
              </w:rPr>
            </w:pPr>
            <w:r>
              <w:rPr>
                <w:rFonts w:hint="eastAsia" w:ascii="宋体" w:hAnsi="宋体" w:cs="宋体"/>
              </w:rPr>
              <w:t>10</w:t>
            </w:r>
          </w:p>
        </w:tc>
        <w:tc>
          <w:tcPr>
            <w:tcW w:w="787" w:type="pct"/>
          </w:tcPr>
          <w:p w14:paraId="5754E6DC">
            <w:pPr>
              <w:overflowPunct w:val="0"/>
              <w:jc w:val="center"/>
              <w:rPr>
                <w:rFonts w:ascii="宋体" w:hAnsi="宋体" w:cs="宋体"/>
              </w:rPr>
            </w:pPr>
            <w:r>
              <w:rPr>
                <w:rFonts w:hint="eastAsia" w:ascii="宋体" w:hAnsi="宋体" w:cs="宋体"/>
              </w:rPr>
              <w:t>-10</w:t>
            </w:r>
          </w:p>
        </w:tc>
        <w:tc>
          <w:tcPr>
            <w:tcW w:w="711" w:type="pct"/>
          </w:tcPr>
          <w:p w14:paraId="6A06A0DE">
            <w:pPr>
              <w:overflowPunct w:val="0"/>
              <w:jc w:val="center"/>
              <w:rPr>
                <w:rFonts w:ascii="宋体" w:hAnsi="宋体" w:cs="宋体"/>
              </w:rPr>
            </w:pPr>
            <w:r>
              <w:rPr>
                <w:rFonts w:hint="eastAsia" w:ascii="宋体" w:hAnsi="宋体" w:cs="宋体"/>
              </w:rPr>
              <w:t>-10</w:t>
            </w:r>
          </w:p>
        </w:tc>
      </w:tr>
      <w:tr w14:paraId="6E5C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0" w:type="pct"/>
          </w:tcPr>
          <w:p w14:paraId="47E81DDB">
            <w:pPr>
              <w:overflowPunct w:val="0"/>
              <w:jc w:val="center"/>
              <w:rPr>
                <w:rFonts w:ascii="宋体" w:hAnsi="宋体" w:cs="宋体"/>
              </w:rPr>
            </w:pPr>
            <w:r>
              <w:rPr>
                <w:rFonts w:hint="eastAsia" w:ascii="宋体" w:hAnsi="宋体" w:cs="宋体"/>
              </w:rPr>
              <w:t>应税所得</w:t>
            </w:r>
          </w:p>
        </w:tc>
        <w:tc>
          <w:tcPr>
            <w:tcW w:w="787" w:type="pct"/>
          </w:tcPr>
          <w:p w14:paraId="4D0E5E55">
            <w:pPr>
              <w:overflowPunct w:val="0"/>
              <w:jc w:val="center"/>
              <w:rPr>
                <w:rFonts w:ascii="宋体" w:hAnsi="宋体" w:cs="宋体"/>
              </w:rPr>
            </w:pPr>
            <w:r>
              <w:rPr>
                <w:rFonts w:hint="eastAsia" w:ascii="宋体" w:hAnsi="宋体" w:cs="宋体"/>
              </w:rPr>
              <w:t>110</w:t>
            </w:r>
          </w:p>
        </w:tc>
        <w:tc>
          <w:tcPr>
            <w:tcW w:w="715" w:type="pct"/>
          </w:tcPr>
          <w:p w14:paraId="25961DC1">
            <w:pPr>
              <w:overflowPunct w:val="0"/>
              <w:jc w:val="center"/>
              <w:rPr>
                <w:rFonts w:ascii="宋体" w:hAnsi="宋体" w:cs="宋体"/>
              </w:rPr>
            </w:pPr>
            <w:r>
              <w:rPr>
                <w:rFonts w:hint="eastAsia" w:ascii="宋体" w:hAnsi="宋体" w:cs="宋体"/>
              </w:rPr>
              <w:t>110</w:t>
            </w:r>
          </w:p>
        </w:tc>
        <w:tc>
          <w:tcPr>
            <w:tcW w:w="787" w:type="pct"/>
          </w:tcPr>
          <w:p w14:paraId="28FC6C09">
            <w:pPr>
              <w:overflowPunct w:val="0"/>
              <w:jc w:val="center"/>
              <w:rPr>
                <w:rFonts w:ascii="宋体" w:hAnsi="宋体" w:cs="宋体"/>
              </w:rPr>
            </w:pPr>
            <w:r>
              <w:rPr>
                <w:rFonts w:hint="eastAsia" w:ascii="宋体" w:hAnsi="宋体" w:cs="宋体"/>
              </w:rPr>
              <w:t>90</w:t>
            </w:r>
          </w:p>
        </w:tc>
        <w:tc>
          <w:tcPr>
            <w:tcW w:w="711" w:type="pct"/>
          </w:tcPr>
          <w:p w14:paraId="3AC75682">
            <w:pPr>
              <w:overflowPunct w:val="0"/>
              <w:jc w:val="center"/>
              <w:rPr>
                <w:rFonts w:ascii="宋体" w:hAnsi="宋体" w:cs="宋体"/>
              </w:rPr>
            </w:pPr>
            <w:r>
              <w:rPr>
                <w:rFonts w:hint="eastAsia" w:ascii="宋体" w:hAnsi="宋体" w:cs="宋体"/>
              </w:rPr>
              <w:t>90</w:t>
            </w:r>
          </w:p>
        </w:tc>
      </w:tr>
      <w:tr w14:paraId="303E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0" w:type="pct"/>
          </w:tcPr>
          <w:p w14:paraId="3C2DEAAC">
            <w:pPr>
              <w:overflowPunct w:val="0"/>
              <w:jc w:val="center"/>
              <w:rPr>
                <w:rFonts w:ascii="宋体" w:hAnsi="宋体" w:cs="宋体"/>
              </w:rPr>
            </w:pPr>
            <w:r>
              <w:rPr>
                <w:rFonts w:hint="eastAsia" w:ascii="宋体" w:hAnsi="宋体" w:cs="宋体"/>
              </w:rPr>
              <w:t>应交所得税</w:t>
            </w:r>
          </w:p>
        </w:tc>
        <w:tc>
          <w:tcPr>
            <w:tcW w:w="787" w:type="pct"/>
          </w:tcPr>
          <w:p w14:paraId="733DE521">
            <w:pPr>
              <w:overflowPunct w:val="0"/>
              <w:jc w:val="center"/>
              <w:rPr>
                <w:rFonts w:ascii="宋体" w:hAnsi="宋体" w:cs="宋体"/>
              </w:rPr>
            </w:pPr>
            <w:r>
              <w:rPr>
                <w:rFonts w:hint="eastAsia" w:ascii="宋体" w:hAnsi="宋体" w:cs="宋体"/>
              </w:rPr>
              <w:t>27.5</w:t>
            </w:r>
          </w:p>
        </w:tc>
        <w:tc>
          <w:tcPr>
            <w:tcW w:w="715" w:type="pct"/>
          </w:tcPr>
          <w:p w14:paraId="1A9CDF8A">
            <w:pPr>
              <w:overflowPunct w:val="0"/>
              <w:jc w:val="center"/>
              <w:rPr>
                <w:rFonts w:ascii="宋体" w:hAnsi="宋体" w:cs="宋体"/>
              </w:rPr>
            </w:pPr>
            <w:r>
              <w:rPr>
                <w:rFonts w:hint="eastAsia" w:ascii="宋体" w:hAnsi="宋体" w:cs="宋体"/>
              </w:rPr>
              <w:t>27.5</w:t>
            </w:r>
          </w:p>
        </w:tc>
        <w:tc>
          <w:tcPr>
            <w:tcW w:w="787" w:type="pct"/>
          </w:tcPr>
          <w:p w14:paraId="4FFABB63">
            <w:pPr>
              <w:overflowPunct w:val="0"/>
              <w:jc w:val="center"/>
              <w:rPr>
                <w:rFonts w:ascii="宋体" w:hAnsi="宋体" w:cs="宋体"/>
              </w:rPr>
            </w:pPr>
            <w:r>
              <w:rPr>
                <w:rFonts w:hint="eastAsia" w:ascii="宋体" w:hAnsi="宋体" w:cs="宋体"/>
              </w:rPr>
              <w:t>22.5</w:t>
            </w:r>
          </w:p>
        </w:tc>
        <w:tc>
          <w:tcPr>
            <w:tcW w:w="711" w:type="pct"/>
          </w:tcPr>
          <w:p w14:paraId="74B2FCF9">
            <w:pPr>
              <w:overflowPunct w:val="0"/>
              <w:jc w:val="center"/>
              <w:rPr>
                <w:rFonts w:ascii="宋体" w:hAnsi="宋体" w:cs="宋体"/>
              </w:rPr>
            </w:pPr>
            <w:r>
              <w:rPr>
                <w:rFonts w:hint="eastAsia" w:ascii="宋体" w:hAnsi="宋体" w:cs="宋体"/>
              </w:rPr>
              <w:t>22.5</w:t>
            </w:r>
          </w:p>
        </w:tc>
      </w:tr>
      <w:tr w14:paraId="71D8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0" w:type="pct"/>
          </w:tcPr>
          <w:p w14:paraId="6504A021">
            <w:pPr>
              <w:overflowPunct w:val="0"/>
              <w:jc w:val="center"/>
              <w:rPr>
                <w:rFonts w:ascii="宋体" w:hAnsi="宋体" w:cs="宋体"/>
              </w:rPr>
            </w:pPr>
            <w:r>
              <w:rPr>
                <w:rFonts w:hint="eastAsia" w:ascii="宋体" w:hAnsi="宋体" w:cs="宋体"/>
              </w:rPr>
              <w:t>递延所得税资产 （待摊费用的本质）</w:t>
            </w:r>
          </w:p>
        </w:tc>
        <w:tc>
          <w:tcPr>
            <w:tcW w:w="787" w:type="pct"/>
          </w:tcPr>
          <w:p w14:paraId="03C557BC">
            <w:pPr>
              <w:overflowPunct w:val="0"/>
              <w:jc w:val="center"/>
              <w:rPr>
                <w:rFonts w:ascii="宋体" w:hAnsi="宋体" w:cs="宋体"/>
              </w:rPr>
            </w:pPr>
            <w:r>
              <w:rPr>
                <w:rFonts w:hint="eastAsia" w:ascii="宋体" w:hAnsi="宋体" w:cs="宋体"/>
              </w:rPr>
              <w:t>借记2.5</w:t>
            </w:r>
          </w:p>
        </w:tc>
        <w:tc>
          <w:tcPr>
            <w:tcW w:w="715" w:type="pct"/>
          </w:tcPr>
          <w:p w14:paraId="4C9820B0">
            <w:pPr>
              <w:overflowPunct w:val="0"/>
              <w:jc w:val="center"/>
              <w:rPr>
                <w:rFonts w:ascii="宋体" w:hAnsi="宋体" w:cs="宋体"/>
              </w:rPr>
            </w:pPr>
            <w:r>
              <w:rPr>
                <w:rFonts w:hint="eastAsia" w:ascii="宋体" w:hAnsi="宋体" w:cs="宋体"/>
              </w:rPr>
              <w:t>借记2.5</w:t>
            </w:r>
          </w:p>
        </w:tc>
        <w:tc>
          <w:tcPr>
            <w:tcW w:w="787" w:type="pct"/>
          </w:tcPr>
          <w:p w14:paraId="794921EC">
            <w:pPr>
              <w:overflowPunct w:val="0"/>
              <w:jc w:val="center"/>
              <w:rPr>
                <w:rFonts w:ascii="宋体" w:hAnsi="宋体" w:cs="宋体"/>
              </w:rPr>
            </w:pPr>
            <w:r>
              <w:rPr>
                <w:rFonts w:hint="eastAsia" w:ascii="宋体" w:hAnsi="宋体" w:cs="宋体"/>
              </w:rPr>
              <w:t>贷记2.5</w:t>
            </w:r>
          </w:p>
        </w:tc>
        <w:tc>
          <w:tcPr>
            <w:tcW w:w="711" w:type="pct"/>
          </w:tcPr>
          <w:p w14:paraId="3E5EC913">
            <w:pPr>
              <w:overflowPunct w:val="0"/>
              <w:jc w:val="center"/>
              <w:rPr>
                <w:rFonts w:ascii="宋体" w:hAnsi="宋体" w:cs="宋体"/>
              </w:rPr>
            </w:pPr>
            <w:r>
              <w:rPr>
                <w:rFonts w:hint="eastAsia" w:ascii="宋体" w:hAnsi="宋体" w:cs="宋体"/>
              </w:rPr>
              <w:t>贷记2.5</w:t>
            </w:r>
          </w:p>
        </w:tc>
      </w:tr>
    </w:tbl>
    <w:p w14:paraId="3D2E788D">
      <w:pPr>
        <w:overflowPunct w:val="0"/>
        <w:jc w:val="left"/>
        <w:rPr>
          <w:rFonts w:ascii="宋体" w:hAnsi="宋体" w:cs="宋体"/>
        </w:rPr>
      </w:pP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8"/>
        <w:gridCol w:w="2028"/>
        <w:gridCol w:w="2028"/>
      </w:tblGrid>
      <w:tr w14:paraId="7664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3CAE61D7">
            <w:pPr>
              <w:overflowPunct w:val="0"/>
              <w:jc w:val="center"/>
              <w:rPr>
                <w:rFonts w:ascii="宋体" w:hAnsi="宋体" w:cs="宋体"/>
              </w:rPr>
            </w:pPr>
            <w:r>
              <w:rPr>
                <w:rFonts w:hint="eastAsia" w:ascii="宋体" w:hAnsi="宋体" w:cs="宋体"/>
              </w:rPr>
              <w:t>项目</w:t>
            </w:r>
          </w:p>
        </w:tc>
        <w:tc>
          <w:tcPr>
            <w:tcW w:w="999" w:type="pct"/>
          </w:tcPr>
          <w:p w14:paraId="0B08FFD6">
            <w:pPr>
              <w:overflowPunct w:val="0"/>
              <w:jc w:val="center"/>
              <w:rPr>
                <w:rFonts w:ascii="宋体" w:hAnsi="宋体" w:cs="宋体"/>
              </w:rPr>
            </w:pPr>
            <w:r>
              <w:rPr>
                <w:rFonts w:hint="eastAsia" w:ascii="宋体" w:hAnsi="宋体" w:cs="宋体"/>
              </w:rPr>
              <w:t>2022年</w:t>
            </w:r>
          </w:p>
        </w:tc>
        <w:tc>
          <w:tcPr>
            <w:tcW w:w="999" w:type="pct"/>
          </w:tcPr>
          <w:p w14:paraId="3BE200A7">
            <w:pPr>
              <w:overflowPunct w:val="0"/>
              <w:jc w:val="center"/>
              <w:rPr>
                <w:rFonts w:ascii="宋体" w:hAnsi="宋体" w:cs="宋体"/>
              </w:rPr>
            </w:pPr>
            <w:r>
              <w:rPr>
                <w:rFonts w:hint="eastAsia" w:ascii="宋体" w:hAnsi="宋体" w:cs="宋体"/>
              </w:rPr>
              <w:t>2023年</w:t>
            </w:r>
          </w:p>
        </w:tc>
        <w:tc>
          <w:tcPr>
            <w:tcW w:w="1000" w:type="pct"/>
          </w:tcPr>
          <w:p w14:paraId="5DF8C930">
            <w:pPr>
              <w:overflowPunct w:val="0"/>
              <w:jc w:val="center"/>
              <w:rPr>
                <w:rFonts w:ascii="宋体" w:hAnsi="宋体" w:cs="宋体"/>
              </w:rPr>
            </w:pPr>
            <w:r>
              <w:rPr>
                <w:rFonts w:hint="eastAsia" w:ascii="宋体" w:hAnsi="宋体" w:cs="宋体"/>
              </w:rPr>
              <w:t>2024年</w:t>
            </w:r>
          </w:p>
        </w:tc>
        <w:tc>
          <w:tcPr>
            <w:tcW w:w="1000" w:type="pct"/>
          </w:tcPr>
          <w:p w14:paraId="33E71425">
            <w:pPr>
              <w:overflowPunct w:val="0"/>
              <w:jc w:val="center"/>
              <w:rPr>
                <w:rFonts w:ascii="宋体" w:hAnsi="宋体" w:cs="宋体"/>
              </w:rPr>
            </w:pPr>
            <w:r>
              <w:rPr>
                <w:rFonts w:hint="eastAsia" w:ascii="宋体" w:hAnsi="宋体" w:cs="宋体"/>
              </w:rPr>
              <w:t>2025年</w:t>
            </w:r>
          </w:p>
        </w:tc>
      </w:tr>
      <w:tr w14:paraId="015A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1031673">
            <w:pPr>
              <w:overflowPunct w:val="0"/>
              <w:jc w:val="center"/>
              <w:rPr>
                <w:rFonts w:ascii="宋体" w:hAnsi="宋体" w:cs="宋体"/>
              </w:rPr>
            </w:pPr>
            <w:r>
              <w:rPr>
                <w:rFonts w:hint="eastAsia" w:ascii="宋体" w:hAnsi="宋体" w:cs="宋体"/>
              </w:rPr>
              <w:t>所得税费用＝</w:t>
            </w:r>
          </w:p>
          <w:p w14:paraId="7B350A29">
            <w:pPr>
              <w:overflowPunct w:val="0"/>
              <w:jc w:val="center"/>
              <w:rPr>
                <w:rFonts w:ascii="宋体" w:hAnsi="宋体" w:cs="宋体"/>
              </w:rPr>
            </w:pPr>
            <w:r>
              <w:rPr>
                <w:rFonts w:hint="eastAsia" w:ascii="宋体" w:hAnsi="宋体" w:cs="宋体"/>
              </w:rPr>
              <w:t>会计口径利润</w:t>
            </w:r>
          </w:p>
          <w:p w14:paraId="313BAE21">
            <w:pPr>
              <w:overflowPunct w:val="0"/>
              <w:jc w:val="center"/>
              <w:rPr>
                <w:rFonts w:ascii="宋体" w:hAnsi="宋体" w:cs="宋体"/>
              </w:rPr>
            </w:pPr>
            <w:r>
              <w:rPr>
                <w:rFonts w:hint="eastAsia" w:ascii="宋体" w:hAnsi="宋体" w:cs="宋体"/>
              </w:rPr>
              <w:t>×所得税率</w:t>
            </w:r>
          </w:p>
        </w:tc>
        <w:tc>
          <w:tcPr>
            <w:tcW w:w="999" w:type="pct"/>
          </w:tcPr>
          <w:p w14:paraId="43A7D84E">
            <w:pPr>
              <w:overflowPunct w:val="0"/>
              <w:jc w:val="center"/>
              <w:rPr>
                <w:rFonts w:ascii="宋体" w:hAnsi="宋体" w:cs="宋体"/>
              </w:rPr>
            </w:pPr>
            <w:r>
              <w:rPr>
                <w:rFonts w:hint="eastAsia" w:ascii="宋体" w:hAnsi="宋体" w:cs="宋体"/>
              </w:rPr>
              <w:t>25</w:t>
            </w:r>
          </w:p>
        </w:tc>
        <w:tc>
          <w:tcPr>
            <w:tcW w:w="999" w:type="pct"/>
          </w:tcPr>
          <w:p w14:paraId="366A7D81">
            <w:pPr>
              <w:overflowPunct w:val="0"/>
              <w:jc w:val="center"/>
              <w:rPr>
                <w:rFonts w:ascii="宋体" w:hAnsi="宋体" w:cs="宋体"/>
              </w:rPr>
            </w:pPr>
            <w:r>
              <w:rPr>
                <w:rFonts w:hint="eastAsia" w:ascii="宋体" w:hAnsi="宋体" w:cs="宋体"/>
              </w:rPr>
              <w:t>25</w:t>
            </w:r>
          </w:p>
        </w:tc>
        <w:tc>
          <w:tcPr>
            <w:tcW w:w="1000" w:type="pct"/>
          </w:tcPr>
          <w:p w14:paraId="51FF2135">
            <w:pPr>
              <w:overflowPunct w:val="0"/>
              <w:jc w:val="center"/>
              <w:rPr>
                <w:rFonts w:ascii="宋体" w:hAnsi="宋体" w:cs="宋体"/>
              </w:rPr>
            </w:pPr>
            <w:r>
              <w:rPr>
                <w:rFonts w:hint="eastAsia" w:ascii="宋体" w:hAnsi="宋体" w:cs="宋体"/>
              </w:rPr>
              <w:t>25</w:t>
            </w:r>
          </w:p>
        </w:tc>
        <w:tc>
          <w:tcPr>
            <w:tcW w:w="1000" w:type="pct"/>
          </w:tcPr>
          <w:p w14:paraId="51338891">
            <w:pPr>
              <w:overflowPunct w:val="0"/>
              <w:jc w:val="center"/>
              <w:rPr>
                <w:rFonts w:ascii="宋体" w:hAnsi="宋体" w:cs="宋体"/>
              </w:rPr>
            </w:pPr>
            <w:r>
              <w:rPr>
                <w:rFonts w:hint="eastAsia" w:ascii="宋体" w:hAnsi="宋体" w:cs="宋体"/>
              </w:rPr>
              <w:t>25</w:t>
            </w:r>
          </w:p>
        </w:tc>
      </w:tr>
      <w:tr w14:paraId="7FFE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957BE3D">
            <w:pPr>
              <w:overflowPunct w:val="0"/>
              <w:jc w:val="center"/>
              <w:rPr>
                <w:rFonts w:ascii="宋体" w:hAnsi="宋体" w:cs="宋体"/>
              </w:rPr>
            </w:pPr>
            <w:r>
              <w:rPr>
                <w:rFonts w:hint="eastAsia" w:ascii="宋体" w:hAnsi="宋体" w:cs="宋体"/>
              </w:rPr>
              <w:t>会计分录</w:t>
            </w:r>
          </w:p>
        </w:tc>
        <w:tc>
          <w:tcPr>
            <w:tcW w:w="1999" w:type="pct"/>
            <w:gridSpan w:val="2"/>
          </w:tcPr>
          <w:p w14:paraId="557DECB5">
            <w:pPr>
              <w:overflowPunct w:val="0"/>
              <w:jc w:val="left"/>
              <w:rPr>
                <w:rFonts w:ascii="宋体" w:hAnsi="宋体" w:cs="宋体"/>
              </w:rPr>
            </w:pPr>
            <w:r>
              <w:rPr>
                <w:rFonts w:hint="eastAsia" w:ascii="宋体" w:hAnsi="宋体" w:cs="宋体"/>
              </w:rPr>
              <w:t>借：所得税费用             25</w:t>
            </w:r>
            <w:r>
              <w:rPr>
                <w:rFonts w:hint="eastAsia" w:ascii="宋体" w:hAnsi="宋体" w:cs="宋体"/>
              </w:rPr>
              <w:br w:type="textWrapping"/>
            </w:r>
            <w:r>
              <w:rPr>
                <w:rFonts w:hint="eastAsia" w:ascii="宋体" w:hAnsi="宋体" w:cs="宋体"/>
              </w:rPr>
              <w:t>　　递延所得税资产     2.5</w:t>
            </w:r>
            <w:r>
              <w:rPr>
                <w:rFonts w:hint="eastAsia" w:ascii="宋体" w:hAnsi="宋体" w:cs="宋体"/>
              </w:rPr>
              <w:br w:type="textWrapping"/>
            </w:r>
            <w:r>
              <w:rPr>
                <w:rFonts w:hint="eastAsia" w:ascii="宋体" w:hAnsi="宋体" w:cs="宋体"/>
              </w:rPr>
              <w:t>　　贷：应交税费</w:t>
            </w:r>
          </w:p>
          <w:p w14:paraId="33CCEA86">
            <w:pPr>
              <w:overflowPunct w:val="0"/>
              <w:jc w:val="left"/>
              <w:rPr>
                <w:rFonts w:ascii="宋体" w:hAnsi="宋体" w:cs="宋体"/>
              </w:rPr>
            </w:pPr>
            <w:r>
              <w:rPr>
                <w:rFonts w:hint="eastAsia" w:ascii="宋体" w:hAnsi="宋体" w:cs="宋体"/>
              </w:rPr>
              <w:t xml:space="preserve">　　　　——应交所得税   27.5 </w:t>
            </w:r>
          </w:p>
        </w:tc>
        <w:tc>
          <w:tcPr>
            <w:tcW w:w="2000" w:type="pct"/>
            <w:gridSpan w:val="2"/>
          </w:tcPr>
          <w:p w14:paraId="66DF1D48">
            <w:pPr>
              <w:overflowPunct w:val="0"/>
              <w:jc w:val="left"/>
              <w:rPr>
                <w:rFonts w:ascii="宋体" w:hAnsi="宋体" w:cs="宋体"/>
              </w:rPr>
            </w:pPr>
            <w:r>
              <w:rPr>
                <w:rFonts w:hint="eastAsia" w:ascii="宋体" w:hAnsi="宋体" w:cs="宋体"/>
              </w:rPr>
              <w:t>借：所得税费用              25</w:t>
            </w:r>
            <w:r>
              <w:rPr>
                <w:rFonts w:hint="eastAsia" w:ascii="宋体" w:hAnsi="宋体" w:cs="宋体"/>
              </w:rPr>
              <w:br w:type="textWrapping"/>
            </w:r>
            <w:r>
              <w:rPr>
                <w:rFonts w:hint="eastAsia" w:ascii="宋体" w:hAnsi="宋体" w:cs="宋体"/>
              </w:rPr>
              <w:t>　　贷：递延所得税资产     2.5</w:t>
            </w:r>
            <w:r>
              <w:rPr>
                <w:rFonts w:hint="eastAsia" w:ascii="宋体" w:hAnsi="宋体" w:cs="宋体"/>
              </w:rPr>
              <w:br w:type="textWrapping"/>
            </w:r>
            <w:r>
              <w:rPr>
                <w:rFonts w:hint="eastAsia" w:ascii="宋体" w:hAnsi="宋体" w:cs="宋体"/>
              </w:rPr>
              <w:t>　　　　应交税费</w:t>
            </w:r>
          </w:p>
          <w:p w14:paraId="07B3291E">
            <w:pPr>
              <w:overflowPunct w:val="0"/>
              <w:jc w:val="left"/>
              <w:rPr>
                <w:rFonts w:ascii="宋体" w:hAnsi="宋体" w:cs="宋体"/>
              </w:rPr>
            </w:pPr>
            <w:r>
              <w:rPr>
                <w:rFonts w:hint="eastAsia" w:ascii="宋体" w:hAnsi="宋体" w:cs="宋体"/>
              </w:rPr>
              <w:t xml:space="preserve">　　　　——应交所得税     22.5 </w:t>
            </w:r>
          </w:p>
        </w:tc>
      </w:tr>
    </w:tbl>
    <w:p w14:paraId="717FFC7E">
      <w:pPr>
        <w:jc w:val="left"/>
        <w:rPr>
          <w:rFonts w:hint="eastAsia" w:ascii="宋体" w:hAnsi="宋体" w:cs="宋体"/>
        </w:rPr>
      </w:pPr>
      <w:r>
        <w:rPr>
          <w:rFonts w:hint="eastAsia" w:ascii="宋体" w:hAnsi="宋体" w:cs="宋体"/>
        </w:rPr>
        <w:t>当会计与税务产生收入、支出上的暂时性差异时，应当以会计口径的利润认定所得税费用，以税务口径的利润认定应交所得税，使用“递延所得税资产” “递延所得税负债”科目。</w:t>
      </w:r>
    </w:p>
    <w:p w14:paraId="4244A3EA">
      <w:pPr>
        <w:jc w:val="left"/>
        <w:rPr>
          <w:rFonts w:ascii="宋体" w:hAnsi="宋体" w:cs="宋体"/>
          <w:color w:val="FF0000"/>
        </w:rPr>
      </w:pPr>
      <w:r>
        <w:rPr>
          <w:rFonts w:hint="eastAsia" w:ascii="宋体" w:hAnsi="宋体" w:cs="宋体"/>
          <w:color w:val="FF0000"/>
        </w:rPr>
        <w:t>所得税会计的一般程序</w:t>
      </w:r>
    </w:p>
    <w:p w14:paraId="1486765B">
      <w:pPr>
        <w:jc w:val="left"/>
        <w:rPr>
          <w:rFonts w:ascii="宋体" w:hAnsi="宋体" w:cs="宋体"/>
        </w:rPr>
      </w:pPr>
      <w:r>
        <w:rPr>
          <w:rFonts w:hint="eastAsia" w:ascii="宋体" w:hAnsi="宋体" w:cs="宋体"/>
        </w:rPr>
        <w:t>1.确定产生</w:t>
      </w:r>
      <w:r>
        <w:rPr>
          <w:rFonts w:hint="eastAsia" w:ascii="宋体" w:hAnsi="宋体" w:cs="宋体"/>
          <w:color w:val="FF0000"/>
        </w:rPr>
        <w:t>暂时性差异</w:t>
      </w:r>
      <w:r>
        <w:rPr>
          <w:rFonts w:hint="eastAsia" w:ascii="宋体" w:hAnsi="宋体" w:cs="宋体"/>
        </w:rPr>
        <w:t>的项目</w:t>
      </w:r>
    </w:p>
    <w:p w14:paraId="45497C97">
      <w:pPr>
        <w:jc w:val="left"/>
        <w:rPr>
          <w:rFonts w:ascii="宋体" w:hAnsi="宋体" w:cs="宋体"/>
        </w:rPr>
      </w:pPr>
      <w:r>
        <w:rPr>
          <w:rFonts w:hint="eastAsia" w:ascii="宋体" w:hAnsi="宋体" w:cs="宋体"/>
        </w:rPr>
        <w:t>2.确定资产或负债的</w:t>
      </w:r>
      <w:r>
        <w:rPr>
          <w:rFonts w:hint="eastAsia" w:ascii="宋体" w:hAnsi="宋体" w:cs="宋体"/>
          <w:color w:val="FF0000"/>
        </w:rPr>
        <w:t>账面价值</w:t>
      </w:r>
      <w:r>
        <w:rPr>
          <w:rFonts w:hint="eastAsia" w:ascii="宋体" w:hAnsi="宋体" w:cs="宋体"/>
        </w:rPr>
        <w:t>及</w:t>
      </w:r>
      <w:r>
        <w:rPr>
          <w:rFonts w:hint="eastAsia" w:ascii="宋体" w:hAnsi="宋体" w:cs="宋体"/>
          <w:color w:val="FF0000"/>
        </w:rPr>
        <w:t>计税基础</w:t>
      </w:r>
    </w:p>
    <w:p w14:paraId="3E93DC9C">
      <w:pPr>
        <w:jc w:val="left"/>
        <w:rPr>
          <w:rFonts w:hint="eastAsia" w:ascii="宋体" w:hAnsi="宋体" w:cs="宋体"/>
        </w:rPr>
      </w:pPr>
      <w:r>
        <w:rPr>
          <w:rFonts w:hint="eastAsia" w:ascii="宋体" w:hAnsi="宋体" w:cs="宋体"/>
        </w:rPr>
        <w:t>3.计算</w:t>
      </w:r>
      <w:r>
        <w:rPr>
          <w:rFonts w:hint="eastAsia" w:ascii="宋体" w:hAnsi="宋体" w:cs="宋体"/>
          <w:color w:val="FF0000"/>
        </w:rPr>
        <w:t>暂时性差异的期末余额</w:t>
      </w:r>
    </w:p>
    <w:p w14:paraId="0642965D">
      <w:pPr>
        <w:jc w:val="left"/>
        <w:rPr>
          <w:rFonts w:hint="eastAsia" w:ascii="宋体" w:hAnsi="宋体" w:cs="宋体"/>
        </w:rPr>
      </w:pPr>
      <w:r>
        <w:rPr>
          <w:rFonts w:hint="eastAsia" w:ascii="宋体" w:hAnsi="宋体" w:cs="宋体"/>
        </w:rPr>
        <w:drawing>
          <wp:inline distT="0" distB="0" distL="114300" distR="114300">
            <wp:extent cx="3784600" cy="1877695"/>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clrChange>
                        <a:clrFrom>
                          <a:srgbClr val="033755"/>
                        </a:clrFrom>
                        <a:clrTo>
                          <a:srgbClr val="033755">
                            <a:alpha val="0"/>
                          </a:srgbClr>
                        </a:clrTo>
                      </a:clrChange>
                    </a:blip>
                    <a:stretch>
                      <a:fillRect/>
                    </a:stretch>
                  </pic:blipFill>
                  <pic:spPr>
                    <a:xfrm>
                      <a:off x="0" y="0"/>
                      <a:ext cx="3797333" cy="1883848"/>
                    </a:xfrm>
                    <a:prstGeom prst="rect">
                      <a:avLst/>
                    </a:prstGeom>
                    <a:noFill/>
                    <a:ln>
                      <a:noFill/>
                    </a:ln>
                  </pic:spPr>
                </pic:pic>
              </a:graphicData>
            </a:graphic>
          </wp:inline>
        </w:drawing>
      </w:r>
    </w:p>
    <w:p w14:paraId="5BF02559">
      <w:pPr>
        <w:jc w:val="left"/>
        <w:rPr>
          <w:rFonts w:hint="eastAsia" w:ascii="宋体" w:hAnsi="宋体" w:cs="宋体"/>
        </w:rPr>
      </w:pPr>
      <w:r>
        <w:rPr>
          <w:rFonts w:hint="eastAsia" w:ascii="宋体" w:hAnsi="宋体" w:cs="宋体"/>
        </w:rPr>
        <w:drawing>
          <wp:inline distT="0" distB="0" distL="114300" distR="114300">
            <wp:extent cx="4053840" cy="2455545"/>
            <wp:effectExtent l="0" t="0" r="381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extLst>
                        <a:ext uri="{BEBA8EAE-BF5A-486C-A8C5-ECC9F3942E4B}">
                          <a14:imgProps xmlns:a14="http://schemas.microsoft.com/office/drawing/2010/main">
                            <a14:imgLayer r:embed="rId6">
                              <a14:imgEffect>
                                <a14:brightnessContrast bright="-72000"/>
                              </a14:imgEffect>
                            </a14:imgLayer>
                          </a14:imgProps>
                        </a:ext>
                      </a:extLst>
                    </a:blip>
                    <a:stretch>
                      <a:fillRect/>
                    </a:stretch>
                  </pic:blipFill>
                  <pic:spPr>
                    <a:xfrm>
                      <a:off x="0" y="0"/>
                      <a:ext cx="4080459" cy="2471559"/>
                    </a:xfrm>
                    <a:prstGeom prst="rect">
                      <a:avLst/>
                    </a:prstGeom>
                    <a:noFill/>
                    <a:ln>
                      <a:noFill/>
                    </a:ln>
                  </pic:spPr>
                </pic:pic>
              </a:graphicData>
            </a:graphic>
          </wp:inline>
        </w:drawing>
      </w:r>
    </w:p>
    <w:p w14:paraId="3C035DB3">
      <w:pPr>
        <w:jc w:val="left"/>
        <w:rPr>
          <w:rFonts w:ascii="宋体" w:hAnsi="宋体" w:cs="宋体"/>
          <w:color w:val="FF0000"/>
        </w:rPr>
      </w:pPr>
      <w:r>
        <w:rPr>
          <w:rFonts w:hint="eastAsia" w:ascii="宋体" w:hAnsi="宋体" w:cs="宋体"/>
          <w:color w:val="FF0000"/>
        </w:rPr>
        <w:t>4.计算“递延所得税负债”、“递延所得税资产”科目的期末余额和发生额</w:t>
      </w:r>
    </w:p>
    <w:p w14:paraId="66AA76BA">
      <w:pPr>
        <w:jc w:val="left"/>
        <w:rPr>
          <w:rFonts w:ascii="宋体" w:hAnsi="宋体" w:cs="宋体"/>
          <w:color w:val="FF0000"/>
        </w:rPr>
      </w:pPr>
      <w:r>
        <w:rPr>
          <w:rFonts w:hint="eastAsia" w:ascii="宋体" w:hAnsi="宋体" w:cs="宋体"/>
        </w:rPr>
        <w:t>“递延所得税负债”科目的</w:t>
      </w:r>
      <w:r>
        <w:rPr>
          <w:rFonts w:hint="eastAsia" w:ascii="宋体" w:hAnsi="宋体" w:cs="宋体"/>
          <w:color w:val="FF0000"/>
        </w:rPr>
        <w:t>期末余额</w:t>
      </w:r>
    </w:p>
    <w:p w14:paraId="31BC1897">
      <w:pPr>
        <w:jc w:val="left"/>
        <w:rPr>
          <w:rFonts w:hint="eastAsia" w:ascii="宋体" w:hAnsi="宋体" w:cs="宋体"/>
        </w:rPr>
      </w:pPr>
      <w:r>
        <w:rPr>
          <w:rFonts w:hint="eastAsia" w:ascii="宋体" w:hAnsi="宋体" w:cs="宋体"/>
        </w:rPr>
        <w:t>＝应纳税暂时性差异的期末余额×未来转回时所得税税率</w:t>
      </w:r>
    </w:p>
    <w:p w14:paraId="6CE602F9">
      <w:pPr>
        <w:jc w:val="left"/>
        <w:rPr>
          <w:rFonts w:ascii="宋体" w:hAnsi="宋体" w:cs="宋体"/>
          <w:color w:val="FF0000"/>
        </w:rPr>
      </w:pPr>
      <w:r>
        <w:rPr>
          <w:rFonts w:hint="eastAsia" w:ascii="宋体" w:hAnsi="宋体" w:cs="宋体"/>
        </w:rPr>
        <w:t>“递延所得税资产”科目的</w:t>
      </w:r>
      <w:r>
        <w:rPr>
          <w:rFonts w:hint="eastAsia" w:ascii="宋体" w:hAnsi="宋体" w:cs="宋体"/>
          <w:color w:val="FF0000"/>
        </w:rPr>
        <w:t>期末余额</w:t>
      </w:r>
    </w:p>
    <w:p w14:paraId="0E9CB618">
      <w:pPr>
        <w:jc w:val="left"/>
        <w:rPr>
          <w:rFonts w:hint="eastAsia" w:ascii="宋体" w:hAnsi="宋体" w:cs="宋体"/>
        </w:rPr>
      </w:pPr>
      <w:r>
        <w:rPr>
          <w:rFonts w:hint="eastAsia" w:ascii="宋体" w:hAnsi="宋体" w:cs="宋体"/>
        </w:rPr>
        <w:t>＝可抵扣暂时性差异的期末余额×未来转回时所得税税率</w:t>
      </w:r>
    </w:p>
    <w:p w14:paraId="4B8B845D">
      <w:pPr>
        <w:jc w:val="left"/>
        <w:rPr>
          <w:rFonts w:ascii="宋体" w:hAnsi="宋体" w:cs="宋体"/>
        </w:rPr>
      </w:pPr>
      <w:r>
        <w:rPr>
          <w:rFonts w:hint="eastAsia" w:ascii="宋体" w:hAnsi="宋体" w:cs="宋体"/>
        </w:rPr>
        <w:t>“递延所得税负债”科目发生额＝期末余额－期初余额</w:t>
      </w:r>
    </w:p>
    <w:p w14:paraId="1A911635">
      <w:pPr>
        <w:jc w:val="left"/>
        <w:rPr>
          <w:rFonts w:hint="eastAsia" w:ascii="宋体" w:hAnsi="宋体" w:cs="宋体"/>
        </w:rPr>
      </w:pPr>
      <w:r>
        <w:rPr>
          <w:rFonts w:hint="eastAsia" w:ascii="宋体" w:hAnsi="宋体" w:cs="宋体"/>
        </w:rPr>
        <w:t>“递延所得税资产”科目发生额＝期末余额－期初余额</w:t>
      </w:r>
    </w:p>
    <w:p w14:paraId="3F925F3D">
      <w:pPr>
        <w:jc w:val="left"/>
        <w:rPr>
          <w:rFonts w:hint="eastAsia" w:ascii="宋体" w:hAnsi="宋体" w:cs="宋体"/>
        </w:rPr>
      </w:pPr>
      <w:r>
        <w:rPr>
          <w:rFonts w:hint="eastAsia" w:ascii="宋体" w:hAnsi="宋体" w:cs="宋体"/>
        </w:rPr>
        <w:drawing>
          <wp:inline distT="0" distB="0" distL="114300" distR="114300">
            <wp:extent cx="4023995" cy="190373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clrChange>
                        <a:clrFrom>
                          <a:srgbClr val="033755"/>
                        </a:clrFrom>
                        <a:clrTo>
                          <a:srgbClr val="033755">
                            <a:alpha val="0"/>
                          </a:srgbClr>
                        </a:clrTo>
                      </a:clrChange>
                    </a:blip>
                    <a:stretch>
                      <a:fillRect/>
                    </a:stretch>
                  </pic:blipFill>
                  <pic:spPr>
                    <a:xfrm>
                      <a:off x="0" y="0"/>
                      <a:ext cx="4045504" cy="1913694"/>
                    </a:xfrm>
                    <a:prstGeom prst="rect">
                      <a:avLst/>
                    </a:prstGeom>
                    <a:noFill/>
                    <a:ln>
                      <a:noFill/>
                    </a:ln>
                  </pic:spPr>
                </pic:pic>
              </a:graphicData>
            </a:graphic>
          </wp:inline>
        </w:drawing>
      </w:r>
    </w:p>
    <w:p w14:paraId="6082562C">
      <w:pPr>
        <w:jc w:val="left"/>
        <w:rPr>
          <w:rFonts w:ascii="宋体" w:hAnsi="宋体" w:cs="宋体"/>
        </w:rPr>
      </w:pPr>
      <w:r>
        <w:rPr>
          <w:rFonts w:hint="eastAsia" w:ascii="宋体" w:hAnsi="宋体" w:cs="宋体"/>
          <w:color w:val="FF0000"/>
        </w:rPr>
        <w:t>5.计算所得税费用</w:t>
      </w:r>
      <w:r>
        <w:rPr>
          <w:rFonts w:hint="eastAsia" w:ascii="宋体" w:hAnsi="宋体" w:cs="宋体"/>
        </w:rPr>
        <w:br w:type="textWrapping"/>
      </w:r>
      <w:r>
        <w:rPr>
          <w:rFonts w:hint="eastAsia" w:ascii="宋体" w:hAnsi="宋体" w:cs="宋体"/>
        </w:rPr>
        <w:t>所得税费用</w:t>
      </w:r>
    </w:p>
    <w:p w14:paraId="689613B3">
      <w:pPr>
        <w:jc w:val="left"/>
        <w:rPr>
          <w:rFonts w:ascii="宋体" w:hAnsi="宋体" w:cs="宋体"/>
        </w:rPr>
      </w:pPr>
      <w:r>
        <w:rPr>
          <w:rFonts w:hint="eastAsia" w:ascii="宋体" w:hAnsi="宋体" w:cs="宋体"/>
        </w:rPr>
        <w:t>＝当期所得税费用</w:t>
      </w:r>
    </w:p>
    <w:p w14:paraId="60DA0A9B">
      <w:pPr>
        <w:jc w:val="left"/>
        <w:rPr>
          <w:rFonts w:ascii="宋体" w:hAnsi="宋体" w:cs="宋体"/>
        </w:rPr>
      </w:pPr>
      <w:r>
        <w:rPr>
          <w:rFonts w:hint="eastAsia" w:ascii="宋体" w:hAnsi="宋体" w:cs="宋体"/>
          <w:color w:val="FF0000"/>
        </w:rPr>
        <w:t>＋递延所得税费用</w:t>
      </w:r>
      <w:r>
        <w:rPr>
          <w:rFonts w:hint="eastAsia" w:ascii="宋体" w:hAnsi="宋体" w:cs="宋体"/>
        </w:rPr>
        <w:t>（递延负债发生额大于递延资产发生额）</w:t>
      </w:r>
    </w:p>
    <w:p w14:paraId="03D79951">
      <w:pPr>
        <w:jc w:val="left"/>
        <w:rPr>
          <w:rFonts w:hint="eastAsia" w:ascii="宋体" w:hAnsi="宋体" w:cs="宋体"/>
        </w:rPr>
      </w:pPr>
      <w:r>
        <w:rPr>
          <w:rFonts w:hint="eastAsia" w:ascii="宋体" w:hAnsi="宋体" w:cs="宋体"/>
        </w:rPr>
        <w:t>（或－</w:t>
      </w:r>
      <w:r>
        <w:rPr>
          <w:rFonts w:hint="eastAsia" w:ascii="宋体" w:hAnsi="宋体" w:cs="宋体"/>
          <w:color w:val="FF0000"/>
        </w:rPr>
        <w:t>递延所得税收益：</w:t>
      </w:r>
      <w:r>
        <w:rPr>
          <w:rFonts w:hint="eastAsia" w:ascii="宋体" w:hAnsi="宋体" w:cs="宋体"/>
        </w:rPr>
        <w:t>递延负债发生额小于递延资产发生额）</w:t>
      </w:r>
    </w:p>
    <w:p w14:paraId="196DDDC7">
      <w:pPr>
        <w:overflowPunct w:val="0"/>
        <w:jc w:val="center"/>
        <w:rPr>
          <w:rFonts w:hint="eastAsia" w:ascii="宋体" w:hAnsi="宋体" w:cs="宋体"/>
          <w:b/>
          <w:bCs/>
        </w:rPr>
      </w:pPr>
      <w:r>
        <w:rPr>
          <w:rFonts w:hint="eastAsia" w:ascii="宋体" w:hAnsi="宋体" w:cs="宋体"/>
          <w:b/>
          <w:bCs/>
        </w:rPr>
        <w:t>第一节  计税基础与暂时性差异</w:t>
      </w:r>
    </w:p>
    <w:p w14:paraId="31408F7B">
      <w:pPr>
        <w:jc w:val="left"/>
        <w:rPr>
          <w:rFonts w:ascii="宋体" w:hAnsi="宋体" w:cs="宋体"/>
        </w:rPr>
      </w:pPr>
      <w:r>
        <w:rPr>
          <w:rFonts w:hint="eastAsia" w:ascii="宋体" w:hAnsi="宋体" w:cs="宋体"/>
        </w:rPr>
        <w:t>【例-计算题】甲公司2024年税前会计利润为1 000万元，所得税率为25%，当年发生如下业务：</w:t>
      </w:r>
    </w:p>
    <w:p w14:paraId="368D242D">
      <w:pPr>
        <w:jc w:val="left"/>
        <w:rPr>
          <w:rFonts w:hint="eastAsia" w:ascii="宋体" w:hAnsi="宋体" w:cs="宋体"/>
        </w:rPr>
      </w:pPr>
      <w:r>
        <w:rPr>
          <w:rFonts w:hint="eastAsia" w:ascii="宋体" w:hAnsi="宋体" w:cs="宋体"/>
        </w:rPr>
        <w:t>（1）甲公司自用的一幢办公楼于2024年初对外出租，办公楼的账面原价为1 000万元，甲公司一直采用10年期直线法折旧，无残值。出租开始日已提折旧300万元，甲公司对此投资性房地产采用公允价值模式进行后续计量，假定出租当日办公楼的公允价值等于账面价值，年末此办公楼的公允价值为800万元，税法认可此办公楼的原有的折旧标准。</w:t>
      </w:r>
    </w:p>
    <w:p w14:paraId="2865EA89">
      <w:pPr>
        <w:jc w:val="left"/>
        <w:rPr>
          <w:rFonts w:hint="eastAsia" w:ascii="宋体" w:hAnsi="宋体" w:cs="宋体"/>
        </w:rPr>
      </w:pPr>
      <w:r>
        <w:rPr>
          <w:rFonts w:hint="eastAsia" w:ascii="宋体" w:hAnsi="宋体" w:cs="宋体"/>
        </w:rPr>
        <w:t>（2）某销售部门用的固定资产自2023年初开始计提折旧，原价为200万元（税务上对此原价是认可的），假定无残值，会计上采用四年期双倍余额递减法提取折旧，税法上则采取五年期直线法折旧。</w:t>
      </w:r>
    </w:p>
    <w:p w14:paraId="345C24FD">
      <w:pPr>
        <w:jc w:val="left"/>
        <w:rPr>
          <w:rFonts w:ascii="宋体" w:hAnsi="宋体" w:cs="宋体"/>
        </w:rPr>
      </w:pPr>
      <w:r>
        <w:rPr>
          <w:rFonts w:hint="eastAsia" w:ascii="宋体" w:hAnsi="宋体" w:cs="宋体"/>
        </w:rPr>
        <w:t>（3）2024年7月1日以300万购入一项股权，划分为交易性金融资产，2024年12月31日该股权公允价值为363万元；</w:t>
      </w:r>
    </w:p>
    <w:p w14:paraId="24956CA4">
      <w:pPr>
        <w:jc w:val="left"/>
        <w:rPr>
          <w:rFonts w:hint="eastAsia" w:ascii="宋体" w:hAnsi="宋体" w:cs="宋体"/>
        </w:rPr>
      </w:pPr>
      <w:r>
        <w:rPr>
          <w:rFonts w:hint="eastAsia" w:ascii="宋体" w:hAnsi="宋体" w:cs="宋体"/>
        </w:rPr>
        <w:t>（4）年初因产品质量担保费用提取的预计负债为60万元，年末此项预计负债的余额为80万元；</w:t>
      </w:r>
    </w:p>
    <w:p w14:paraId="68F57F7B">
      <w:pPr>
        <w:jc w:val="left"/>
        <w:rPr>
          <w:rFonts w:ascii="宋体" w:hAnsi="宋体" w:cs="宋体"/>
        </w:rPr>
      </w:pPr>
      <w:r>
        <w:rPr>
          <w:rFonts w:hint="eastAsia" w:ascii="宋体" w:hAnsi="宋体" w:cs="宋体"/>
        </w:rPr>
        <w:t>（5）甲公司当年预收乙公司定金500万元，合同约定货物将于2025年初发出，该批货物的总价款为1 000万元，增值税税率为13%，商品的成本为800万元。假定税法认为，企业应在收到定金时确认收入，最终发货时再确认其余收入。</w:t>
      </w:r>
    </w:p>
    <w:p w14:paraId="7062B138">
      <w:pPr>
        <w:jc w:val="left"/>
        <w:rPr>
          <w:rFonts w:hint="eastAsia" w:ascii="宋体" w:hAnsi="宋体" w:cs="宋体"/>
        </w:rPr>
      </w:pPr>
      <w:r>
        <w:rPr>
          <w:rFonts w:hint="eastAsia" w:ascii="宋体" w:hAnsi="宋体" w:cs="宋体"/>
        </w:rPr>
        <w:t>根据以上资料，作出甲公司2024年所得税的会计处理。（单位：万元）</w:t>
      </w:r>
    </w:p>
    <w:p w14:paraId="4EB8C3B9">
      <w:pPr>
        <w:jc w:val="left"/>
        <w:rPr>
          <w:rFonts w:ascii="宋体" w:hAnsi="宋体" w:cs="宋体"/>
        </w:rPr>
      </w:pPr>
      <w:r>
        <w:rPr>
          <w:rFonts w:hint="eastAsia" w:ascii="宋体" w:hAnsi="宋体" w:cs="宋体"/>
        </w:rPr>
        <w:t xml:space="preserve">答案：（1）首先判定暂时性差异 </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127"/>
        <w:gridCol w:w="1127"/>
        <w:gridCol w:w="1129"/>
        <w:gridCol w:w="1125"/>
        <w:gridCol w:w="1125"/>
        <w:gridCol w:w="778"/>
        <w:gridCol w:w="1476"/>
        <w:gridCol w:w="1121"/>
      </w:tblGrid>
      <w:tr w14:paraId="0DA9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tcPr>
          <w:p w14:paraId="6CAF85F3">
            <w:pPr>
              <w:overflowPunct w:val="0"/>
              <w:jc w:val="center"/>
              <w:rPr>
                <w:rFonts w:ascii="宋体" w:hAnsi="宋体" w:cs="宋体"/>
              </w:rPr>
            </w:pPr>
            <w:r>
              <w:rPr>
                <w:rFonts w:hint="eastAsia" w:ascii="宋体" w:hAnsi="宋体" w:cs="宋体"/>
              </w:rPr>
              <w:t>项目</w:t>
            </w:r>
          </w:p>
        </w:tc>
        <w:tc>
          <w:tcPr>
            <w:tcW w:w="1668" w:type="pct"/>
            <w:gridSpan w:val="3"/>
          </w:tcPr>
          <w:p w14:paraId="5A4BC97A">
            <w:pPr>
              <w:jc w:val="left"/>
              <w:rPr>
                <w:rFonts w:ascii="宋体" w:hAnsi="宋体" w:cs="宋体"/>
              </w:rPr>
            </w:pPr>
            <w:r>
              <w:rPr>
                <w:rFonts w:hint="eastAsia" w:ascii="宋体" w:hAnsi="宋体" w:cs="宋体"/>
              </w:rPr>
              <w:t>年初口径</w:t>
            </w:r>
          </w:p>
        </w:tc>
        <w:tc>
          <w:tcPr>
            <w:tcW w:w="1494" w:type="pct"/>
            <w:gridSpan w:val="3"/>
          </w:tcPr>
          <w:p w14:paraId="7EE537E5">
            <w:pPr>
              <w:jc w:val="left"/>
              <w:rPr>
                <w:rFonts w:ascii="宋体" w:hAnsi="宋体" w:cs="宋体"/>
              </w:rPr>
            </w:pPr>
            <w:r>
              <w:rPr>
                <w:rFonts w:hint="eastAsia" w:ascii="宋体" w:hAnsi="宋体" w:cs="宋体"/>
              </w:rPr>
              <w:t>年末口径</w:t>
            </w:r>
          </w:p>
        </w:tc>
        <w:tc>
          <w:tcPr>
            <w:tcW w:w="728" w:type="pct"/>
            <w:vMerge w:val="restart"/>
          </w:tcPr>
          <w:p w14:paraId="2A16016D">
            <w:pPr>
              <w:overflowPunct w:val="0"/>
              <w:jc w:val="center"/>
              <w:rPr>
                <w:rFonts w:ascii="宋体" w:hAnsi="宋体" w:cs="宋体"/>
              </w:rPr>
            </w:pPr>
            <w:r>
              <w:rPr>
                <w:rFonts w:hint="eastAsia" w:ascii="宋体" w:hAnsi="宋体" w:cs="宋体"/>
              </w:rPr>
              <w:t>差异类型</w:t>
            </w:r>
          </w:p>
        </w:tc>
        <w:tc>
          <w:tcPr>
            <w:tcW w:w="555" w:type="pct"/>
            <w:vMerge w:val="restart"/>
          </w:tcPr>
          <w:p w14:paraId="1C634563">
            <w:pPr>
              <w:overflowPunct w:val="0"/>
              <w:jc w:val="center"/>
              <w:rPr>
                <w:rFonts w:ascii="宋体" w:hAnsi="宋体" w:cs="宋体"/>
              </w:rPr>
            </w:pPr>
            <w:r>
              <w:rPr>
                <w:rFonts w:hint="eastAsia" w:ascii="宋体" w:hAnsi="宋体" w:cs="宋体"/>
              </w:rPr>
              <w:t>差异</w:t>
            </w:r>
          </w:p>
          <w:p w14:paraId="7D8145E6">
            <w:pPr>
              <w:overflowPunct w:val="0"/>
              <w:jc w:val="center"/>
              <w:rPr>
                <w:rFonts w:ascii="宋体" w:hAnsi="宋体" w:cs="宋体"/>
              </w:rPr>
            </w:pPr>
            <w:r>
              <w:rPr>
                <w:rFonts w:hint="eastAsia" w:ascii="宋体" w:hAnsi="宋体" w:cs="宋体"/>
              </w:rPr>
              <w:t>变动</w:t>
            </w:r>
          </w:p>
          <w:p w14:paraId="675B364B">
            <w:pPr>
              <w:overflowPunct w:val="0"/>
              <w:jc w:val="center"/>
              <w:rPr>
                <w:rFonts w:ascii="宋体" w:hAnsi="宋体" w:cs="宋体"/>
              </w:rPr>
            </w:pPr>
            <w:r>
              <w:rPr>
                <w:rFonts w:hint="eastAsia" w:ascii="宋体" w:hAnsi="宋体" w:cs="宋体"/>
              </w:rPr>
              <w:t>金额</w:t>
            </w:r>
          </w:p>
        </w:tc>
      </w:tr>
      <w:tr w14:paraId="15C9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tcPr>
          <w:p w14:paraId="33AE03AE">
            <w:pPr>
              <w:jc w:val="left"/>
              <w:rPr>
                <w:rFonts w:ascii="宋体" w:hAnsi="宋体" w:cs="宋体"/>
              </w:rPr>
            </w:pPr>
          </w:p>
        </w:tc>
        <w:tc>
          <w:tcPr>
            <w:tcW w:w="556" w:type="pct"/>
          </w:tcPr>
          <w:p w14:paraId="28552303">
            <w:pPr>
              <w:overflowPunct w:val="0"/>
              <w:jc w:val="center"/>
              <w:rPr>
                <w:rFonts w:ascii="宋体" w:hAnsi="宋体" w:cs="宋体"/>
              </w:rPr>
            </w:pPr>
            <w:r>
              <w:rPr>
                <w:rFonts w:hint="eastAsia" w:ascii="宋体" w:hAnsi="宋体" w:cs="宋体"/>
              </w:rPr>
              <w:t>账面</w:t>
            </w:r>
          </w:p>
          <w:p w14:paraId="49DBBC1E">
            <w:pPr>
              <w:overflowPunct w:val="0"/>
              <w:jc w:val="center"/>
              <w:rPr>
                <w:rFonts w:ascii="宋体" w:hAnsi="宋体" w:cs="宋体"/>
              </w:rPr>
            </w:pPr>
            <w:r>
              <w:rPr>
                <w:rFonts w:hint="eastAsia" w:ascii="宋体" w:hAnsi="宋体" w:cs="宋体"/>
              </w:rPr>
              <w:t>价值</w:t>
            </w:r>
          </w:p>
        </w:tc>
        <w:tc>
          <w:tcPr>
            <w:tcW w:w="556" w:type="pct"/>
          </w:tcPr>
          <w:p w14:paraId="400E1022">
            <w:pPr>
              <w:overflowPunct w:val="0"/>
              <w:jc w:val="center"/>
              <w:rPr>
                <w:rFonts w:ascii="宋体" w:hAnsi="宋体" w:cs="宋体"/>
              </w:rPr>
            </w:pPr>
            <w:r>
              <w:rPr>
                <w:rFonts w:hint="eastAsia" w:ascii="宋体" w:hAnsi="宋体" w:cs="宋体"/>
              </w:rPr>
              <w:t>计税</w:t>
            </w:r>
          </w:p>
          <w:p w14:paraId="080B14B4">
            <w:pPr>
              <w:overflowPunct w:val="0"/>
              <w:jc w:val="center"/>
              <w:rPr>
                <w:rFonts w:ascii="宋体" w:hAnsi="宋体" w:cs="宋体"/>
              </w:rPr>
            </w:pPr>
            <w:r>
              <w:rPr>
                <w:rFonts w:hint="eastAsia" w:ascii="宋体" w:hAnsi="宋体" w:cs="宋体"/>
              </w:rPr>
              <w:t>基础</w:t>
            </w:r>
          </w:p>
        </w:tc>
        <w:tc>
          <w:tcPr>
            <w:tcW w:w="557" w:type="pct"/>
          </w:tcPr>
          <w:p w14:paraId="74A1F639">
            <w:pPr>
              <w:overflowPunct w:val="0"/>
              <w:jc w:val="center"/>
              <w:rPr>
                <w:rFonts w:ascii="宋体" w:hAnsi="宋体" w:cs="宋体"/>
              </w:rPr>
            </w:pPr>
            <w:r>
              <w:rPr>
                <w:rFonts w:hint="eastAsia" w:ascii="宋体" w:hAnsi="宋体" w:cs="宋体"/>
              </w:rPr>
              <w:t>差异</w:t>
            </w:r>
          </w:p>
        </w:tc>
        <w:tc>
          <w:tcPr>
            <w:tcW w:w="555" w:type="pct"/>
          </w:tcPr>
          <w:p w14:paraId="050698B2">
            <w:pPr>
              <w:overflowPunct w:val="0"/>
              <w:jc w:val="center"/>
              <w:rPr>
                <w:rFonts w:ascii="宋体" w:hAnsi="宋体" w:cs="宋体"/>
              </w:rPr>
            </w:pPr>
            <w:r>
              <w:rPr>
                <w:rFonts w:hint="eastAsia" w:ascii="宋体" w:hAnsi="宋体" w:cs="宋体"/>
              </w:rPr>
              <w:t>账面</w:t>
            </w:r>
          </w:p>
          <w:p w14:paraId="637EF7E2">
            <w:pPr>
              <w:overflowPunct w:val="0"/>
              <w:jc w:val="center"/>
              <w:rPr>
                <w:rFonts w:ascii="宋体" w:hAnsi="宋体" w:cs="宋体"/>
              </w:rPr>
            </w:pPr>
            <w:r>
              <w:rPr>
                <w:rFonts w:hint="eastAsia" w:ascii="宋体" w:hAnsi="宋体" w:cs="宋体"/>
              </w:rPr>
              <w:t>价值</w:t>
            </w:r>
          </w:p>
        </w:tc>
        <w:tc>
          <w:tcPr>
            <w:tcW w:w="555" w:type="pct"/>
          </w:tcPr>
          <w:p w14:paraId="0422342B">
            <w:pPr>
              <w:overflowPunct w:val="0"/>
              <w:jc w:val="center"/>
              <w:rPr>
                <w:rFonts w:ascii="宋体" w:hAnsi="宋体" w:cs="宋体"/>
              </w:rPr>
            </w:pPr>
            <w:r>
              <w:rPr>
                <w:rFonts w:hint="eastAsia" w:ascii="宋体" w:hAnsi="宋体" w:cs="宋体"/>
              </w:rPr>
              <w:t>计税</w:t>
            </w:r>
          </w:p>
          <w:p w14:paraId="054CEA14">
            <w:pPr>
              <w:overflowPunct w:val="0"/>
              <w:jc w:val="center"/>
              <w:rPr>
                <w:rFonts w:ascii="宋体" w:hAnsi="宋体" w:cs="宋体"/>
              </w:rPr>
            </w:pPr>
            <w:r>
              <w:rPr>
                <w:rFonts w:hint="eastAsia" w:ascii="宋体" w:hAnsi="宋体" w:cs="宋体"/>
              </w:rPr>
              <w:t>基础</w:t>
            </w:r>
          </w:p>
        </w:tc>
        <w:tc>
          <w:tcPr>
            <w:tcW w:w="384" w:type="pct"/>
          </w:tcPr>
          <w:p w14:paraId="028A7949">
            <w:pPr>
              <w:overflowPunct w:val="0"/>
              <w:jc w:val="center"/>
              <w:rPr>
                <w:rFonts w:ascii="宋体" w:hAnsi="宋体" w:cs="宋体"/>
              </w:rPr>
            </w:pPr>
            <w:r>
              <w:rPr>
                <w:rFonts w:hint="eastAsia" w:ascii="宋体" w:hAnsi="宋体" w:cs="宋体"/>
              </w:rPr>
              <w:t>差异</w:t>
            </w:r>
          </w:p>
        </w:tc>
        <w:tc>
          <w:tcPr>
            <w:tcW w:w="728" w:type="pct"/>
            <w:vMerge w:val="continue"/>
          </w:tcPr>
          <w:p w14:paraId="7B6149E7">
            <w:pPr>
              <w:jc w:val="left"/>
              <w:rPr>
                <w:rFonts w:ascii="宋体" w:hAnsi="宋体" w:cs="宋体"/>
              </w:rPr>
            </w:pPr>
          </w:p>
        </w:tc>
        <w:tc>
          <w:tcPr>
            <w:tcW w:w="555" w:type="pct"/>
            <w:vMerge w:val="continue"/>
          </w:tcPr>
          <w:p w14:paraId="111107DE">
            <w:pPr>
              <w:jc w:val="left"/>
              <w:rPr>
                <w:rFonts w:ascii="宋体" w:hAnsi="宋体" w:cs="宋体"/>
              </w:rPr>
            </w:pPr>
          </w:p>
        </w:tc>
      </w:tr>
      <w:tr w14:paraId="5909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433ED432">
            <w:pPr>
              <w:overflowPunct w:val="0"/>
              <w:jc w:val="center"/>
              <w:rPr>
                <w:rFonts w:ascii="宋体" w:hAnsi="宋体" w:cs="宋体"/>
              </w:rPr>
            </w:pPr>
            <w:r>
              <w:rPr>
                <w:rFonts w:hint="eastAsia" w:ascii="宋体" w:hAnsi="宋体" w:cs="宋体"/>
              </w:rPr>
              <w:t>投资性</w:t>
            </w:r>
          </w:p>
          <w:p w14:paraId="12C52541">
            <w:pPr>
              <w:overflowPunct w:val="0"/>
              <w:jc w:val="center"/>
              <w:rPr>
                <w:rFonts w:ascii="宋体" w:hAnsi="宋体" w:cs="宋体"/>
              </w:rPr>
            </w:pPr>
            <w:r>
              <w:rPr>
                <w:rFonts w:hint="eastAsia" w:ascii="宋体" w:hAnsi="宋体" w:cs="宋体"/>
              </w:rPr>
              <w:t>房地产</w:t>
            </w:r>
          </w:p>
        </w:tc>
        <w:tc>
          <w:tcPr>
            <w:tcW w:w="556" w:type="pct"/>
          </w:tcPr>
          <w:p w14:paraId="655DA811">
            <w:pPr>
              <w:overflowPunct w:val="0"/>
              <w:jc w:val="center"/>
              <w:rPr>
                <w:rFonts w:ascii="宋体" w:hAnsi="宋体" w:cs="宋体"/>
              </w:rPr>
            </w:pPr>
            <w:r>
              <w:rPr>
                <w:rFonts w:hint="eastAsia" w:ascii="宋体" w:hAnsi="宋体" w:cs="宋体"/>
              </w:rPr>
              <w:t>700</w:t>
            </w:r>
          </w:p>
        </w:tc>
        <w:tc>
          <w:tcPr>
            <w:tcW w:w="556" w:type="pct"/>
          </w:tcPr>
          <w:p w14:paraId="4E5BD1BD">
            <w:pPr>
              <w:overflowPunct w:val="0"/>
              <w:jc w:val="center"/>
              <w:rPr>
                <w:rFonts w:ascii="宋体" w:hAnsi="宋体" w:cs="宋体"/>
              </w:rPr>
            </w:pPr>
            <w:r>
              <w:rPr>
                <w:rFonts w:hint="eastAsia" w:ascii="宋体" w:hAnsi="宋体" w:cs="宋体"/>
              </w:rPr>
              <w:t>700</w:t>
            </w:r>
          </w:p>
        </w:tc>
        <w:tc>
          <w:tcPr>
            <w:tcW w:w="557" w:type="pct"/>
          </w:tcPr>
          <w:p w14:paraId="68F74464">
            <w:pPr>
              <w:overflowPunct w:val="0"/>
              <w:jc w:val="center"/>
              <w:rPr>
                <w:rFonts w:ascii="宋体" w:hAnsi="宋体" w:cs="宋体"/>
              </w:rPr>
            </w:pPr>
            <w:r>
              <w:rPr>
                <w:rFonts w:hint="eastAsia" w:ascii="宋体" w:hAnsi="宋体" w:cs="宋体"/>
              </w:rPr>
              <w:t>0</w:t>
            </w:r>
          </w:p>
        </w:tc>
        <w:tc>
          <w:tcPr>
            <w:tcW w:w="555" w:type="pct"/>
          </w:tcPr>
          <w:p w14:paraId="0D125506">
            <w:pPr>
              <w:overflowPunct w:val="0"/>
              <w:jc w:val="center"/>
              <w:rPr>
                <w:rFonts w:ascii="宋体" w:hAnsi="宋体" w:cs="宋体"/>
              </w:rPr>
            </w:pPr>
            <w:r>
              <w:rPr>
                <w:rFonts w:hint="eastAsia" w:ascii="宋体" w:hAnsi="宋体" w:cs="宋体"/>
              </w:rPr>
              <w:t>800</w:t>
            </w:r>
          </w:p>
        </w:tc>
        <w:tc>
          <w:tcPr>
            <w:tcW w:w="555" w:type="pct"/>
          </w:tcPr>
          <w:p w14:paraId="11BEFBA0">
            <w:pPr>
              <w:overflowPunct w:val="0"/>
              <w:jc w:val="center"/>
              <w:rPr>
                <w:rFonts w:ascii="宋体" w:hAnsi="宋体" w:cs="宋体"/>
              </w:rPr>
            </w:pPr>
            <w:r>
              <w:rPr>
                <w:rFonts w:hint="eastAsia" w:ascii="宋体" w:hAnsi="宋体" w:cs="宋体"/>
              </w:rPr>
              <w:t>600</w:t>
            </w:r>
          </w:p>
        </w:tc>
        <w:tc>
          <w:tcPr>
            <w:tcW w:w="384" w:type="pct"/>
          </w:tcPr>
          <w:p w14:paraId="49A36461">
            <w:pPr>
              <w:overflowPunct w:val="0"/>
              <w:jc w:val="center"/>
              <w:rPr>
                <w:rFonts w:ascii="宋体" w:hAnsi="宋体" w:cs="宋体"/>
              </w:rPr>
            </w:pPr>
            <w:r>
              <w:rPr>
                <w:rFonts w:hint="eastAsia" w:ascii="宋体" w:hAnsi="宋体" w:cs="宋体"/>
              </w:rPr>
              <w:t>200</w:t>
            </w:r>
          </w:p>
        </w:tc>
        <w:tc>
          <w:tcPr>
            <w:tcW w:w="728" w:type="pct"/>
          </w:tcPr>
          <w:p w14:paraId="00CB1593">
            <w:pPr>
              <w:overflowPunct w:val="0"/>
              <w:jc w:val="center"/>
              <w:rPr>
                <w:rFonts w:ascii="宋体" w:hAnsi="宋体" w:cs="宋体"/>
              </w:rPr>
            </w:pPr>
            <w:r>
              <w:rPr>
                <w:rFonts w:hint="eastAsia" w:ascii="宋体" w:hAnsi="宋体" w:cs="宋体"/>
              </w:rPr>
              <w:t>新增应纳税</w:t>
            </w:r>
          </w:p>
          <w:p w14:paraId="56C60B5B">
            <w:pPr>
              <w:overflowPunct w:val="0"/>
              <w:jc w:val="center"/>
              <w:rPr>
                <w:rFonts w:ascii="宋体" w:hAnsi="宋体" w:cs="宋体"/>
              </w:rPr>
            </w:pPr>
            <w:r>
              <w:rPr>
                <w:rFonts w:hint="eastAsia" w:ascii="宋体" w:hAnsi="宋体" w:cs="宋体"/>
              </w:rPr>
              <w:t>暂时性差异</w:t>
            </w:r>
          </w:p>
        </w:tc>
        <w:tc>
          <w:tcPr>
            <w:tcW w:w="555" w:type="pct"/>
          </w:tcPr>
          <w:p w14:paraId="6BFF9B8D">
            <w:pPr>
              <w:overflowPunct w:val="0"/>
              <w:jc w:val="center"/>
              <w:rPr>
                <w:rFonts w:ascii="宋体" w:hAnsi="宋体" w:cs="宋体"/>
              </w:rPr>
            </w:pPr>
            <w:r>
              <w:rPr>
                <w:rFonts w:hint="eastAsia" w:ascii="宋体" w:hAnsi="宋体" w:cs="宋体"/>
              </w:rPr>
              <w:t>200</w:t>
            </w:r>
          </w:p>
        </w:tc>
      </w:tr>
      <w:tr w14:paraId="4C15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3E9C2EDF">
            <w:pPr>
              <w:overflowPunct w:val="0"/>
              <w:jc w:val="center"/>
              <w:rPr>
                <w:rFonts w:ascii="宋体" w:hAnsi="宋体" w:cs="宋体"/>
              </w:rPr>
            </w:pPr>
            <w:r>
              <w:rPr>
                <w:rFonts w:hint="eastAsia" w:ascii="宋体" w:hAnsi="宋体" w:cs="宋体"/>
              </w:rPr>
              <w:t>固定资产</w:t>
            </w:r>
          </w:p>
        </w:tc>
        <w:tc>
          <w:tcPr>
            <w:tcW w:w="556" w:type="pct"/>
          </w:tcPr>
          <w:p w14:paraId="7ED8C53A">
            <w:pPr>
              <w:overflowPunct w:val="0"/>
              <w:jc w:val="center"/>
              <w:rPr>
                <w:rFonts w:ascii="宋体" w:hAnsi="宋体" w:cs="宋体"/>
              </w:rPr>
            </w:pPr>
            <w:r>
              <w:rPr>
                <w:rFonts w:hint="eastAsia" w:ascii="宋体" w:hAnsi="宋体" w:cs="宋体"/>
              </w:rPr>
              <w:t>100</w:t>
            </w:r>
          </w:p>
        </w:tc>
        <w:tc>
          <w:tcPr>
            <w:tcW w:w="556" w:type="pct"/>
          </w:tcPr>
          <w:p w14:paraId="335590FB">
            <w:pPr>
              <w:overflowPunct w:val="0"/>
              <w:jc w:val="center"/>
              <w:rPr>
                <w:rFonts w:ascii="宋体" w:hAnsi="宋体" w:cs="宋体"/>
              </w:rPr>
            </w:pPr>
            <w:r>
              <w:rPr>
                <w:rFonts w:hint="eastAsia" w:ascii="宋体" w:hAnsi="宋体" w:cs="宋体"/>
              </w:rPr>
              <w:t>160</w:t>
            </w:r>
          </w:p>
        </w:tc>
        <w:tc>
          <w:tcPr>
            <w:tcW w:w="557" w:type="pct"/>
          </w:tcPr>
          <w:p w14:paraId="37521F97">
            <w:pPr>
              <w:overflowPunct w:val="0"/>
              <w:jc w:val="center"/>
              <w:rPr>
                <w:rFonts w:ascii="宋体" w:hAnsi="宋体" w:cs="宋体"/>
              </w:rPr>
            </w:pPr>
            <w:r>
              <w:rPr>
                <w:rFonts w:hint="eastAsia" w:ascii="宋体" w:hAnsi="宋体" w:cs="宋体"/>
              </w:rPr>
              <w:t>60</w:t>
            </w:r>
          </w:p>
        </w:tc>
        <w:tc>
          <w:tcPr>
            <w:tcW w:w="555" w:type="pct"/>
          </w:tcPr>
          <w:p w14:paraId="7D882129">
            <w:pPr>
              <w:overflowPunct w:val="0"/>
              <w:jc w:val="center"/>
              <w:rPr>
                <w:rFonts w:ascii="宋体" w:hAnsi="宋体" w:cs="宋体"/>
              </w:rPr>
            </w:pPr>
            <w:r>
              <w:rPr>
                <w:rFonts w:hint="eastAsia" w:ascii="宋体" w:hAnsi="宋体" w:cs="宋体"/>
              </w:rPr>
              <w:t>50</w:t>
            </w:r>
          </w:p>
        </w:tc>
        <w:tc>
          <w:tcPr>
            <w:tcW w:w="555" w:type="pct"/>
          </w:tcPr>
          <w:p w14:paraId="79458141">
            <w:pPr>
              <w:overflowPunct w:val="0"/>
              <w:jc w:val="center"/>
              <w:rPr>
                <w:rFonts w:ascii="宋体" w:hAnsi="宋体" w:cs="宋体"/>
              </w:rPr>
            </w:pPr>
            <w:r>
              <w:rPr>
                <w:rFonts w:hint="eastAsia" w:ascii="宋体" w:hAnsi="宋体" w:cs="宋体"/>
              </w:rPr>
              <w:t>120</w:t>
            </w:r>
          </w:p>
        </w:tc>
        <w:tc>
          <w:tcPr>
            <w:tcW w:w="384" w:type="pct"/>
          </w:tcPr>
          <w:p w14:paraId="7BA20D5C">
            <w:pPr>
              <w:overflowPunct w:val="0"/>
              <w:jc w:val="center"/>
              <w:rPr>
                <w:rFonts w:ascii="宋体" w:hAnsi="宋体" w:cs="宋体"/>
              </w:rPr>
            </w:pPr>
            <w:r>
              <w:rPr>
                <w:rFonts w:hint="eastAsia" w:ascii="宋体" w:hAnsi="宋体" w:cs="宋体"/>
              </w:rPr>
              <w:t>70</w:t>
            </w:r>
          </w:p>
        </w:tc>
        <w:tc>
          <w:tcPr>
            <w:tcW w:w="728" w:type="pct"/>
          </w:tcPr>
          <w:p w14:paraId="1AC63ED1">
            <w:pPr>
              <w:overflowPunct w:val="0"/>
              <w:jc w:val="center"/>
              <w:rPr>
                <w:rFonts w:ascii="宋体" w:hAnsi="宋体" w:cs="宋体"/>
              </w:rPr>
            </w:pPr>
            <w:r>
              <w:rPr>
                <w:rFonts w:hint="eastAsia" w:ascii="宋体" w:hAnsi="宋体" w:cs="宋体"/>
              </w:rPr>
              <w:t>新增可抵扣</w:t>
            </w:r>
          </w:p>
          <w:p w14:paraId="4F399495">
            <w:pPr>
              <w:overflowPunct w:val="0"/>
              <w:jc w:val="center"/>
              <w:rPr>
                <w:rFonts w:ascii="宋体" w:hAnsi="宋体" w:cs="宋体"/>
              </w:rPr>
            </w:pPr>
            <w:r>
              <w:rPr>
                <w:rFonts w:hint="eastAsia" w:ascii="宋体" w:hAnsi="宋体" w:cs="宋体"/>
              </w:rPr>
              <w:t>暂时性差异</w:t>
            </w:r>
          </w:p>
        </w:tc>
        <w:tc>
          <w:tcPr>
            <w:tcW w:w="555" w:type="pct"/>
          </w:tcPr>
          <w:p w14:paraId="55D23901">
            <w:pPr>
              <w:overflowPunct w:val="0"/>
              <w:jc w:val="center"/>
              <w:rPr>
                <w:rFonts w:ascii="宋体" w:hAnsi="宋体" w:cs="宋体"/>
              </w:rPr>
            </w:pPr>
            <w:r>
              <w:rPr>
                <w:rFonts w:hint="eastAsia" w:ascii="宋体" w:hAnsi="宋体" w:cs="宋体"/>
              </w:rPr>
              <w:t>10</w:t>
            </w:r>
          </w:p>
        </w:tc>
      </w:tr>
      <w:tr w14:paraId="5729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349E71B7">
            <w:pPr>
              <w:overflowPunct w:val="0"/>
              <w:jc w:val="center"/>
              <w:rPr>
                <w:rFonts w:ascii="宋体" w:hAnsi="宋体" w:cs="宋体"/>
              </w:rPr>
            </w:pPr>
            <w:r>
              <w:rPr>
                <w:rFonts w:hint="eastAsia" w:ascii="宋体" w:hAnsi="宋体" w:cs="宋体"/>
              </w:rPr>
              <w:t>交易性</w:t>
            </w:r>
          </w:p>
          <w:p w14:paraId="4D3DECE1">
            <w:pPr>
              <w:overflowPunct w:val="0"/>
              <w:jc w:val="center"/>
              <w:rPr>
                <w:rFonts w:ascii="宋体" w:hAnsi="宋体" w:cs="宋体"/>
              </w:rPr>
            </w:pPr>
            <w:r>
              <w:rPr>
                <w:rFonts w:hint="eastAsia" w:ascii="宋体" w:hAnsi="宋体" w:cs="宋体"/>
              </w:rPr>
              <w:t>金融资产</w:t>
            </w:r>
          </w:p>
        </w:tc>
        <w:tc>
          <w:tcPr>
            <w:tcW w:w="556" w:type="pct"/>
          </w:tcPr>
          <w:p w14:paraId="48712140">
            <w:pPr>
              <w:overflowPunct w:val="0"/>
              <w:jc w:val="center"/>
              <w:rPr>
                <w:rFonts w:ascii="宋体" w:hAnsi="宋体" w:cs="宋体"/>
              </w:rPr>
            </w:pPr>
            <w:r>
              <w:rPr>
                <w:rFonts w:hint="eastAsia" w:ascii="宋体" w:hAnsi="宋体" w:cs="宋体"/>
              </w:rPr>
              <w:t>0</w:t>
            </w:r>
          </w:p>
        </w:tc>
        <w:tc>
          <w:tcPr>
            <w:tcW w:w="556" w:type="pct"/>
          </w:tcPr>
          <w:p w14:paraId="06CCF33D">
            <w:pPr>
              <w:overflowPunct w:val="0"/>
              <w:jc w:val="center"/>
              <w:rPr>
                <w:rFonts w:ascii="宋体" w:hAnsi="宋体" w:cs="宋体"/>
              </w:rPr>
            </w:pPr>
            <w:r>
              <w:rPr>
                <w:rFonts w:hint="eastAsia" w:ascii="宋体" w:hAnsi="宋体" w:cs="宋体"/>
              </w:rPr>
              <w:t>0</w:t>
            </w:r>
          </w:p>
        </w:tc>
        <w:tc>
          <w:tcPr>
            <w:tcW w:w="557" w:type="pct"/>
          </w:tcPr>
          <w:p w14:paraId="4120998E">
            <w:pPr>
              <w:overflowPunct w:val="0"/>
              <w:jc w:val="center"/>
              <w:rPr>
                <w:rFonts w:ascii="宋体" w:hAnsi="宋体" w:cs="宋体"/>
              </w:rPr>
            </w:pPr>
            <w:r>
              <w:rPr>
                <w:rFonts w:hint="eastAsia" w:ascii="宋体" w:hAnsi="宋体" w:cs="宋体"/>
              </w:rPr>
              <w:t>0</w:t>
            </w:r>
          </w:p>
        </w:tc>
        <w:tc>
          <w:tcPr>
            <w:tcW w:w="555" w:type="pct"/>
          </w:tcPr>
          <w:p w14:paraId="498A09DA">
            <w:pPr>
              <w:overflowPunct w:val="0"/>
              <w:jc w:val="center"/>
              <w:rPr>
                <w:rFonts w:ascii="宋体" w:hAnsi="宋体" w:cs="宋体"/>
              </w:rPr>
            </w:pPr>
            <w:r>
              <w:rPr>
                <w:rFonts w:hint="eastAsia" w:ascii="宋体" w:hAnsi="宋体" w:cs="宋体"/>
              </w:rPr>
              <w:t>363</w:t>
            </w:r>
          </w:p>
        </w:tc>
        <w:tc>
          <w:tcPr>
            <w:tcW w:w="555" w:type="pct"/>
          </w:tcPr>
          <w:p w14:paraId="2D4622CD">
            <w:pPr>
              <w:overflowPunct w:val="0"/>
              <w:jc w:val="center"/>
              <w:rPr>
                <w:rFonts w:ascii="宋体" w:hAnsi="宋体" w:cs="宋体"/>
              </w:rPr>
            </w:pPr>
            <w:r>
              <w:rPr>
                <w:rFonts w:hint="eastAsia" w:ascii="宋体" w:hAnsi="宋体" w:cs="宋体"/>
              </w:rPr>
              <w:t>300</w:t>
            </w:r>
          </w:p>
        </w:tc>
        <w:tc>
          <w:tcPr>
            <w:tcW w:w="384" w:type="pct"/>
          </w:tcPr>
          <w:p w14:paraId="3C2C98A8">
            <w:pPr>
              <w:overflowPunct w:val="0"/>
              <w:jc w:val="center"/>
              <w:rPr>
                <w:rFonts w:ascii="宋体" w:hAnsi="宋体" w:cs="宋体"/>
              </w:rPr>
            </w:pPr>
            <w:r>
              <w:rPr>
                <w:rFonts w:hint="eastAsia" w:ascii="宋体" w:hAnsi="宋体" w:cs="宋体"/>
              </w:rPr>
              <w:t>63</w:t>
            </w:r>
          </w:p>
        </w:tc>
        <w:tc>
          <w:tcPr>
            <w:tcW w:w="728" w:type="pct"/>
          </w:tcPr>
          <w:p w14:paraId="25C7CAA5">
            <w:pPr>
              <w:overflowPunct w:val="0"/>
              <w:jc w:val="center"/>
              <w:rPr>
                <w:rFonts w:ascii="宋体" w:hAnsi="宋体" w:cs="宋体"/>
              </w:rPr>
            </w:pPr>
            <w:r>
              <w:rPr>
                <w:rFonts w:hint="eastAsia" w:ascii="宋体" w:hAnsi="宋体" w:cs="宋体"/>
              </w:rPr>
              <w:t>新增应纳税</w:t>
            </w:r>
          </w:p>
          <w:p w14:paraId="4CC1A9BD">
            <w:pPr>
              <w:overflowPunct w:val="0"/>
              <w:jc w:val="center"/>
              <w:rPr>
                <w:rFonts w:ascii="宋体" w:hAnsi="宋体" w:cs="宋体"/>
              </w:rPr>
            </w:pPr>
            <w:r>
              <w:rPr>
                <w:rFonts w:hint="eastAsia" w:ascii="宋体" w:hAnsi="宋体" w:cs="宋体"/>
              </w:rPr>
              <w:t>暂时性差异</w:t>
            </w:r>
          </w:p>
        </w:tc>
        <w:tc>
          <w:tcPr>
            <w:tcW w:w="555" w:type="pct"/>
          </w:tcPr>
          <w:p w14:paraId="31EA77F3">
            <w:pPr>
              <w:overflowPunct w:val="0"/>
              <w:jc w:val="center"/>
              <w:rPr>
                <w:rFonts w:ascii="宋体" w:hAnsi="宋体" w:cs="宋体"/>
              </w:rPr>
            </w:pPr>
            <w:r>
              <w:rPr>
                <w:rFonts w:hint="eastAsia" w:ascii="宋体" w:hAnsi="宋体" w:cs="宋体"/>
              </w:rPr>
              <w:t>63</w:t>
            </w:r>
          </w:p>
        </w:tc>
      </w:tr>
      <w:tr w14:paraId="380B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37D9A04D">
            <w:pPr>
              <w:overflowPunct w:val="0"/>
              <w:jc w:val="center"/>
              <w:rPr>
                <w:rFonts w:ascii="宋体" w:hAnsi="宋体" w:cs="宋体"/>
              </w:rPr>
            </w:pPr>
            <w:r>
              <w:rPr>
                <w:rFonts w:hint="eastAsia" w:ascii="宋体" w:hAnsi="宋体" w:cs="宋体"/>
              </w:rPr>
              <w:t>预计负债</w:t>
            </w:r>
          </w:p>
        </w:tc>
        <w:tc>
          <w:tcPr>
            <w:tcW w:w="556" w:type="pct"/>
          </w:tcPr>
          <w:p w14:paraId="4534FF8D">
            <w:pPr>
              <w:overflowPunct w:val="0"/>
              <w:jc w:val="center"/>
              <w:rPr>
                <w:rFonts w:ascii="宋体" w:hAnsi="宋体" w:cs="宋体"/>
              </w:rPr>
            </w:pPr>
            <w:r>
              <w:rPr>
                <w:rFonts w:hint="eastAsia" w:ascii="宋体" w:hAnsi="宋体" w:cs="宋体"/>
              </w:rPr>
              <w:t>60</w:t>
            </w:r>
          </w:p>
        </w:tc>
        <w:tc>
          <w:tcPr>
            <w:tcW w:w="556" w:type="pct"/>
          </w:tcPr>
          <w:p w14:paraId="4E01C3DB">
            <w:pPr>
              <w:overflowPunct w:val="0"/>
              <w:jc w:val="center"/>
              <w:rPr>
                <w:rFonts w:ascii="宋体" w:hAnsi="宋体" w:cs="宋体"/>
              </w:rPr>
            </w:pPr>
            <w:r>
              <w:rPr>
                <w:rFonts w:hint="eastAsia" w:ascii="宋体" w:hAnsi="宋体" w:cs="宋体"/>
              </w:rPr>
              <w:t>0</w:t>
            </w:r>
          </w:p>
        </w:tc>
        <w:tc>
          <w:tcPr>
            <w:tcW w:w="557" w:type="pct"/>
          </w:tcPr>
          <w:p w14:paraId="5D55F10D">
            <w:pPr>
              <w:overflowPunct w:val="0"/>
              <w:jc w:val="center"/>
              <w:rPr>
                <w:rFonts w:ascii="宋体" w:hAnsi="宋体" w:cs="宋体"/>
              </w:rPr>
            </w:pPr>
            <w:r>
              <w:rPr>
                <w:rFonts w:hint="eastAsia" w:ascii="宋体" w:hAnsi="宋体" w:cs="宋体"/>
              </w:rPr>
              <w:t>60</w:t>
            </w:r>
          </w:p>
        </w:tc>
        <w:tc>
          <w:tcPr>
            <w:tcW w:w="555" w:type="pct"/>
          </w:tcPr>
          <w:p w14:paraId="69676D05">
            <w:pPr>
              <w:overflowPunct w:val="0"/>
              <w:jc w:val="center"/>
              <w:rPr>
                <w:rFonts w:ascii="宋体" w:hAnsi="宋体" w:cs="宋体"/>
              </w:rPr>
            </w:pPr>
            <w:r>
              <w:rPr>
                <w:rFonts w:hint="eastAsia" w:ascii="宋体" w:hAnsi="宋体" w:cs="宋体"/>
              </w:rPr>
              <w:t>80</w:t>
            </w:r>
          </w:p>
        </w:tc>
        <w:tc>
          <w:tcPr>
            <w:tcW w:w="555" w:type="pct"/>
          </w:tcPr>
          <w:p w14:paraId="440E5193">
            <w:pPr>
              <w:overflowPunct w:val="0"/>
              <w:jc w:val="center"/>
              <w:rPr>
                <w:rFonts w:ascii="宋体" w:hAnsi="宋体" w:cs="宋体"/>
              </w:rPr>
            </w:pPr>
            <w:r>
              <w:rPr>
                <w:rFonts w:hint="eastAsia" w:ascii="宋体" w:hAnsi="宋体" w:cs="宋体"/>
              </w:rPr>
              <w:t>0</w:t>
            </w:r>
          </w:p>
        </w:tc>
        <w:tc>
          <w:tcPr>
            <w:tcW w:w="384" w:type="pct"/>
          </w:tcPr>
          <w:p w14:paraId="749656A8">
            <w:pPr>
              <w:overflowPunct w:val="0"/>
              <w:jc w:val="center"/>
              <w:rPr>
                <w:rFonts w:ascii="宋体" w:hAnsi="宋体" w:cs="宋体"/>
              </w:rPr>
            </w:pPr>
            <w:r>
              <w:rPr>
                <w:rFonts w:hint="eastAsia" w:ascii="宋体" w:hAnsi="宋体" w:cs="宋体"/>
              </w:rPr>
              <w:t>80</w:t>
            </w:r>
          </w:p>
        </w:tc>
        <w:tc>
          <w:tcPr>
            <w:tcW w:w="728" w:type="pct"/>
          </w:tcPr>
          <w:p w14:paraId="58C34DBA">
            <w:pPr>
              <w:overflowPunct w:val="0"/>
              <w:jc w:val="center"/>
              <w:rPr>
                <w:rFonts w:ascii="宋体" w:hAnsi="宋体" w:cs="宋体"/>
              </w:rPr>
            </w:pPr>
            <w:r>
              <w:rPr>
                <w:rFonts w:hint="eastAsia" w:ascii="宋体" w:hAnsi="宋体" w:cs="宋体"/>
              </w:rPr>
              <w:t>新增可抵扣</w:t>
            </w:r>
          </w:p>
          <w:p w14:paraId="0B4D9991">
            <w:pPr>
              <w:overflowPunct w:val="0"/>
              <w:jc w:val="center"/>
              <w:rPr>
                <w:rFonts w:ascii="宋体" w:hAnsi="宋体" w:cs="宋体"/>
              </w:rPr>
            </w:pPr>
            <w:r>
              <w:rPr>
                <w:rFonts w:hint="eastAsia" w:ascii="宋体" w:hAnsi="宋体" w:cs="宋体"/>
              </w:rPr>
              <w:t>暂时性差异</w:t>
            </w:r>
          </w:p>
        </w:tc>
        <w:tc>
          <w:tcPr>
            <w:tcW w:w="555" w:type="pct"/>
          </w:tcPr>
          <w:p w14:paraId="559F3779">
            <w:pPr>
              <w:overflowPunct w:val="0"/>
              <w:jc w:val="center"/>
              <w:rPr>
                <w:rFonts w:ascii="宋体" w:hAnsi="宋体" w:cs="宋体"/>
              </w:rPr>
            </w:pPr>
            <w:r>
              <w:rPr>
                <w:rFonts w:hint="eastAsia" w:ascii="宋体" w:hAnsi="宋体" w:cs="宋体"/>
              </w:rPr>
              <w:t>20</w:t>
            </w:r>
          </w:p>
        </w:tc>
      </w:tr>
      <w:tr w14:paraId="1179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7DAD4790">
            <w:pPr>
              <w:overflowPunct w:val="0"/>
              <w:jc w:val="center"/>
              <w:rPr>
                <w:rFonts w:ascii="宋体" w:hAnsi="宋体" w:cs="宋体"/>
              </w:rPr>
            </w:pPr>
            <w:r>
              <w:rPr>
                <w:rFonts w:hint="eastAsia" w:ascii="宋体" w:hAnsi="宋体" w:cs="宋体"/>
              </w:rPr>
              <w:t>预收账款</w:t>
            </w:r>
          </w:p>
        </w:tc>
        <w:tc>
          <w:tcPr>
            <w:tcW w:w="556" w:type="pct"/>
          </w:tcPr>
          <w:p w14:paraId="43355D75">
            <w:pPr>
              <w:overflowPunct w:val="0"/>
              <w:jc w:val="center"/>
              <w:rPr>
                <w:rFonts w:ascii="宋体" w:hAnsi="宋体" w:cs="宋体"/>
              </w:rPr>
            </w:pPr>
            <w:r>
              <w:rPr>
                <w:rFonts w:hint="eastAsia" w:ascii="宋体" w:hAnsi="宋体" w:cs="宋体"/>
              </w:rPr>
              <w:t>0</w:t>
            </w:r>
          </w:p>
        </w:tc>
        <w:tc>
          <w:tcPr>
            <w:tcW w:w="556" w:type="pct"/>
          </w:tcPr>
          <w:p w14:paraId="4FCFC9F6">
            <w:pPr>
              <w:overflowPunct w:val="0"/>
              <w:jc w:val="center"/>
              <w:rPr>
                <w:rFonts w:ascii="宋体" w:hAnsi="宋体" w:cs="宋体"/>
              </w:rPr>
            </w:pPr>
            <w:r>
              <w:rPr>
                <w:rFonts w:hint="eastAsia" w:ascii="宋体" w:hAnsi="宋体" w:cs="宋体"/>
              </w:rPr>
              <w:t>0</w:t>
            </w:r>
          </w:p>
        </w:tc>
        <w:tc>
          <w:tcPr>
            <w:tcW w:w="557" w:type="pct"/>
          </w:tcPr>
          <w:p w14:paraId="63C8A1E4">
            <w:pPr>
              <w:overflowPunct w:val="0"/>
              <w:jc w:val="center"/>
              <w:rPr>
                <w:rFonts w:ascii="宋体" w:hAnsi="宋体" w:cs="宋体"/>
              </w:rPr>
            </w:pPr>
            <w:r>
              <w:rPr>
                <w:rFonts w:hint="eastAsia" w:ascii="宋体" w:hAnsi="宋体" w:cs="宋体"/>
              </w:rPr>
              <w:t>0</w:t>
            </w:r>
          </w:p>
        </w:tc>
        <w:tc>
          <w:tcPr>
            <w:tcW w:w="555" w:type="pct"/>
          </w:tcPr>
          <w:p w14:paraId="46680A74">
            <w:pPr>
              <w:overflowPunct w:val="0"/>
              <w:jc w:val="center"/>
              <w:rPr>
                <w:rFonts w:ascii="宋体" w:hAnsi="宋体" w:cs="宋体"/>
              </w:rPr>
            </w:pPr>
            <w:r>
              <w:rPr>
                <w:rFonts w:hint="eastAsia" w:ascii="宋体" w:hAnsi="宋体" w:cs="宋体"/>
              </w:rPr>
              <w:t>500</w:t>
            </w:r>
          </w:p>
        </w:tc>
        <w:tc>
          <w:tcPr>
            <w:tcW w:w="555" w:type="pct"/>
          </w:tcPr>
          <w:p w14:paraId="52C731FC">
            <w:pPr>
              <w:overflowPunct w:val="0"/>
              <w:jc w:val="center"/>
              <w:rPr>
                <w:rFonts w:ascii="宋体" w:hAnsi="宋体" w:cs="宋体"/>
              </w:rPr>
            </w:pPr>
            <w:r>
              <w:rPr>
                <w:rFonts w:hint="eastAsia" w:ascii="宋体" w:hAnsi="宋体" w:cs="宋体"/>
              </w:rPr>
              <w:t>0</w:t>
            </w:r>
          </w:p>
        </w:tc>
        <w:tc>
          <w:tcPr>
            <w:tcW w:w="384" w:type="pct"/>
          </w:tcPr>
          <w:p w14:paraId="1F70C54A">
            <w:pPr>
              <w:overflowPunct w:val="0"/>
              <w:jc w:val="center"/>
              <w:rPr>
                <w:rFonts w:ascii="宋体" w:hAnsi="宋体" w:cs="宋体"/>
              </w:rPr>
            </w:pPr>
            <w:r>
              <w:rPr>
                <w:rFonts w:hint="eastAsia" w:ascii="宋体" w:hAnsi="宋体" w:cs="宋体"/>
              </w:rPr>
              <w:t>500</w:t>
            </w:r>
          </w:p>
        </w:tc>
        <w:tc>
          <w:tcPr>
            <w:tcW w:w="728" w:type="pct"/>
          </w:tcPr>
          <w:p w14:paraId="444A80E4">
            <w:pPr>
              <w:overflowPunct w:val="0"/>
              <w:jc w:val="center"/>
              <w:rPr>
                <w:rFonts w:ascii="宋体" w:hAnsi="宋体" w:cs="宋体"/>
              </w:rPr>
            </w:pPr>
            <w:r>
              <w:rPr>
                <w:rFonts w:hint="eastAsia" w:ascii="宋体" w:hAnsi="宋体" w:cs="宋体"/>
              </w:rPr>
              <w:t>新增可抵扣</w:t>
            </w:r>
          </w:p>
          <w:p w14:paraId="7715C5F2">
            <w:pPr>
              <w:overflowPunct w:val="0"/>
              <w:jc w:val="center"/>
              <w:rPr>
                <w:rFonts w:ascii="宋体" w:hAnsi="宋体" w:cs="宋体"/>
              </w:rPr>
            </w:pPr>
            <w:r>
              <w:rPr>
                <w:rFonts w:hint="eastAsia" w:ascii="宋体" w:hAnsi="宋体" w:cs="宋体"/>
              </w:rPr>
              <w:t>暂时性差异</w:t>
            </w:r>
          </w:p>
        </w:tc>
        <w:tc>
          <w:tcPr>
            <w:tcW w:w="555" w:type="pct"/>
          </w:tcPr>
          <w:p w14:paraId="12C67866">
            <w:pPr>
              <w:overflowPunct w:val="0"/>
              <w:jc w:val="center"/>
              <w:rPr>
                <w:rFonts w:ascii="宋体" w:hAnsi="宋体" w:cs="宋体"/>
              </w:rPr>
            </w:pPr>
            <w:r>
              <w:rPr>
                <w:rFonts w:hint="eastAsia" w:ascii="宋体" w:hAnsi="宋体" w:cs="宋体"/>
              </w:rPr>
              <w:t>500</w:t>
            </w:r>
          </w:p>
        </w:tc>
      </w:tr>
    </w:tbl>
    <w:p w14:paraId="0E7123D9">
      <w:pPr>
        <w:jc w:val="left"/>
        <w:rPr>
          <w:rFonts w:ascii="宋体" w:hAnsi="宋体" w:cs="宋体"/>
        </w:rPr>
      </w:pPr>
      <w:r>
        <w:rPr>
          <w:rFonts w:hint="eastAsia" w:ascii="宋体" w:hAnsi="宋体" w:cs="宋体"/>
        </w:rPr>
        <w:t>（2）资产负债表债务法下所得税的核算过程</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4350"/>
        <w:gridCol w:w="3907"/>
      </w:tblGrid>
      <w:tr w14:paraId="20BF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196EA94B">
            <w:pPr>
              <w:overflowPunct w:val="0"/>
              <w:jc w:val="center"/>
              <w:rPr>
                <w:rFonts w:ascii="宋体" w:hAnsi="宋体" w:cs="宋体"/>
              </w:rPr>
            </w:pPr>
            <w:r>
              <w:rPr>
                <w:rFonts w:hint="eastAsia" w:ascii="宋体" w:hAnsi="宋体" w:cs="宋体"/>
              </w:rPr>
              <w:t>项目</w:t>
            </w:r>
          </w:p>
        </w:tc>
        <w:tc>
          <w:tcPr>
            <w:tcW w:w="4073" w:type="pct"/>
            <w:gridSpan w:val="2"/>
          </w:tcPr>
          <w:p w14:paraId="47C029B5">
            <w:pPr>
              <w:jc w:val="left"/>
              <w:rPr>
                <w:rFonts w:ascii="宋体" w:hAnsi="宋体" w:cs="宋体"/>
              </w:rPr>
            </w:pPr>
            <w:r>
              <w:rPr>
                <w:rFonts w:hint="eastAsia" w:ascii="宋体" w:hAnsi="宋体" w:cs="宋体"/>
              </w:rPr>
              <w:t>计算过程</w:t>
            </w:r>
          </w:p>
        </w:tc>
      </w:tr>
      <w:tr w14:paraId="76D2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795F348C">
            <w:pPr>
              <w:overflowPunct w:val="0"/>
              <w:jc w:val="center"/>
              <w:rPr>
                <w:rFonts w:ascii="宋体" w:hAnsi="宋体" w:cs="宋体"/>
              </w:rPr>
            </w:pPr>
            <w:r>
              <w:rPr>
                <w:rFonts w:hint="eastAsia" w:ascii="宋体" w:hAnsi="宋体" w:cs="宋体"/>
              </w:rPr>
              <w:t>税前会计利润</w:t>
            </w:r>
          </w:p>
        </w:tc>
        <w:tc>
          <w:tcPr>
            <w:tcW w:w="4073" w:type="pct"/>
            <w:gridSpan w:val="2"/>
          </w:tcPr>
          <w:p w14:paraId="310732DC">
            <w:pPr>
              <w:jc w:val="left"/>
              <w:rPr>
                <w:rFonts w:ascii="宋体" w:hAnsi="宋体" w:cs="宋体"/>
              </w:rPr>
            </w:pPr>
            <w:r>
              <w:rPr>
                <w:rFonts w:hint="eastAsia" w:ascii="宋体" w:hAnsi="宋体" w:cs="宋体"/>
              </w:rPr>
              <w:t>1 000</w:t>
            </w:r>
          </w:p>
        </w:tc>
      </w:tr>
      <w:tr w14:paraId="2615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restart"/>
          </w:tcPr>
          <w:p w14:paraId="21094C1A">
            <w:pPr>
              <w:overflowPunct w:val="0"/>
              <w:jc w:val="center"/>
              <w:rPr>
                <w:rFonts w:ascii="宋体" w:hAnsi="宋体" w:cs="宋体"/>
              </w:rPr>
            </w:pPr>
            <w:r>
              <w:rPr>
                <w:rFonts w:hint="eastAsia" w:ascii="宋体" w:hAnsi="宋体" w:cs="宋体"/>
              </w:rPr>
              <w:t>暂时性差异</w:t>
            </w:r>
          </w:p>
        </w:tc>
        <w:tc>
          <w:tcPr>
            <w:tcW w:w="2146" w:type="pct"/>
          </w:tcPr>
          <w:p w14:paraId="12CEC433">
            <w:pPr>
              <w:overflowPunct w:val="0"/>
              <w:jc w:val="center"/>
              <w:rPr>
                <w:rFonts w:ascii="宋体" w:hAnsi="宋体" w:cs="宋体"/>
              </w:rPr>
            </w:pPr>
            <w:r>
              <w:rPr>
                <w:rFonts w:hint="eastAsia" w:ascii="宋体" w:hAnsi="宋体" w:cs="宋体"/>
              </w:rPr>
              <w:t>投资性房地产产生的</w:t>
            </w:r>
          </w:p>
          <w:p w14:paraId="3F5BE4D2">
            <w:pPr>
              <w:overflowPunct w:val="0"/>
              <w:jc w:val="center"/>
              <w:rPr>
                <w:rFonts w:ascii="宋体" w:hAnsi="宋体" w:cs="宋体"/>
              </w:rPr>
            </w:pPr>
            <w:r>
              <w:rPr>
                <w:rFonts w:hint="eastAsia" w:ascii="宋体" w:hAnsi="宋体" w:cs="宋体"/>
              </w:rPr>
              <w:t>新增应纳税暂时性差异</w:t>
            </w:r>
          </w:p>
        </w:tc>
        <w:tc>
          <w:tcPr>
            <w:tcW w:w="1927" w:type="pct"/>
          </w:tcPr>
          <w:p w14:paraId="0D31EB58">
            <w:pPr>
              <w:overflowPunct w:val="0"/>
              <w:jc w:val="center"/>
              <w:rPr>
                <w:rFonts w:ascii="宋体" w:hAnsi="宋体" w:cs="宋体"/>
              </w:rPr>
            </w:pPr>
            <w:r>
              <w:rPr>
                <w:rFonts w:hint="eastAsia" w:ascii="宋体" w:hAnsi="宋体" w:cs="宋体"/>
              </w:rPr>
              <w:t>200</w:t>
            </w:r>
          </w:p>
        </w:tc>
      </w:tr>
      <w:tr w14:paraId="6DBF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65198EAB">
            <w:pPr>
              <w:jc w:val="left"/>
              <w:rPr>
                <w:rFonts w:ascii="宋体" w:hAnsi="宋体" w:cs="宋体"/>
              </w:rPr>
            </w:pPr>
          </w:p>
        </w:tc>
        <w:tc>
          <w:tcPr>
            <w:tcW w:w="2146" w:type="pct"/>
          </w:tcPr>
          <w:p w14:paraId="64E3B7AC">
            <w:pPr>
              <w:overflowPunct w:val="0"/>
              <w:jc w:val="center"/>
              <w:rPr>
                <w:rFonts w:ascii="宋体" w:hAnsi="宋体" w:cs="宋体"/>
              </w:rPr>
            </w:pPr>
            <w:r>
              <w:rPr>
                <w:rFonts w:hint="eastAsia" w:ascii="宋体" w:hAnsi="宋体" w:cs="宋体"/>
              </w:rPr>
              <w:t>固定资产产生的新增</w:t>
            </w:r>
          </w:p>
          <w:p w14:paraId="629DBC55">
            <w:pPr>
              <w:overflowPunct w:val="0"/>
              <w:jc w:val="center"/>
              <w:rPr>
                <w:rFonts w:ascii="宋体" w:hAnsi="宋体" w:cs="宋体"/>
              </w:rPr>
            </w:pPr>
            <w:r>
              <w:rPr>
                <w:rFonts w:hint="eastAsia" w:ascii="宋体" w:hAnsi="宋体" w:cs="宋体"/>
              </w:rPr>
              <w:t>可抵扣暂时性差异</w:t>
            </w:r>
          </w:p>
        </w:tc>
        <w:tc>
          <w:tcPr>
            <w:tcW w:w="1927" w:type="pct"/>
          </w:tcPr>
          <w:p w14:paraId="782CDD96">
            <w:pPr>
              <w:overflowPunct w:val="0"/>
              <w:jc w:val="center"/>
              <w:rPr>
                <w:rFonts w:ascii="宋体" w:hAnsi="宋体" w:cs="宋体"/>
              </w:rPr>
            </w:pPr>
            <w:r>
              <w:rPr>
                <w:rFonts w:hint="eastAsia" w:ascii="宋体" w:hAnsi="宋体" w:cs="宋体"/>
              </w:rPr>
              <w:t>10</w:t>
            </w:r>
          </w:p>
        </w:tc>
      </w:tr>
      <w:tr w14:paraId="7ECE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2E5FFA71">
            <w:pPr>
              <w:jc w:val="left"/>
              <w:rPr>
                <w:rFonts w:ascii="宋体" w:hAnsi="宋体" w:cs="宋体"/>
              </w:rPr>
            </w:pPr>
          </w:p>
        </w:tc>
        <w:tc>
          <w:tcPr>
            <w:tcW w:w="2146" w:type="pct"/>
          </w:tcPr>
          <w:p w14:paraId="2EE27AAF">
            <w:pPr>
              <w:overflowPunct w:val="0"/>
              <w:jc w:val="center"/>
              <w:rPr>
                <w:rFonts w:ascii="宋体" w:hAnsi="宋体" w:cs="宋体"/>
              </w:rPr>
            </w:pPr>
            <w:r>
              <w:rPr>
                <w:rFonts w:hint="eastAsia" w:ascii="宋体" w:hAnsi="宋体" w:cs="宋体"/>
              </w:rPr>
              <w:t>交易性金融资产产生的</w:t>
            </w:r>
          </w:p>
          <w:p w14:paraId="469AB32A">
            <w:pPr>
              <w:overflowPunct w:val="0"/>
              <w:jc w:val="center"/>
              <w:rPr>
                <w:rFonts w:ascii="宋体" w:hAnsi="宋体" w:cs="宋体"/>
              </w:rPr>
            </w:pPr>
            <w:r>
              <w:rPr>
                <w:rFonts w:hint="eastAsia" w:ascii="宋体" w:hAnsi="宋体" w:cs="宋体"/>
              </w:rPr>
              <w:t>新增应纳税暂时性差异</w:t>
            </w:r>
          </w:p>
        </w:tc>
        <w:tc>
          <w:tcPr>
            <w:tcW w:w="1927" w:type="pct"/>
          </w:tcPr>
          <w:p w14:paraId="2CFF2560">
            <w:pPr>
              <w:overflowPunct w:val="0"/>
              <w:jc w:val="center"/>
              <w:rPr>
                <w:rFonts w:ascii="宋体" w:hAnsi="宋体" w:cs="宋体"/>
              </w:rPr>
            </w:pPr>
            <w:r>
              <w:rPr>
                <w:rFonts w:hint="eastAsia" w:ascii="宋体" w:hAnsi="宋体" w:cs="宋体"/>
              </w:rPr>
              <w:t>63</w:t>
            </w:r>
          </w:p>
        </w:tc>
      </w:tr>
      <w:tr w14:paraId="2FF7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0B90C112">
            <w:pPr>
              <w:jc w:val="left"/>
              <w:rPr>
                <w:rFonts w:ascii="宋体" w:hAnsi="宋体" w:cs="宋体"/>
              </w:rPr>
            </w:pPr>
          </w:p>
        </w:tc>
        <w:tc>
          <w:tcPr>
            <w:tcW w:w="2146" w:type="pct"/>
          </w:tcPr>
          <w:p w14:paraId="04E066F0">
            <w:pPr>
              <w:overflowPunct w:val="0"/>
              <w:jc w:val="center"/>
              <w:rPr>
                <w:rFonts w:ascii="宋体" w:hAnsi="宋体" w:cs="宋体"/>
              </w:rPr>
            </w:pPr>
            <w:r>
              <w:rPr>
                <w:rFonts w:hint="eastAsia" w:ascii="宋体" w:hAnsi="宋体" w:cs="宋体"/>
              </w:rPr>
              <w:t>预计负债产生的新增</w:t>
            </w:r>
          </w:p>
          <w:p w14:paraId="33E2A4E8">
            <w:pPr>
              <w:overflowPunct w:val="0"/>
              <w:jc w:val="center"/>
              <w:rPr>
                <w:rFonts w:ascii="宋体" w:hAnsi="宋体" w:cs="宋体"/>
              </w:rPr>
            </w:pPr>
            <w:r>
              <w:rPr>
                <w:rFonts w:hint="eastAsia" w:ascii="宋体" w:hAnsi="宋体" w:cs="宋体"/>
              </w:rPr>
              <w:t>可抵扣暂时性差异</w:t>
            </w:r>
          </w:p>
        </w:tc>
        <w:tc>
          <w:tcPr>
            <w:tcW w:w="1927" w:type="pct"/>
          </w:tcPr>
          <w:p w14:paraId="136440B0">
            <w:pPr>
              <w:overflowPunct w:val="0"/>
              <w:jc w:val="center"/>
              <w:rPr>
                <w:rFonts w:ascii="宋体" w:hAnsi="宋体" w:cs="宋体"/>
              </w:rPr>
            </w:pPr>
            <w:r>
              <w:rPr>
                <w:rFonts w:hint="eastAsia" w:ascii="宋体" w:hAnsi="宋体" w:cs="宋体"/>
              </w:rPr>
              <w:t>20</w:t>
            </w:r>
          </w:p>
        </w:tc>
      </w:tr>
      <w:tr w14:paraId="0DD1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Merge w:val="continue"/>
          </w:tcPr>
          <w:p w14:paraId="66E7C366">
            <w:pPr>
              <w:jc w:val="left"/>
              <w:rPr>
                <w:rFonts w:ascii="宋体" w:hAnsi="宋体" w:cs="宋体"/>
              </w:rPr>
            </w:pPr>
          </w:p>
        </w:tc>
        <w:tc>
          <w:tcPr>
            <w:tcW w:w="2146" w:type="pct"/>
          </w:tcPr>
          <w:p w14:paraId="7C44A036">
            <w:pPr>
              <w:overflowPunct w:val="0"/>
              <w:jc w:val="center"/>
              <w:rPr>
                <w:rFonts w:ascii="宋体" w:hAnsi="宋体" w:cs="宋体"/>
              </w:rPr>
            </w:pPr>
            <w:r>
              <w:rPr>
                <w:rFonts w:hint="eastAsia" w:ascii="宋体" w:hAnsi="宋体" w:cs="宋体"/>
              </w:rPr>
              <w:t>预收账款产生的新增</w:t>
            </w:r>
          </w:p>
          <w:p w14:paraId="0DEF1B62">
            <w:pPr>
              <w:overflowPunct w:val="0"/>
              <w:jc w:val="center"/>
              <w:rPr>
                <w:rFonts w:ascii="宋体" w:hAnsi="宋体" w:cs="宋体"/>
              </w:rPr>
            </w:pPr>
            <w:r>
              <w:rPr>
                <w:rFonts w:hint="eastAsia" w:ascii="宋体" w:hAnsi="宋体" w:cs="宋体"/>
              </w:rPr>
              <w:t>可抵扣暂时性差异</w:t>
            </w:r>
          </w:p>
        </w:tc>
        <w:tc>
          <w:tcPr>
            <w:tcW w:w="1927" w:type="pct"/>
          </w:tcPr>
          <w:p w14:paraId="134DD751">
            <w:pPr>
              <w:overflowPunct w:val="0"/>
              <w:jc w:val="center"/>
              <w:rPr>
                <w:rFonts w:ascii="宋体" w:hAnsi="宋体" w:cs="宋体"/>
              </w:rPr>
            </w:pPr>
            <w:r>
              <w:rPr>
                <w:rFonts w:hint="eastAsia" w:ascii="宋体" w:hAnsi="宋体" w:cs="宋体"/>
              </w:rPr>
              <w:t>500</w:t>
            </w:r>
          </w:p>
        </w:tc>
      </w:tr>
      <w:tr w14:paraId="0616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E0207D6">
            <w:pPr>
              <w:overflowPunct w:val="0"/>
              <w:jc w:val="center"/>
              <w:rPr>
                <w:rFonts w:ascii="宋体" w:hAnsi="宋体" w:cs="宋体"/>
              </w:rPr>
            </w:pPr>
            <w:r>
              <w:rPr>
                <w:rFonts w:hint="eastAsia" w:ascii="宋体" w:hAnsi="宋体" w:cs="宋体"/>
              </w:rPr>
              <w:t>应税所得</w:t>
            </w:r>
          </w:p>
        </w:tc>
        <w:tc>
          <w:tcPr>
            <w:tcW w:w="4073" w:type="pct"/>
            <w:gridSpan w:val="2"/>
          </w:tcPr>
          <w:p w14:paraId="7204CB47">
            <w:pPr>
              <w:overflowPunct w:val="0"/>
              <w:jc w:val="left"/>
              <w:rPr>
                <w:rFonts w:ascii="宋体" w:hAnsi="宋体" w:cs="宋体"/>
              </w:rPr>
            </w:pPr>
            <w:r>
              <w:rPr>
                <w:rFonts w:hint="eastAsia" w:ascii="宋体" w:hAnsi="宋体" w:cs="宋体"/>
              </w:rPr>
              <w:t>1 267＝1 000-200＋10-63＋20＋500</w:t>
            </w:r>
          </w:p>
        </w:tc>
      </w:tr>
      <w:tr w14:paraId="2B19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CB1E0ED">
            <w:pPr>
              <w:overflowPunct w:val="0"/>
              <w:jc w:val="center"/>
              <w:rPr>
                <w:rFonts w:ascii="宋体" w:hAnsi="宋体" w:cs="宋体"/>
              </w:rPr>
            </w:pPr>
            <w:r>
              <w:rPr>
                <w:rFonts w:hint="eastAsia" w:ascii="宋体" w:hAnsi="宋体" w:cs="宋体"/>
              </w:rPr>
              <w:t>应交税费</w:t>
            </w:r>
          </w:p>
        </w:tc>
        <w:tc>
          <w:tcPr>
            <w:tcW w:w="4073" w:type="pct"/>
            <w:gridSpan w:val="2"/>
          </w:tcPr>
          <w:p w14:paraId="6EA66B4B">
            <w:pPr>
              <w:overflowPunct w:val="0"/>
              <w:jc w:val="left"/>
              <w:rPr>
                <w:rFonts w:ascii="宋体" w:hAnsi="宋体" w:cs="宋体"/>
              </w:rPr>
            </w:pPr>
            <w:r>
              <w:rPr>
                <w:rFonts w:hint="eastAsia" w:ascii="宋体" w:hAnsi="宋体" w:cs="宋体"/>
              </w:rPr>
              <w:t>316.75＝1 267×25%</w:t>
            </w:r>
          </w:p>
        </w:tc>
      </w:tr>
      <w:tr w14:paraId="3A9D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DD777EE">
            <w:pPr>
              <w:overflowPunct w:val="0"/>
              <w:jc w:val="center"/>
              <w:rPr>
                <w:rFonts w:ascii="宋体" w:hAnsi="宋体" w:cs="宋体"/>
              </w:rPr>
            </w:pPr>
            <w:r>
              <w:rPr>
                <w:rFonts w:hint="eastAsia" w:ascii="宋体" w:hAnsi="宋体" w:cs="宋体"/>
              </w:rPr>
              <w:t>递延所得</w:t>
            </w:r>
          </w:p>
          <w:p w14:paraId="5B3A028C">
            <w:pPr>
              <w:overflowPunct w:val="0"/>
              <w:jc w:val="center"/>
              <w:rPr>
                <w:rFonts w:ascii="宋体" w:hAnsi="宋体" w:cs="宋体"/>
              </w:rPr>
            </w:pPr>
            <w:r>
              <w:rPr>
                <w:rFonts w:hint="eastAsia" w:ascii="宋体" w:hAnsi="宋体" w:cs="宋体"/>
              </w:rPr>
              <w:t>税资产</w:t>
            </w:r>
          </w:p>
        </w:tc>
        <w:tc>
          <w:tcPr>
            <w:tcW w:w="2146" w:type="pct"/>
          </w:tcPr>
          <w:p w14:paraId="096F460B">
            <w:pPr>
              <w:overflowPunct w:val="0"/>
              <w:jc w:val="center"/>
              <w:rPr>
                <w:rFonts w:ascii="宋体" w:hAnsi="宋体" w:cs="宋体"/>
              </w:rPr>
            </w:pPr>
            <w:r>
              <w:rPr>
                <w:rFonts w:hint="eastAsia" w:ascii="宋体" w:hAnsi="宋体" w:cs="宋体"/>
              </w:rPr>
              <w:t>净新增可抵扣</w:t>
            </w:r>
          </w:p>
          <w:p w14:paraId="4C944476">
            <w:pPr>
              <w:overflowPunct w:val="0"/>
              <w:jc w:val="center"/>
              <w:rPr>
                <w:rFonts w:ascii="宋体" w:hAnsi="宋体" w:cs="宋体"/>
              </w:rPr>
            </w:pPr>
            <w:r>
              <w:rPr>
                <w:rFonts w:hint="eastAsia" w:ascii="宋体" w:hAnsi="宋体" w:cs="宋体"/>
              </w:rPr>
              <w:t>暂时性差异×税率</w:t>
            </w:r>
          </w:p>
        </w:tc>
        <w:tc>
          <w:tcPr>
            <w:tcW w:w="1927" w:type="pct"/>
          </w:tcPr>
          <w:p w14:paraId="30E02E32">
            <w:pPr>
              <w:overflowPunct w:val="0"/>
              <w:jc w:val="left"/>
              <w:rPr>
                <w:rFonts w:ascii="宋体" w:hAnsi="宋体" w:cs="宋体"/>
              </w:rPr>
            </w:pPr>
            <w:r>
              <w:rPr>
                <w:rFonts w:hint="eastAsia" w:ascii="宋体" w:hAnsi="宋体" w:cs="宋体"/>
              </w:rPr>
              <w:t>借记132.5＝（10＋20＋500）×25%</w:t>
            </w:r>
          </w:p>
        </w:tc>
      </w:tr>
      <w:tr w14:paraId="47FA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2A748B8">
            <w:pPr>
              <w:overflowPunct w:val="0"/>
              <w:jc w:val="center"/>
              <w:rPr>
                <w:rFonts w:ascii="宋体" w:hAnsi="宋体" w:cs="宋体"/>
              </w:rPr>
            </w:pPr>
            <w:r>
              <w:rPr>
                <w:rFonts w:hint="eastAsia" w:ascii="宋体" w:hAnsi="宋体" w:cs="宋体"/>
              </w:rPr>
              <w:t>递延所得</w:t>
            </w:r>
          </w:p>
          <w:p w14:paraId="6A7F2F18">
            <w:pPr>
              <w:overflowPunct w:val="0"/>
              <w:jc w:val="center"/>
              <w:rPr>
                <w:rFonts w:ascii="宋体" w:hAnsi="宋体" w:cs="宋体"/>
              </w:rPr>
            </w:pPr>
            <w:r>
              <w:rPr>
                <w:rFonts w:hint="eastAsia" w:ascii="宋体" w:hAnsi="宋体" w:cs="宋体"/>
              </w:rPr>
              <w:t>税负债</w:t>
            </w:r>
          </w:p>
        </w:tc>
        <w:tc>
          <w:tcPr>
            <w:tcW w:w="2146" w:type="pct"/>
          </w:tcPr>
          <w:p w14:paraId="08F5270B">
            <w:pPr>
              <w:overflowPunct w:val="0"/>
              <w:jc w:val="center"/>
              <w:rPr>
                <w:rFonts w:ascii="宋体" w:hAnsi="宋体" w:cs="宋体"/>
              </w:rPr>
            </w:pPr>
            <w:r>
              <w:rPr>
                <w:rFonts w:hint="eastAsia" w:ascii="宋体" w:hAnsi="宋体" w:cs="宋体"/>
              </w:rPr>
              <w:t>新增应纳税</w:t>
            </w:r>
          </w:p>
          <w:p w14:paraId="6F391BF2">
            <w:pPr>
              <w:overflowPunct w:val="0"/>
              <w:jc w:val="center"/>
              <w:rPr>
                <w:rFonts w:ascii="宋体" w:hAnsi="宋体" w:cs="宋体"/>
              </w:rPr>
            </w:pPr>
            <w:r>
              <w:rPr>
                <w:rFonts w:hint="eastAsia" w:ascii="宋体" w:hAnsi="宋体" w:cs="宋体"/>
              </w:rPr>
              <w:t>暂时性差异×税率</w:t>
            </w:r>
          </w:p>
        </w:tc>
        <w:tc>
          <w:tcPr>
            <w:tcW w:w="1927" w:type="pct"/>
          </w:tcPr>
          <w:p w14:paraId="3F1F7EBF">
            <w:pPr>
              <w:overflowPunct w:val="0"/>
              <w:jc w:val="left"/>
              <w:rPr>
                <w:rFonts w:ascii="宋体" w:hAnsi="宋体" w:cs="宋体"/>
              </w:rPr>
            </w:pPr>
            <w:r>
              <w:rPr>
                <w:rFonts w:hint="eastAsia" w:ascii="宋体" w:hAnsi="宋体" w:cs="宋体"/>
              </w:rPr>
              <w:t>贷记65.75＝（200＋63）×25%</w:t>
            </w:r>
          </w:p>
        </w:tc>
      </w:tr>
      <w:tr w14:paraId="602B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1221D93C">
            <w:pPr>
              <w:overflowPunct w:val="0"/>
              <w:jc w:val="center"/>
              <w:rPr>
                <w:rFonts w:ascii="宋体" w:hAnsi="宋体" w:cs="宋体"/>
              </w:rPr>
            </w:pPr>
            <w:r>
              <w:rPr>
                <w:rFonts w:hint="eastAsia" w:ascii="宋体" w:hAnsi="宋体" w:cs="宋体"/>
              </w:rPr>
              <w:t>本期所得</w:t>
            </w:r>
          </w:p>
          <w:p w14:paraId="6AB9C492">
            <w:pPr>
              <w:overflowPunct w:val="0"/>
              <w:jc w:val="center"/>
              <w:rPr>
                <w:rFonts w:ascii="宋体" w:hAnsi="宋体" w:cs="宋体"/>
              </w:rPr>
            </w:pPr>
            <w:r>
              <w:rPr>
                <w:rFonts w:hint="eastAsia" w:ascii="宋体" w:hAnsi="宋体" w:cs="宋体"/>
              </w:rPr>
              <w:t>税费用</w:t>
            </w:r>
          </w:p>
        </w:tc>
        <w:tc>
          <w:tcPr>
            <w:tcW w:w="4073" w:type="pct"/>
            <w:gridSpan w:val="2"/>
          </w:tcPr>
          <w:p w14:paraId="398CA680">
            <w:pPr>
              <w:overflowPunct w:val="0"/>
              <w:jc w:val="left"/>
              <w:rPr>
                <w:rFonts w:ascii="宋体" w:hAnsi="宋体" w:cs="宋体"/>
              </w:rPr>
            </w:pPr>
            <w:r>
              <w:rPr>
                <w:rFonts w:hint="eastAsia" w:ascii="宋体" w:hAnsi="宋体" w:cs="宋体"/>
              </w:rPr>
              <w:t>250＝316.75-132.5＋65.75</w:t>
            </w:r>
          </w:p>
        </w:tc>
      </w:tr>
    </w:tbl>
    <w:p w14:paraId="45BBA47E">
      <w:pPr>
        <w:jc w:val="left"/>
        <w:rPr>
          <w:rFonts w:ascii="宋体" w:hAnsi="宋体" w:cs="宋体"/>
        </w:rPr>
      </w:pPr>
      <w:r>
        <w:rPr>
          <w:rFonts w:hint="eastAsia" w:ascii="宋体" w:hAnsi="宋体" w:cs="宋体"/>
        </w:rPr>
        <w:t>（3）会计分录如下：</w:t>
      </w:r>
    </w:p>
    <w:p w14:paraId="020264C7">
      <w:pPr>
        <w:jc w:val="left"/>
        <w:rPr>
          <w:rFonts w:ascii="宋体" w:hAnsi="宋体" w:cs="宋体"/>
        </w:rPr>
      </w:pPr>
      <w:r>
        <w:rPr>
          <w:rFonts w:hint="eastAsia" w:ascii="宋体" w:hAnsi="宋体" w:cs="宋体"/>
        </w:rPr>
        <w:t>借：所得税费用                             250</w:t>
      </w:r>
    </w:p>
    <w:p w14:paraId="73B85853">
      <w:pPr>
        <w:jc w:val="left"/>
        <w:rPr>
          <w:rFonts w:ascii="宋体" w:hAnsi="宋体" w:cs="宋体"/>
        </w:rPr>
      </w:pPr>
      <w:r>
        <w:rPr>
          <w:rFonts w:hint="eastAsia" w:ascii="宋体" w:hAnsi="宋体" w:cs="宋体"/>
        </w:rPr>
        <w:t>　　递延所得税资产                  132.5</w:t>
      </w:r>
    </w:p>
    <w:p w14:paraId="3EAFA127">
      <w:pPr>
        <w:jc w:val="left"/>
        <w:rPr>
          <w:rFonts w:ascii="宋体" w:hAnsi="宋体" w:cs="宋体"/>
        </w:rPr>
      </w:pPr>
      <w:r>
        <w:rPr>
          <w:rFonts w:hint="eastAsia" w:ascii="宋体" w:hAnsi="宋体" w:cs="宋体"/>
        </w:rPr>
        <w:t xml:space="preserve">    贷：递延所得税负债                         65.75</w:t>
      </w:r>
    </w:p>
    <w:p w14:paraId="2BD84A9D">
      <w:pPr>
        <w:jc w:val="left"/>
        <w:rPr>
          <w:rFonts w:hint="eastAsia" w:ascii="宋体" w:hAnsi="宋体" w:cs="宋体"/>
        </w:rPr>
      </w:pPr>
      <w:r>
        <w:rPr>
          <w:rFonts w:hint="eastAsia" w:ascii="宋体" w:hAnsi="宋体" w:cs="宋体"/>
        </w:rPr>
        <w:t>　      应交税费――应交所得税           316.75</w:t>
      </w:r>
    </w:p>
    <w:p w14:paraId="71B0F0D1">
      <w:pPr>
        <w:overflowPunct w:val="0"/>
        <w:jc w:val="center"/>
        <w:rPr>
          <w:rFonts w:hint="eastAsia" w:ascii="宋体" w:hAnsi="宋体" w:cs="宋体"/>
          <w:b/>
          <w:bCs/>
        </w:rPr>
      </w:pPr>
      <w:r>
        <w:rPr>
          <w:rFonts w:hint="eastAsia" w:ascii="宋体" w:hAnsi="宋体" w:cs="宋体"/>
          <w:b/>
          <w:bCs/>
        </w:rPr>
        <w:t>第二节  递延所得税负债和递延所得税资产的确认与计量</w:t>
      </w:r>
    </w:p>
    <w:p w14:paraId="1C2285DA">
      <w:pPr>
        <w:jc w:val="left"/>
        <w:rPr>
          <w:rFonts w:ascii="宋体" w:hAnsi="宋体" w:cs="宋体"/>
          <w:color w:val="FF0000"/>
        </w:rPr>
      </w:pPr>
      <w:r>
        <w:rPr>
          <w:rFonts w:hint="eastAsia" w:ascii="宋体" w:hAnsi="宋体" w:cs="宋体"/>
          <w:color w:val="FF0000"/>
        </w:rPr>
        <w:t>一、递延所得税负债的确认和计量</w:t>
      </w:r>
    </w:p>
    <w:p w14:paraId="3DEDDE03">
      <w:pPr>
        <w:jc w:val="left"/>
        <w:rPr>
          <w:rFonts w:ascii="宋体" w:hAnsi="宋体" w:cs="宋体"/>
          <w:color w:val="FF0000"/>
        </w:rPr>
      </w:pPr>
      <w:r>
        <w:rPr>
          <w:rFonts w:hint="eastAsia" w:ascii="宋体" w:hAnsi="宋体" w:cs="宋体"/>
          <w:color w:val="FF0000"/>
        </w:rPr>
        <w:t>（一）递延所得税负债的确认</w:t>
      </w:r>
    </w:p>
    <w:p w14:paraId="3279EE6D">
      <w:pPr>
        <w:jc w:val="left"/>
        <w:rPr>
          <w:rFonts w:ascii="宋体" w:hAnsi="宋体" w:cs="宋体"/>
        </w:rPr>
      </w:pPr>
      <w:r>
        <w:rPr>
          <w:rFonts w:hint="eastAsia" w:ascii="宋体" w:hAnsi="宋体" w:cs="宋体"/>
        </w:rPr>
        <w:t>1、除所得税准则中明确规定</w:t>
      </w:r>
      <w:r>
        <w:rPr>
          <w:rFonts w:hint="eastAsia" w:ascii="宋体" w:hAnsi="宋体" w:cs="宋体"/>
          <w:color w:val="FF0000"/>
        </w:rPr>
        <w:t>可不确认</w:t>
      </w:r>
      <w:r>
        <w:rPr>
          <w:rFonts w:hint="eastAsia" w:ascii="宋体" w:hAnsi="宋体" w:cs="宋体"/>
        </w:rPr>
        <w:t>递延所得税负债的情况以外，企业对于所有的应纳税暂时性差异均应确认相关的递延所得税负债。</w:t>
      </w:r>
    </w:p>
    <w:p w14:paraId="1CF22D45">
      <w:pPr>
        <w:jc w:val="left"/>
        <w:rPr>
          <w:rFonts w:hint="eastAsia" w:ascii="宋体" w:hAnsi="宋体" w:cs="宋体"/>
        </w:rPr>
      </w:pPr>
      <w:r>
        <w:rPr>
          <w:rFonts w:hint="eastAsia" w:ascii="宋体" w:hAnsi="宋体" w:cs="宋体"/>
        </w:rPr>
        <w:t>除直接计入</w:t>
      </w:r>
      <w:r>
        <w:rPr>
          <w:rFonts w:hint="eastAsia" w:ascii="宋体" w:hAnsi="宋体" w:cs="宋体"/>
          <w:color w:val="FF0000"/>
        </w:rPr>
        <w:t>所有者权益</w:t>
      </w:r>
      <w:r>
        <w:rPr>
          <w:rFonts w:hint="eastAsia" w:ascii="宋体" w:hAnsi="宋体" w:cs="宋体"/>
        </w:rPr>
        <w:t>的交易或事项以及企业</w:t>
      </w:r>
      <w:r>
        <w:rPr>
          <w:rFonts w:hint="eastAsia" w:ascii="宋体" w:hAnsi="宋体" w:cs="宋体"/>
          <w:color w:val="FF0000"/>
        </w:rPr>
        <w:t>合并</w:t>
      </w:r>
      <w:r>
        <w:rPr>
          <w:rFonts w:hint="eastAsia" w:ascii="宋体" w:hAnsi="宋体" w:cs="宋体"/>
        </w:rPr>
        <w:t>中取得资产、负债相关的以外，在确认递延所得税负债的同时，应增加利润表中的</w:t>
      </w:r>
      <w:r>
        <w:rPr>
          <w:rFonts w:hint="eastAsia" w:ascii="宋体" w:hAnsi="宋体" w:cs="宋体"/>
          <w:color w:val="FF0000"/>
        </w:rPr>
        <w:t xml:space="preserve">所得税费用。 </w:t>
      </w:r>
      <w:r>
        <w:rPr>
          <w:rFonts w:hint="eastAsia" w:ascii="宋体" w:hAnsi="宋体" w:cs="宋体"/>
        </w:rPr>
        <w:t xml:space="preserve"> </w:t>
      </w:r>
    </w:p>
    <w:p w14:paraId="4B2ACCA7">
      <w:pPr>
        <w:jc w:val="left"/>
        <w:rPr>
          <w:rFonts w:hint="eastAsia" w:ascii="宋体" w:hAnsi="宋体" w:cs="宋体"/>
          <w:color w:val="FF0000"/>
        </w:rPr>
      </w:pPr>
      <w:r>
        <w:rPr>
          <w:rFonts w:hint="eastAsia" w:ascii="宋体" w:hAnsi="宋体" w:cs="宋体"/>
          <w:color w:val="FF0000"/>
        </w:rPr>
        <w:t>递延所得税负债的确认原则</w:t>
      </w:r>
    </w:p>
    <w:p w14:paraId="095B6322">
      <w:pPr>
        <w:jc w:val="left"/>
        <w:rPr>
          <w:rFonts w:ascii="宋体" w:hAnsi="宋体" w:cs="宋体"/>
        </w:rPr>
      </w:pPr>
      <w:r>
        <w:rPr>
          <w:rFonts w:hint="eastAsia" w:ascii="宋体" w:hAnsi="宋体" w:cs="宋体"/>
        </w:rPr>
        <w:drawing>
          <wp:inline distT="0" distB="0" distL="114300" distR="114300">
            <wp:extent cx="4533900" cy="26015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BEBA8EAE-BF5A-486C-A8C5-ECC9F3942E4B}">
                          <a14:imgProps xmlns:a14="http://schemas.microsoft.com/office/drawing/2010/main">
                            <a14:imgLayer r:embed="rId9">
                              <a14:imgEffect>
                                <a14:brightnessContrast bright="-91000"/>
                              </a14:imgEffect>
                            </a14:imgLayer>
                          </a14:imgProps>
                        </a:ext>
                      </a:extLst>
                    </a:blip>
                    <a:stretch>
                      <a:fillRect/>
                    </a:stretch>
                  </pic:blipFill>
                  <pic:spPr>
                    <a:xfrm>
                      <a:off x="0" y="0"/>
                      <a:ext cx="4552555" cy="2612086"/>
                    </a:xfrm>
                    <a:prstGeom prst="rect">
                      <a:avLst/>
                    </a:prstGeom>
                    <a:noFill/>
                    <a:ln>
                      <a:noFill/>
                    </a:ln>
                  </pic:spPr>
                </pic:pic>
              </a:graphicData>
            </a:graphic>
          </wp:inline>
        </w:drawing>
      </w:r>
    </w:p>
    <w:p w14:paraId="42AF0BB0">
      <w:pPr>
        <w:jc w:val="left"/>
        <w:rPr>
          <w:rFonts w:ascii="宋体" w:hAnsi="宋体" w:cs="宋体"/>
          <w:color w:val="FF0000"/>
        </w:rPr>
      </w:pPr>
      <w:r>
        <w:rPr>
          <w:rFonts w:hint="eastAsia" w:ascii="宋体" w:hAnsi="宋体" w:cs="宋体"/>
          <w:color w:val="FF0000"/>
        </w:rPr>
        <w:t>2、不确认递延所得税负债的情况（2种）</w:t>
      </w:r>
    </w:p>
    <w:p w14:paraId="253F8F5D">
      <w:pPr>
        <w:jc w:val="left"/>
        <w:rPr>
          <w:rFonts w:ascii="宋体" w:hAnsi="宋体" w:cs="宋体"/>
          <w:color w:val="FF0000"/>
        </w:rPr>
      </w:pPr>
      <w:r>
        <w:rPr>
          <w:rFonts w:hint="eastAsia" w:ascii="宋体" w:hAnsi="宋体" w:cs="宋体"/>
        </w:rPr>
        <w:t>有些情况下，虽然资产、负债的账面价值与其计税基础不同，产生了应纳税暂时性差异，但出于各方面考虑，所得税准则中规定</w:t>
      </w:r>
      <w:r>
        <w:rPr>
          <w:rFonts w:hint="eastAsia" w:ascii="宋体" w:hAnsi="宋体" w:cs="宋体"/>
          <w:color w:val="FF0000"/>
        </w:rPr>
        <w:t>不确认相应递延所得税负债，主要包括：</w:t>
      </w:r>
    </w:p>
    <w:p w14:paraId="45EE5299">
      <w:pPr>
        <w:jc w:val="left"/>
        <w:rPr>
          <w:rFonts w:ascii="宋体" w:hAnsi="宋体" w:cs="宋体"/>
          <w:color w:val="FF0000"/>
        </w:rPr>
      </w:pPr>
      <w:r>
        <w:rPr>
          <w:rFonts w:hint="eastAsia" w:ascii="宋体" w:hAnsi="宋体" w:cs="宋体"/>
          <w:color w:val="FF0000"/>
        </w:rPr>
        <w:t>（1）商誉的初始确认</w:t>
      </w:r>
    </w:p>
    <w:p w14:paraId="247B464C">
      <w:pPr>
        <w:jc w:val="left"/>
        <w:rPr>
          <w:rFonts w:hint="eastAsia" w:ascii="宋体" w:hAnsi="宋体" w:cs="宋体"/>
        </w:rPr>
      </w:pPr>
      <w:r>
        <w:rPr>
          <w:rFonts w:hint="eastAsia" w:ascii="宋体" w:hAnsi="宋体" w:cs="宋体"/>
        </w:rPr>
        <w:t>（2）除企业合并以外的其他交易或事项中，如果该项交易或事项发生时</w:t>
      </w:r>
      <w:r>
        <w:rPr>
          <w:rFonts w:hint="eastAsia" w:ascii="宋体" w:hAnsi="宋体" w:cs="宋体"/>
          <w:color w:val="FF0000"/>
        </w:rPr>
        <w:t>既不影响会计利润，也不影响应纳税所得额，</w:t>
      </w:r>
      <w:r>
        <w:rPr>
          <w:rFonts w:hint="eastAsia" w:ascii="宋体" w:hAnsi="宋体" w:cs="宋体"/>
        </w:rPr>
        <w:t>则所产生的资产、负债的初始确认金额与其计税基础不同，形成应纳税暂时性差异的，交易或事项发生时不确认相应的递延所得税负债。</w:t>
      </w:r>
    </w:p>
    <w:p w14:paraId="21E1DC23">
      <w:pPr>
        <w:jc w:val="left"/>
        <w:rPr>
          <w:rFonts w:ascii="宋体" w:hAnsi="宋体" w:cs="宋体"/>
          <w:color w:val="FF0000"/>
        </w:rPr>
      </w:pPr>
      <w:r>
        <w:rPr>
          <w:rFonts w:hint="eastAsia" w:ascii="宋体" w:hAnsi="宋体" w:cs="宋体"/>
          <w:color w:val="FF0000"/>
        </w:rPr>
        <w:t>（1）商誉的初始确认</w:t>
      </w:r>
    </w:p>
    <w:p w14:paraId="66559D08">
      <w:pPr>
        <w:jc w:val="left"/>
        <w:rPr>
          <w:rFonts w:hint="eastAsia" w:ascii="宋体" w:hAnsi="宋体" w:cs="宋体"/>
        </w:rPr>
      </w:pPr>
      <w:r>
        <w:rPr>
          <w:rFonts w:hint="eastAsia" w:ascii="宋体" w:hAnsi="宋体" w:cs="宋体"/>
          <w:color w:val="FF0000"/>
        </w:rPr>
        <w:t>【例17-12】</w:t>
      </w:r>
      <w:r>
        <w:rPr>
          <w:rFonts w:hint="eastAsia" w:ascii="宋体" w:hAnsi="宋体" w:cs="宋体"/>
        </w:rPr>
        <w:t>甲公司以增发市场价值为</w:t>
      </w:r>
      <w:r>
        <w:rPr>
          <w:rFonts w:hint="eastAsia" w:ascii="宋体" w:hAnsi="宋体" w:cs="宋体"/>
          <w:color w:val="FF0000"/>
        </w:rPr>
        <w:t>60 000 000</w:t>
      </w:r>
      <w:r>
        <w:rPr>
          <w:rFonts w:hint="eastAsia" w:ascii="宋体" w:hAnsi="宋体" w:cs="宋体"/>
        </w:rPr>
        <w:t>元的本企业普通股为对价购入乙公司100%的净资产，假定该项企业合并符合税法规定的</w:t>
      </w:r>
      <w:r>
        <w:rPr>
          <w:rFonts w:hint="eastAsia" w:ascii="宋体" w:hAnsi="宋体" w:cs="宋体"/>
          <w:color w:val="FF0000"/>
        </w:rPr>
        <w:t>免税合并条件，</w:t>
      </w:r>
      <w:r>
        <w:rPr>
          <w:rFonts w:hint="eastAsia" w:ascii="宋体" w:hAnsi="宋体" w:cs="宋体"/>
        </w:rPr>
        <w:t>且乙公司原股东选择进行免税处理。购买日乙公司各项可辨认资产、负债的公允价值及其计税基础如表所示（单位：万元）。</w:t>
      </w:r>
    </w:p>
    <w:p w14:paraId="4AC4FE4C">
      <w:pPr>
        <w:overflowPunct w:val="0"/>
        <w:jc w:val="center"/>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表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2459"/>
        <w:gridCol w:w="2536"/>
        <w:gridCol w:w="2536"/>
      </w:tblGrid>
      <w:tr w14:paraId="63E5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65C50997">
            <w:pPr>
              <w:overflowPunct w:val="0"/>
              <w:jc w:val="center"/>
              <w:rPr>
                <w:rFonts w:ascii="宋体" w:hAnsi="宋体" w:cs="宋体"/>
              </w:rPr>
            </w:pPr>
            <w:r>
              <w:rPr>
                <w:rFonts w:hint="eastAsia" w:ascii="宋体" w:hAnsi="宋体" w:cs="宋体"/>
              </w:rPr>
              <w:t>项  目</w:t>
            </w:r>
          </w:p>
        </w:tc>
        <w:tc>
          <w:tcPr>
            <w:tcW w:w="1213" w:type="pct"/>
          </w:tcPr>
          <w:p w14:paraId="4E9F32B5">
            <w:pPr>
              <w:overflowPunct w:val="0"/>
              <w:jc w:val="center"/>
              <w:rPr>
                <w:rFonts w:ascii="宋体" w:hAnsi="宋体" w:cs="宋体"/>
                <w:color w:val="FF0000"/>
              </w:rPr>
            </w:pPr>
            <w:r>
              <w:rPr>
                <w:rFonts w:hint="eastAsia" w:ascii="宋体" w:hAnsi="宋体" w:cs="宋体"/>
                <w:color w:val="FF0000"/>
              </w:rPr>
              <w:t>公允价值</w:t>
            </w:r>
          </w:p>
        </w:tc>
        <w:tc>
          <w:tcPr>
            <w:tcW w:w="1251" w:type="pct"/>
          </w:tcPr>
          <w:p w14:paraId="21303557">
            <w:pPr>
              <w:overflowPunct w:val="0"/>
              <w:jc w:val="center"/>
              <w:rPr>
                <w:rFonts w:ascii="宋体" w:hAnsi="宋体" w:cs="宋体"/>
                <w:color w:val="FF0000"/>
              </w:rPr>
            </w:pPr>
            <w:r>
              <w:rPr>
                <w:rFonts w:hint="eastAsia" w:ascii="宋体" w:hAnsi="宋体" w:cs="宋体"/>
                <w:color w:val="FF0000"/>
              </w:rPr>
              <w:t>计税基础</w:t>
            </w:r>
          </w:p>
        </w:tc>
        <w:tc>
          <w:tcPr>
            <w:tcW w:w="1251" w:type="pct"/>
          </w:tcPr>
          <w:p w14:paraId="6EB4B3BC">
            <w:pPr>
              <w:overflowPunct w:val="0"/>
              <w:jc w:val="center"/>
              <w:rPr>
                <w:rFonts w:ascii="宋体" w:hAnsi="宋体" w:cs="宋体"/>
                <w:color w:val="FF0000"/>
              </w:rPr>
            </w:pPr>
            <w:r>
              <w:rPr>
                <w:rFonts w:hint="eastAsia" w:ascii="宋体" w:hAnsi="宋体" w:cs="宋体"/>
                <w:color w:val="FF0000"/>
              </w:rPr>
              <w:t>暂时性差异</w:t>
            </w:r>
          </w:p>
        </w:tc>
      </w:tr>
      <w:tr w14:paraId="1B00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2AE02CDD">
            <w:pPr>
              <w:overflowPunct w:val="0"/>
              <w:jc w:val="center"/>
              <w:rPr>
                <w:rFonts w:ascii="宋体" w:hAnsi="宋体" w:cs="宋体"/>
              </w:rPr>
            </w:pPr>
            <w:r>
              <w:rPr>
                <w:rFonts w:hint="eastAsia" w:ascii="宋体" w:hAnsi="宋体" w:cs="宋体"/>
              </w:rPr>
              <w:t>固定资产</w:t>
            </w:r>
          </w:p>
        </w:tc>
        <w:tc>
          <w:tcPr>
            <w:tcW w:w="1213" w:type="pct"/>
          </w:tcPr>
          <w:p w14:paraId="02B1C79D">
            <w:pPr>
              <w:overflowPunct w:val="0"/>
              <w:jc w:val="center"/>
              <w:rPr>
                <w:rFonts w:ascii="宋体" w:hAnsi="宋体" w:cs="宋体"/>
              </w:rPr>
            </w:pPr>
            <w:r>
              <w:rPr>
                <w:rFonts w:hint="eastAsia" w:ascii="宋体" w:hAnsi="宋体" w:cs="宋体"/>
              </w:rPr>
              <w:t>27 000 000</w:t>
            </w:r>
          </w:p>
        </w:tc>
        <w:tc>
          <w:tcPr>
            <w:tcW w:w="1251" w:type="pct"/>
          </w:tcPr>
          <w:p w14:paraId="70D11F57">
            <w:pPr>
              <w:overflowPunct w:val="0"/>
              <w:jc w:val="center"/>
              <w:rPr>
                <w:rFonts w:ascii="宋体" w:hAnsi="宋体" w:cs="宋体"/>
              </w:rPr>
            </w:pPr>
            <w:r>
              <w:rPr>
                <w:rFonts w:hint="eastAsia" w:ascii="宋体" w:hAnsi="宋体" w:cs="宋体"/>
              </w:rPr>
              <w:t>15 500 000</w:t>
            </w:r>
          </w:p>
        </w:tc>
        <w:tc>
          <w:tcPr>
            <w:tcW w:w="1251" w:type="pct"/>
          </w:tcPr>
          <w:p w14:paraId="779B736E">
            <w:pPr>
              <w:overflowPunct w:val="0"/>
              <w:jc w:val="center"/>
              <w:rPr>
                <w:rFonts w:ascii="宋体" w:hAnsi="宋体" w:cs="宋体"/>
              </w:rPr>
            </w:pPr>
            <w:r>
              <w:rPr>
                <w:rFonts w:hint="eastAsia" w:ascii="宋体" w:hAnsi="宋体" w:cs="宋体"/>
              </w:rPr>
              <w:t>11 500 000</w:t>
            </w:r>
          </w:p>
        </w:tc>
      </w:tr>
      <w:tr w14:paraId="62B2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4E075B74">
            <w:pPr>
              <w:overflowPunct w:val="0"/>
              <w:jc w:val="center"/>
              <w:rPr>
                <w:rFonts w:ascii="宋体" w:hAnsi="宋体" w:cs="宋体"/>
              </w:rPr>
            </w:pPr>
            <w:r>
              <w:rPr>
                <w:rFonts w:hint="eastAsia" w:ascii="宋体" w:hAnsi="宋体" w:cs="宋体"/>
              </w:rPr>
              <w:t>应收账款</w:t>
            </w:r>
          </w:p>
        </w:tc>
        <w:tc>
          <w:tcPr>
            <w:tcW w:w="1213" w:type="pct"/>
          </w:tcPr>
          <w:p w14:paraId="76C93341">
            <w:pPr>
              <w:overflowPunct w:val="0"/>
              <w:jc w:val="center"/>
              <w:rPr>
                <w:rFonts w:ascii="宋体" w:hAnsi="宋体" w:cs="宋体"/>
              </w:rPr>
            </w:pPr>
            <w:r>
              <w:rPr>
                <w:rFonts w:hint="eastAsia" w:ascii="宋体" w:hAnsi="宋体" w:cs="宋体"/>
              </w:rPr>
              <w:t>21 000 000</w:t>
            </w:r>
          </w:p>
        </w:tc>
        <w:tc>
          <w:tcPr>
            <w:tcW w:w="1251" w:type="pct"/>
          </w:tcPr>
          <w:p w14:paraId="73FEE751">
            <w:pPr>
              <w:overflowPunct w:val="0"/>
              <w:jc w:val="center"/>
              <w:rPr>
                <w:rFonts w:ascii="宋体" w:hAnsi="宋体" w:cs="宋体"/>
              </w:rPr>
            </w:pPr>
            <w:r>
              <w:rPr>
                <w:rFonts w:hint="eastAsia" w:ascii="宋体" w:hAnsi="宋体" w:cs="宋体"/>
              </w:rPr>
              <w:t>21 000 000</w:t>
            </w:r>
          </w:p>
        </w:tc>
        <w:tc>
          <w:tcPr>
            <w:tcW w:w="1251" w:type="pct"/>
          </w:tcPr>
          <w:p w14:paraId="0854B342">
            <w:pPr>
              <w:overflowPunct w:val="0"/>
              <w:jc w:val="center"/>
              <w:rPr>
                <w:rFonts w:ascii="宋体" w:hAnsi="宋体" w:cs="宋体"/>
              </w:rPr>
            </w:pPr>
            <w:r>
              <w:rPr>
                <w:rFonts w:hint="eastAsia" w:ascii="宋体" w:hAnsi="宋体" w:cs="宋体"/>
              </w:rPr>
              <w:t>0</w:t>
            </w:r>
          </w:p>
        </w:tc>
      </w:tr>
      <w:tr w14:paraId="1D36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3837ABF7">
            <w:pPr>
              <w:overflowPunct w:val="0"/>
              <w:jc w:val="center"/>
              <w:rPr>
                <w:rFonts w:ascii="宋体" w:hAnsi="宋体" w:cs="宋体"/>
              </w:rPr>
            </w:pPr>
            <w:r>
              <w:rPr>
                <w:rFonts w:hint="eastAsia" w:ascii="宋体" w:hAnsi="宋体" w:cs="宋体"/>
              </w:rPr>
              <w:t>存货</w:t>
            </w:r>
          </w:p>
        </w:tc>
        <w:tc>
          <w:tcPr>
            <w:tcW w:w="1213" w:type="pct"/>
          </w:tcPr>
          <w:p w14:paraId="4C6CADB8">
            <w:pPr>
              <w:overflowPunct w:val="0"/>
              <w:jc w:val="center"/>
              <w:rPr>
                <w:rFonts w:ascii="宋体" w:hAnsi="宋体" w:cs="宋体"/>
              </w:rPr>
            </w:pPr>
            <w:r>
              <w:rPr>
                <w:rFonts w:hint="eastAsia" w:ascii="宋体" w:hAnsi="宋体" w:cs="宋体"/>
              </w:rPr>
              <w:t>17 400 000</w:t>
            </w:r>
          </w:p>
        </w:tc>
        <w:tc>
          <w:tcPr>
            <w:tcW w:w="1251" w:type="pct"/>
          </w:tcPr>
          <w:p w14:paraId="73CED4C7">
            <w:pPr>
              <w:overflowPunct w:val="0"/>
              <w:jc w:val="center"/>
              <w:rPr>
                <w:rFonts w:ascii="宋体" w:hAnsi="宋体" w:cs="宋体"/>
              </w:rPr>
            </w:pPr>
            <w:r>
              <w:rPr>
                <w:rFonts w:hint="eastAsia" w:ascii="宋体" w:hAnsi="宋体" w:cs="宋体"/>
              </w:rPr>
              <w:t>12 400 000</w:t>
            </w:r>
          </w:p>
        </w:tc>
        <w:tc>
          <w:tcPr>
            <w:tcW w:w="1251" w:type="pct"/>
          </w:tcPr>
          <w:p w14:paraId="6C584102">
            <w:pPr>
              <w:overflowPunct w:val="0"/>
              <w:jc w:val="center"/>
              <w:rPr>
                <w:rFonts w:ascii="宋体" w:hAnsi="宋体" w:cs="宋体"/>
                <w:color w:val="FF0000"/>
              </w:rPr>
            </w:pPr>
            <w:r>
              <w:rPr>
                <w:rFonts w:hint="eastAsia" w:ascii="宋体" w:hAnsi="宋体" w:cs="宋体"/>
                <w:color w:val="FF0000"/>
              </w:rPr>
              <w:t>5 000 000</w:t>
            </w:r>
          </w:p>
        </w:tc>
      </w:tr>
      <w:tr w14:paraId="3617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3FC4846D">
            <w:pPr>
              <w:overflowPunct w:val="0"/>
              <w:jc w:val="center"/>
              <w:rPr>
                <w:rFonts w:ascii="宋体" w:hAnsi="宋体" w:cs="宋体"/>
              </w:rPr>
            </w:pPr>
            <w:r>
              <w:rPr>
                <w:rFonts w:hint="eastAsia" w:ascii="宋体" w:hAnsi="宋体" w:cs="宋体"/>
              </w:rPr>
              <w:t>其他应付款</w:t>
            </w:r>
          </w:p>
        </w:tc>
        <w:tc>
          <w:tcPr>
            <w:tcW w:w="1213" w:type="pct"/>
          </w:tcPr>
          <w:p w14:paraId="4CF3197F">
            <w:pPr>
              <w:overflowPunct w:val="0"/>
              <w:jc w:val="center"/>
              <w:rPr>
                <w:rFonts w:ascii="宋体" w:hAnsi="宋体" w:cs="宋体"/>
              </w:rPr>
            </w:pPr>
            <w:r>
              <w:rPr>
                <w:rFonts w:hint="eastAsia" w:ascii="宋体" w:hAnsi="宋体" w:cs="宋体"/>
              </w:rPr>
              <w:t>（3 000 000）</w:t>
            </w:r>
          </w:p>
        </w:tc>
        <w:tc>
          <w:tcPr>
            <w:tcW w:w="1251" w:type="pct"/>
          </w:tcPr>
          <w:p w14:paraId="11B1E72A">
            <w:pPr>
              <w:overflowPunct w:val="0"/>
              <w:jc w:val="center"/>
              <w:rPr>
                <w:rFonts w:ascii="宋体" w:hAnsi="宋体" w:cs="宋体"/>
              </w:rPr>
            </w:pPr>
            <w:r>
              <w:rPr>
                <w:rFonts w:hint="eastAsia" w:ascii="宋体" w:hAnsi="宋体" w:cs="宋体"/>
              </w:rPr>
              <w:t>0</w:t>
            </w:r>
          </w:p>
        </w:tc>
        <w:tc>
          <w:tcPr>
            <w:tcW w:w="1251" w:type="pct"/>
          </w:tcPr>
          <w:p w14:paraId="081E0D5E">
            <w:pPr>
              <w:overflowPunct w:val="0"/>
              <w:jc w:val="center"/>
              <w:rPr>
                <w:rFonts w:ascii="宋体" w:hAnsi="宋体" w:cs="宋体"/>
                <w:color w:val="FF0000"/>
              </w:rPr>
            </w:pPr>
            <w:r>
              <w:rPr>
                <w:rFonts w:hint="eastAsia" w:ascii="宋体" w:hAnsi="宋体" w:cs="宋体"/>
                <w:color w:val="FF0000"/>
              </w:rPr>
              <w:t>（3 000 000）</w:t>
            </w:r>
          </w:p>
        </w:tc>
      </w:tr>
      <w:tr w14:paraId="7296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00BDF5A7">
            <w:pPr>
              <w:overflowPunct w:val="0"/>
              <w:jc w:val="center"/>
              <w:rPr>
                <w:rFonts w:ascii="宋体" w:hAnsi="宋体" w:cs="宋体"/>
              </w:rPr>
            </w:pPr>
            <w:r>
              <w:rPr>
                <w:rFonts w:hint="eastAsia" w:ascii="宋体" w:hAnsi="宋体" w:cs="宋体"/>
              </w:rPr>
              <w:t>应付账款</w:t>
            </w:r>
          </w:p>
        </w:tc>
        <w:tc>
          <w:tcPr>
            <w:tcW w:w="1213" w:type="pct"/>
          </w:tcPr>
          <w:p w14:paraId="4158C43E">
            <w:pPr>
              <w:overflowPunct w:val="0"/>
              <w:jc w:val="center"/>
              <w:rPr>
                <w:rFonts w:ascii="宋体" w:hAnsi="宋体" w:cs="宋体"/>
              </w:rPr>
            </w:pPr>
            <w:r>
              <w:rPr>
                <w:rFonts w:hint="eastAsia" w:ascii="宋体" w:hAnsi="宋体" w:cs="宋体"/>
              </w:rPr>
              <w:t>（12 000 000）</w:t>
            </w:r>
          </w:p>
        </w:tc>
        <w:tc>
          <w:tcPr>
            <w:tcW w:w="1251" w:type="pct"/>
          </w:tcPr>
          <w:p w14:paraId="4ABD91DF">
            <w:pPr>
              <w:overflowPunct w:val="0"/>
              <w:jc w:val="center"/>
              <w:rPr>
                <w:rFonts w:ascii="宋体" w:hAnsi="宋体" w:cs="宋体"/>
              </w:rPr>
            </w:pPr>
            <w:r>
              <w:rPr>
                <w:rFonts w:hint="eastAsia" w:ascii="宋体" w:hAnsi="宋体" w:cs="宋体"/>
              </w:rPr>
              <w:t>（12 000 000）</w:t>
            </w:r>
          </w:p>
        </w:tc>
        <w:tc>
          <w:tcPr>
            <w:tcW w:w="1251" w:type="pct"/>
          </w:tcPr>
          <w:p w14:paraId="1BE30A84">
            <w:pPr>
              <w:overflowPunct w:val="0"/>
              <w:jc w:val="center"/>
              <w:rPr>
                <w:rFonts w:ascii="宋体" w:hAnsi="宋体" w:cs="宋体"/>
              </w:rPr>
            </w:pPr>
            <w:r>
              <w:rPr>
                <w:rFonts w:hint="eastAsia" w:ascii="宋体" w:hAnsi="宋体" w:cs="宋体"/>
              </w:rPr>
              <w:t>0</w:t>
            </w:r>
          </w:p>
        </w:tc>
      </w:tr>
      <w:tr w14:paraId="2AC4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56151FEC">
            <w:pPr>
              <w:overflowPunct w:val="0"/>
              <w:jc w:val="center"/>
              <w:rPr>
                <w:rFonts w:ascii="宋体" w:hAnsi="宋体" w:cs="宋体"/>
              </w:rPr>
            </w:pPr>
            <w:r>
              <w:rPr>
                <w:rFonts w:hint="eastAsia" w:ascii="宋体" w:hAnsi="宋体" w:cs="宋体"/>
              </w:rPr>
              <w:t>不包括递延所得税的可辨认资产、负债的公允价值</w:t>
            </w:r>
          </w:p>
        </w:tc>
        <w:tc>
          <w:tcPr>
            <w:tcW w:w="1213" w:type="pct"/>
          </w:tcPr>
          <w:p w14:paraId="1BDB6E8C">
            <w:pPr>
              <w:overflowPunct w:val="0"/>
              <w:jc w:val="center"/>
              <w:rPr>
                <w:rFonts w:ascii="宋体" w:hAnsi="宋体" w:cs="宋体"/>
              </w:rPr>
            </w:pPr>
            <w:r>
              <w:rPr>
                <w:rFonts w:hint="eastAsia" w:ascii="宋体" w:hAnsi="宋体" w:cs="宋体"/>
                <w:color w:val="0432FF"/>
              </w:rPr>
              <w:t>50 400 000</w:t>
            </w:r>
          </w:p>
        </w:tc>
        <w:tc>
          <w:tcPr>
            <w:tcW w:w="1251" w:type="pct"/>
          </w:tcPr>
          <w:p w14:paraId="4B746B9F">
            <w:pPr>
              <w:overflowPunct w:val="0"/>
              <w:jc w:val="center"/>
              <w:rPr>
                <w:rFonts w:ascii="宋体" w:hAnsi="宋体" w:cs="宋体"/>
                <w:color w:val="FF0000"/>
              </w:rPr>
            </w:pPr>
            <w:r>
              <w:rPr>
                <w:rFonts w:hint="eastAsia" w:ascii="宋体" w:hAnsi="宋体" w:cs="宋体"/>
                <w:color w:val="FF0000"/>
              </w:rPr>
              <w:t>36 900 000</w:t>
            </w:r>
          </w:p>
        </w:tc>
        <w:tc>
          <w:tcPr>
            <w:tcW w:w="1251" w:type="pct"/>
          </w:tcPr>
          <w:p w14:paraId="18C22003">
            <w:pPr>
              <w:overflowPunct w:val="0"/>
              <w:jc w:val="center"/>
              <w:rPr>
                <w:rFonts w:ascii="宋体" w:hAnsi="宋体" w:cs="宋体"/>
                <w:color w:val="FF0000"/>
              </w:rPr>
            </w:pPr>
            <w:r>
              <w:rPr>
                <w:rFonts w:hint="eastAsia" w:ascii="宋体" w:hAnsi="宋体" w:cs="宋体"/>
                <w:color w:val="FF0000"/>
              </w:rPr>
              <w:t>13 500 000</w:t>
            </w:r>
          </w:p>
        </w:tc>
      </w:tr>
    </w:tbl>
    <w:p w14:paraId="666A02FC">
      <w:pPr>
        <w:jc w:val="left"/>
        <w:rPr>
          <w:rFonts w:ascii="宋体" w:hAnsi="宋体" w:cs="宋体"/>
        </w:rPr>
      </w:pPr>
      <w:r>
        <w:rPr>
          <w:rFonts w:hint="eastAsia" w:ascii="宋体" w:hAnsi="宋体" w:cs="宋体"/>
        </w:rPr>
        <w:t>乙公司适用的所得税税率为25%，该项交易中应确认递延所得税负债及商誉的金额计算如下：</w:t>
      </w:r>
    </w:p>
    <w:p w14:paraId="613B5E28">
      <w:pPr>
        <w:jc w:val="left"/>
        <w:rPr>
          <w:rFonts w:ascii="宋体" w:hAnsi="宋体" w:cs="宋体"/>
          <w:color w:val="FF0000"/>
        </w:rPr>
      </w:pPr>
      <w:r>
        <w:rPr>
          <w:rFonts w:hint="eastAsia" w:ascii="宋体" w:hAnsi="宋体" w:cs="宋体"/>
          <w:color w:val="FF0000"/>
        </w:rPr>
        <w:t>企业合并成本　　　　　    　           60 000 000</w:t>
      </w:r>
    </w:p>
    <w:p w14:paraId="307FCA33">
      <w:pPr>
        <w:jc w:val="left"/>
        <w:rPr>
          <w:rFonts w:ascii="宋体" w:hAnsi="宋体" w:cs="宋体"/>
        </w:rPr>
      </w:pPr>
      <w:r>
        <w:rPr>
          <w:rFonts w:hint="eastAsia" w:ascii="宋体" w:hAnsi="宋体" w:cs="宋体"/>
        </w:rPr>
        <w:t>可辨认净资产公允价值　           　    50 400 000</w:t>
      </w:r>
    </w:p>
    <w:p w14:paraId="3AE320AD">
      <w:pPr>
        <w:jc w:val="left"/>
        <w:rPr>
          <w:rFonts w:ascii="宋体" w:hAnsi="宋体" w:cs="宋体"/>
        </w:rPr>
      </w:pPr>
      <w:r>
        <w:rPr>
          <w:rFonts w:hint="eastAsia" w:ascii="宋体" w:hAnsi="宋体" w:cs="宋体"/>
        </w:rPr>
        <w:t>递延所得税资产</w:t>
      </w:r>
      <w:r>
        <w:rPr>
          <w:rFonts w:hint="eastAsia" w:ascii="宋体" w:hAnsi="宋体" w:cs="宋体"/>
          <w:color w:val="FF0000"/>
        </w:rPr>
        <w:t>（3 000 000×25%）　</w:t>
      </w:r>
      <w:r>
        <w:rPr>
          <w:rFonts w:hint="eastAsia" w:ascii="宋体" w:hAnsi="宋体" w:cs="宋体"/>
        </w:rPr>
        <w:t xml:space="preserve">        750 000</w:t>
      </w:r>
    </w:p>
    <w:p w14:paraId="0E547032">
      <w:pPr>
        <w:jc w:val="left"/>
        <w:rPr>
          <w:rFonts w:ascii="宋体" w:hAnsi="宋体" w:cs="宋体"/>
        </w:rPr>
      </w:pPr>
      <w:r>
        <w:rPr>
          <w:rFonts w:hint="eastAsia" w:ascii="宋体" w:hAnsi="宋体" w:cs="宋体"/>
        </w:rPr>
        <w:t>递延所得税负债</w:t>
      </w:r>
      <w:r>
        <w:rPr>
          <w:rFonts w:hint="eastAsia" w:ascii="宋体" w:hAnsi="宋体" w:cs="宋体"/>
          <w:color w:val="FF0000"/>
        </w:rPr>
        <w:t>（16 500 000×25%）</w:t>
      </w:r>
      <w:r>
        <w:rPr>
          <w:rFonts w:hint="eastAsia" w:ascii="宋体" w:hAnsi="宋体" w:cs="宋体"/>
        </w:rPr>
        <w:t xml:space="preserve">       4 125 000</w:t>
      </w:r>
    </w:p>
    <w:p w14:paraId="048851D1">
      <w:pPr>
        <w:jc w:val="left"/>
        <w:rPr>
          <w:rFonts w:ascii="宋体" w:hAnsi="宋体" w:cs="宋体"/>
        </w:rPr>
      </w:pPr>
      <w:r>
        <w:rPr>
          <w:rFonts w:hint="eastAsia" w:ascii="宋体" w:hAnsi="宋体" w:cs="宋体"/>
          <w:color w:val="FF0000"/>
        </w:rPr>
        <w:t>考虑递延所得税后可辨认资产负债公允价值</w:t>
      </w:r>
      <w:r>
        <w:rPr>
          <w:rFonts w:hint="eastAsia" w:ascii="宋体" w:hAnsi="宋体" w:cs="宋体"/>
        </w:rPr>
        <w:t xml:space="preserve"> </w:t>
      </w:r>
      <w:r>
        <w:rPr>
          <w:rFonts w:hint="eastAsia" w:ascii="宋体" w:hAnsi="宋体" w:cs="宋体"/>
          <w:color w:val="0432FF"/>
        </w:rPr>
        <w:t>47 025 000</w:t>
      </w:r>
    </w:p>
    <w:p w14:paraId="767D5064">
      <w:pPr>
        <w:jc w:val="left"/>
        <w:rPr>
          <w:rFonts w:ascii="宋体" w:hAnsi="宋体" w:cs="宋体"/>
        </w:rPr>
      </w:pPr>
      <w:r>
        <w:rPr>
          <w:rFonts w:hint="eastAsia" w:ascii="宋体" w:hAnsi="宋体" w:cs="宋体"/>
        </w:rPr>
        <w:t>商誉　　　　                           12 975 000</w:t>
      </w:r>
    </w:p>
    <w:p w14:paraId="62CF6C79">
      <w:pPr>
        <w:jc w:val="left"/>
        <w:rPr>
          <w:rFonts w:hint="eastAsia" w:ascii="宋体" w:hAnsi="宋体" w:cs="宋体"/>
          <w:color w:val="FF0000"/>
        </w:rPr>
      </w:pPr>
      <w:r>
        <w:rPr>
          <w:rFonts w:hint="eastAsia" w:ascii="宋体" w:hAnsi="宋体" w:cs="宋体"/>
        </w:rPr>
        <w:t>所确认的商誉金额</w:t>
      </w:r>
      <w:r>
        <w:rPr>
          <w:rFonts w:hint="eastAsia" w:ascii="宋体" w:hAnsi="宋体" w:cs="宋体"/>
          <w:color w:val="FF0000"/>
        </w:rPr>
        <w:t>12 975 000元与其计税基础0</w:t>
      </w:r>
      <w:r>
        <w:rPr>
          <w:rFonts w:hint="eastAsia" w:ascii="宋体" w:hAnsi="宋体" w:cs="宋体"/>
        </w:rPr>
        <w:t>之间产生的</w:t>
      </w:r>
      <w:r>
        <w:rPr>
          <w:rFonts w:hint="eastAsia" w:ascii="宋体" w:hAnsi="宋体" w:cs="宋体"/>
          <w:color w:val="FF0000"/>
        </w:rPr>
        <w:t>应纳税暂时性差异，不再进一步确认相关的递延所得税影响。</w:t>
      </w:r>
    </w:p>
    <w:p w14:paraId="034932F1">
      <w:pPr>
        <w:jc w:val="left"/>
        <w:rPr>
          <w:rFonts w:ascii="宋体" w:hAnsi="宋体" w:cs="宋体"/>
          <w:color w:val="FF0000"/>
        </w:rPr>
      </w:pPr>
      <w:r>
        <w:rPr>
          <w:rFonts w:hint="eastAsia" w:ascii="宋体" w:hAnsi="宋体" w:cs="宋体"/>
          <w:color w:val="FF0000"/>
        </w:rPr>
        <w:t>（二）递延所得税负债的计量</w:t>
      </w:r>
    </w:p>
    <w:p w14:paraId="3662AAFF">
      <w:pPr>
        <w:jc w:val="left"/>
        <w:rPr>
          <w:rFonts w:ascii="宋体" w:hAnsi="宋体" w:cs="宋体"/>
          <w:color w:val="FF0000"/>
        </w:rPr>
      </w:pPr>
      <w:r>
        <w:rPr>
          <w:rFonts w:hint="eastAsia" w:ascii="宋体" w:hAnsi="宋体" w:cs="宋体"/>
        </w:rPr>
        <w:t>递延所得税负债应以相关应纳税暂时性差异</w:t>
      </w:r>
      <w:r>
        <w:rPr>
          <w:rFonts w:hint="eastAsia" w:ascii="宋体" w:hAnsi="宋体" w:cs="宋体"/>
          <w:color w:val="FF0000"/>
        </w:rPr>
        <w:t>转回期间适用的所得税税率计量。</w:t>
      </w:r>
    </w:p>
    <w:p w14:paraId="51D06907">
      <w:pPr>
        <w:jc w:val="left"/>
        <w:rPr>
          <w:rFonts w:ascii="宋体" w:hAnsi="宋体" w:cs="宋体"/>
          <w:color w:val="FF0000"/>
        </w:rPr>
      </w:pPr>
      <w:r>
        <w:rPr>
          <w:rFonts w:hint="eastAsia" w:ascii="宋体" w:hAnsi="宋体" w:cs="宋体"/>
        </w:rPr>
        <w:t>无论应纳税暂时性差异的转回期间如何，递延所得税负债的确认</w:t>
      </w:r>
      <w:r>
        <w:rPr>
          <w:rFonts w:hint="eastAsia" w:ascii="宋体" w:hAnsi="宋体" w:cs="宋体"/>
          <w:color w:val="FF0000"/>
        </w:rPr>
        <w:t>不要求折现。</w:t>
      </w:r>
    </w:p>
    <w:p w14:paraId="24C2DC7B">
      <w:pPr>
        <w:jc w:val="left"/>
        <w:rPr>
          <w:rFonts w:ascii="宋体" w:hAnsi="宋体" w:cs="宋体"/>
          <w:color w:val="FF0000"/>
        </w:rPr>
      </w:pPr>
      <w:r>
        <w:rPr>
          <w:rFonts w:hint="eastAsia" w:ascii="宋体" w:hAnsi="宋体" w:cs="宋体"/>
          <w:color w:val="FF0000"/>
        </w:rPr>
        <w:t>二、递延所得税资产的确认和计量</w:t>
      </w:r>
    </w:p>
    <w:p w14:paraId="110F678C">
      <w:pPr>
        <w:jc w:val="left"/>
        <w:rPr>
          <w:rFonts w:ascii="宋体" w:hAnsi="宋体" w:cs="宋体"/>
          <w:color w:val="FF0000"/>
        </w:rPr>
      </w:pPr>
      <w:r>
        <w:rPr>
          <w:rFonts w:hint="eastAsia" w:ascii="宋体" w:hAnsi="宋体" w:cs="宋体"/>
          <w:color w:val="FF0000"/>
        </w:rPr>
        <w:t>（一）递延所得税资产的确认</w:t>
      </w:r>
    </w:p>
    <w:p w14:paraId="34F466B4">
      <w:pPr>
        <w:jc w:val="left"/>
        <w:rPr>
          <w:rFonts w:ascii="宋体" w:hAnsi="宋体" w:cs="宋体"/>
          <w:color w:val="FF0000"/>
        </w:rPr>
      </w:pPr>
      <w:r>
        <w:rPr>
          <w:rFonts w:hint="eastAsia" w:ascii="宋体" w:hAnsi="宋体" w:cs="宋体"/>
          <w:color w:val="FF0000"/>
        </w:rPr>
        <w:t>1、确认的一般原则</w:t>
      </w:r>
    </w:p>
    <w:p w14:paraId="2BD90E63">
      <w:pPr>
        <w:jc w:val="left"/>
        <w:rPr>
          <w:rFonts w:ascii="宋体" w:hAnsi="宋体" w:cs="宋体"/>
        </w:rPr>
      </w:pPr>
      <w:r>
        <w:rPr>
          <w:rFonts w:hint="eastAsia" w:ascii="宋体" w:hAnsi="宋体" w:cs="宋体"/>
        </w:rPr>
        <w:t>资产、负债的账面价值与其计税基础不同产生可抵扣暂时性差异的，在估计未来期间能够取得</w:t>
      </w:r>
      <w:r>
        <w:rPr>
          <w:rFonts w:hint="eastAsia" w:ascii="宋体" w:hAnsi="宋体" w:cs="宋体"/>
          <w:color w:val="FF0000"/>
        </w:rPr>
        <w:t>足够的</w:t>
      </w:r>
      <w:r>
        <w:rPr>
          <w:rFonts w:hint="eastAsia" w:ascii="宋体" w:hAnsi="宋体" w:cs="宋体"/>
        </w:rPr>
        <w:t>应纳税所得额用以利用该可抵扣暂时性差异时，应当以</w:t>
      </w:r>
      <w:r>
        <w:rPr>
          <w:rFonts w:hint="eastAsia" w:ascii="宋体" w:hAnsi="宋体" w:cs="宋体"/>
          <w:color w:val="FF0000"/>
        </w:rPr>
        <w:t>很可能</w:t>
      </w:r>
      <w:r>
        <w:rPr>
          <w:rFonts w:hint="eastAsia" w:ascii="宋体" w:hAnsi="宋体" w:cs="宋体"/>
        </w:rPr>
        <w:t>取得用来抵扣可抵扣暂时性差异的应纳税所得额</w:t>
      </w:r>
      <w:r>
        <w:rPr>
          <w:rFonts w:hint="eastAsia" w:ascii="宋体" w:hAnsi="宋体" w:cs="宋体"/>
          <w:color w:val="FF0000"/>
        </w:rPr>
        <w:t>为限，</w:t>
      </w:r>
      <w:r>
        <w:rPr>
          <w:rFonts w:hint="eastAsia" w:ascii="宋体" w:hAnsi="宋体" w:cs="宋体"/>
        </w:rPr>
        <w:t>确认相关递延所得税资产。</w:t>
      </w:r>
    </w:p>
    <w:p w14:paraId="324962F2">
      <w:pPr>
        <w:jc w:val="left"/>
        <w:rPr>
          <w:rFonts w:ascii="宋体" w:hAnsi="宋体" w:cs="宋体"/>
          <w:color w:val="FF0000"/>
        </w:rPr>
      </w:pPr>
      <w:r>
        <w:rPr>
          <w:rFonts w:hint="eastAsia" w:ascii="宋体" w:hAnsi="宋体" w:cs="宋体"/>
        </w:rPr>
        <w:t>（1）递延所得税资产的确认</w:t>
      </w:r>
      <w:r>
        <w:rPr>
          <w:rFonts w:hint="eastAsia" w:ascii="宋体" w:hAnsi="宋体" w:cs="宋体"/>
          <w:color w:val="FF0000"/>
        </w:rPr>
        <w:t xml:space="preserve">应以未来期间可能取得的应纳税所得额为限。 </w:t>
      </w:r>
    </w:p>
    <w:p w14:paraId="532A0D09">
      <w:pPr>
        <w:jc w:val="left"/>
        <w:rPr>
          <w:rFonts w:ascii="宋体" w:hAnsi="宋体" w:cs="宋体"/>
        </w:rPr>
      </w:pPr>
      <w:r>
        <w:rPr>
          <w:rFonts w:hint="eastAsia" w:ascii="宋体" w:hAnsi="宋体" w:cs="宋体"/>
        </w:rPr>
        <w:t>（2）按照税法规定可以</w:t>
      </w:r>
      <w:r>
        <w:rPr>
          <w:rFonts w:hint="eastAsia" w:ascii="宋体" w:hAnsi="宋体" w:cs="宋体"/>
          <w:color w:val="FF0000"/>
        </w:rPr>
        <w:t>结转以后年度的未弥补亏损和税款抵减，应视同可抵扣暂时性差异处理。</w:t>
      </w:r>
    </w:p>
    <w:p w14:paraId="18F46EEC">
      <w:pPr>
        <w:jc w:val="left"/>
        <w:rPr>
          <w:rFonts w:hint="eastAsia" w:ascii="宋体" w:hAnsi="宋体" w:cs="宋体"/>
        </w:rPr>
      </w:pPr>
      <w:r>
        <w:rPr>
          <w:rFonts w:hint="eastAsia" w:ascii="宋体" w:hAnsi="宋体" w:cs="宋体"/>
        </w:rPr>
        <w:t>在预计未来期间内能够取得足够的应纳税所得额时，</w:t>
      </w:r>
      <w:r>
        <w:rPr>
          <w:rFonts w:hint="eastAsia" w:ascii="宋体" w:hAnsi="宋体" w:cs="宋体"/>
          <w:color w:val="FF0000"/>
        </w:rPr>
        <w:t>应当</w:t>
      </w:r>
      <w:r>
        <w:rPr>
          <w:rFonts w:hint="eastAsia" w:ascii="宋体" w:hAnsi="宋体" w:cs="宋体"/>
        </w:rPr>
        <w:t>以很可能取得的应纳税所得额为限，确认相应的递延所得税资产（除特例外）。</w:t>
      </w:r>
    </w:p>
    <w:p w14:paraId="02EECBA9">
      <w:pPr>
        <w:jc w:val="left"/>
        <w:rPr>
          <w:rFonts w:hint="eastAsia" w:ascii="宋体" w:hAnsi="宋体" w:cs="宋体"/>
          <w:color w:val="FF0000"/>
        </w:rPr>
      </w:pPr>
      <w:r>
        <w:rPr>
          <w:rFonts w:hint="eastAsia" w:ascii="宋体" w:hAnsi="宋体" w:cs="宋体"/>
          <w:color w:val="FF0000"/>
        </w:rPr>
        <w:t>递延资产确认的一般原则</w:t>
      </w:r>
    </w:p>
    <w:p w14:paraId="003735C9">
      <w:pPr>
        <w:jc w:val="left"/>
        <w:rPr>
          <w:rFonts w:hint="eastAsia" w:ascii="宋体" w:hAnsi="宋体" w:cs="宋体"/>
        </w:rPr>
      </w:pPr>
      <w:r>
        <w:rPr>
          <w:rFonts w:hint="eastAsia" w:ascii="宋体" w:hAnsi="宋体" w:cs="宋体"/>
        </w:rPr>
        <w:drawing>
          <wp:inline distT="0" distB="0" distL="114300" distR="114300">
            <wp:extent cx="3749675" cy="2150745"/>
            <wp:effectExtent l="0" t="0" r="317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BEBA8EAE-BF5A-486C-A8C5-ECC9F3942E4B}">
                          <a14:imgProps xmlns:a14="http://schemas.microsoft.com/office/drawing/2010/main">
                            <a14:imgLayer r:embed="rId11">
                              <a14:imgEffect>
                                <a14:brightnessContrast bright="-99000"/>
                              </a14:imgEffect>
                            </a14:imgLayer>
                          </a14:imgProps>
                        </a:ext>
                      </a:extLst>
                    </a:blip>
                    <a:stretch>
                      <a:fillRect/>
                    </a:stretch>
                  </pic:blipFill>
                  <pic:spPr>
                    <a:xfrm>
                      <a:off x="0" y="0"/>
                      <a:ext cx="3764102" cy="2159309"/>
                    </a:xfrm>
                    <a:prstGeom prst="rect">
                      <a:avLst/>
                    </a:prstGeom>
                    <a:noFill/>
                    <a:ln>
                      <a:noFill/>
                    </a:ln>
                  </pic:spPr>
                </pic:pic>
              </a:graphicData>
            </a:graphic>
          </wp:inline>
        </w:drawing>
      </w:r>
    </w:p>
    <w:p w14:paraId="46FB2BE5">
      <w:pPr>
        <w:jc w:val="left"/>
        <w:rPr>
          <w:rFonts w:ascii="宋体" w:hAnsi="宋体" w:cs="宋体"/>
          <w:color w:val="FF0000"/>
        </w:rPr>
      </w:pPr>
      <w:r>
        <w:rPr>
          <w:rFonts w:hint="eastAsia" w:ascii="宋体" w:hAnsi="宋体" w:cs="宋体"/>
          <w:color w:val="FF0000"/>
        </w:rPr>
        <w:t>2、不确认递延所得税资产的特殊情况</w:t>
      </w:r>
    </w:p>
    <w:p w14:paraId="13B8EAD7">
      <w:pPr>
        <w:jc w:val="left"/>
        <w:rPr>
          <w:rFonts w:hint="eastAsia" w:ascii="宋体" w:hAnsi="宋体" w:cs="宋体"/>
          <w:color w:val="FF0000"/>
        </w:rPr>
      </w:pPr>
      <w:r>
        <w:rPr>
          <w:rFonts w:hint="eastAsia" w:ascii="宋体" w:hAnsi="宋体" w:cs="宋体"/>
        </w:rPr>
        <w:t>某些情况下，如果企业发生的某项交易或事项</w:t>
      </w:r>
      <w:r>
        <w:rPr>
          <w:rFonts w:hint="eastAsia" w:ascii="宋体" w:hAnsi="宋体" w:cs="宋体"/>
          <w:color w:val="FF0000"/>
        </w:rPr>
        <w:t>不是企业合并，</w:t>
      </w:r>
      <w:r>
        <w:rPr>
          <w:rFonts w:hint="eastAsia" w:ascii="宋体" w:hAnsi="宋体" w:cs="宋体"/>
        </w:rPr>
        <w:t>并且交易发生时既</w:t>
      </w:r>
      <w:r>
        <w:rPr>
          <w:rFonts w:hint="eastAsia" w:ascii="宋体" w:hAnsi="宋体" w:cs="宋体"/>
          <w:color w:val="FF0000"/>
        </w:rPr>
        <w:t>不影响会计利润</w:t>
      </w:r>
      <w:r>
        <w:rPr>
          <w:rFonts w:hint="eastAsia" w:ascii="宋体" w:hAnsi="宋体" w:cs="宋体"/>
        </w:rPr>
        <w:t>也</w:t>
      </w:r>
      <w:r>
        <w:rPr>
          <w:rFonts w:hint="eastAsia" w:ascii="宋体" w:hAnsi="宋体" w:cs="宋体"/>
          <w:color w:val="FF0000"/>
        </w:rPr>
        <w:t>不影响应纳税所得额，产生可抵扣暂时性差异的，不确认相应的递延所得税资产。</w:t>
      </w:r>
    </w:p>
    <w:p w14:paraId="5CC1E7D3">
      <w:pPr>
        <w:jc w:val="left"/>
        <w:rPr>
          <w:rFonts w:ascii="宋体" w:hAnsi="宋体" w:cs="宋体"/>
        </w:rPr>
      </w:pPr>
      <w:r>
        <w:rPr>
          <w:rFonts w:hint="eastAsia" w:ascii="宋体" w:hAnsi="宋体" w:cs="宋体"/>
          <w:color w:val="FF0000"/>
        </w:rPr>
        <w:t>【例17-13】</w:t>
      </w:r>
      <w:r>
        <w:rPr>
          <w:rFonts w:hint="eastAsia" w:ascii="宋体" w:hAnsi="宋体" w:cs="宋体"/>
        </w:rPr>
        <w:t>甲公司2023年发生资本化</w:t>
      </w:r>
      <w:r>
        <w:rPr>
          <w:rFonts w:hint="eastAsia" w:ascii="宋体" w:hAnsi="宋体" w:cs="宋体"/>
          <w:color w:val="FF0000"/>
        </w:rPr>
        <w:t>研究开发支出8 000 000元</w:t>
      </w:r>
      <w:r>
        <w:rPr>
          <w:rFonts w:hint="eastAsia" w:ascii="宋体" w:hAnsi="宋体" w:cs="宋体"/>
        </w:rPr>
        <w:t>，至年末研发项目</w:t>
      </w:r>
      <w:r>
        <w:rPr>
          <w:rFonts w:hint="eastAsia" w:ascii="宋体" w:hAnsi="宋体" w:cs="宋体"/>
          <w:color w:val="FF0000"/>
        </w:rPr>
        <w:t>尚未完成</w:t>
      </w:r>
      <w:r>
        <w:rPr>
          <w:rFonts w:hint="eastAsia" w:ascii="宋体" w:hAnsi="宋体" w:cs="宋体"/>
        </w:rPr>
        <w:t>。税法规定，按照会计准则规定资本化的开发支出按其</w:t>
      </w:r>
      <w:r>
        <w:rPr>
          <w:rFonts w:hint="eastAsia" w:ascii="宋体" w:hAnsi="宋体" w:cs="宋体"/>
          <w:color w:val="FF0000"/>
        </w:rPr>
        <w:t>200%</w:t>
      </w:r>
      <w:r>
        <w:rPr>
          <w:rFonts w:hint="eastAsia" w:ascii="宋体" w:hAnsi="宋体" w:cs="宋体"/>
        </w:rPr>
        <w:t>作为计算摊销额的基础。</w:t>
      </w:r>
    </w:p>
    <w:p w14:paraId="54E291A7">
      <w:pPr>
        <w:jc w:val="left"/>
        <w:rPr>
          <w:rFonts w:ascii="宋体" w:hAnsi="宋体" w:cs="宋体"/>
          <w:color w:val="FF0000"/>
        </w:rPr>
      </w:pPr>
      <w:r>
        <w:rPr>
          <w:rFonts w:hint="eastAsia" w:ascii="宋体" w:hAnsi="宋体" w:cs="宋体"/>
          <w:color w:val="FF0000"/>
        </w:rPr>
        <w:t>分析：</w:t>
      </w:r>
    </w:p>
    <w:p w14:paraId="5615B3B7">
      <w:pPr>
        <w:jc w:val="left"/>
        <w:rPr>
          <w:rFonts w:hint="eastAsia" w:ascii="宋体" w:hAnsi="宋体" w:cs="宋体"/>
        </w:rPr>
      </w:pPr>
      <w:r>
        <w:rPr>
          <w:rFonts w:hint="eastAsia" w:ascii="宋体" w:hAnsi="宋体" w:cs="宋体"/>
        </w:rPr>
        <w:t>甲公司按照会计准则规定资本化开发支出为</w:t>
      </w:r>
      <w:r>
        <w:rPr>
          <w:rFonts w:hint="eastAsia" w:ascii="宋体" w:hAnsi="宋体" w:cs="宋体"/>
          <w:color w:val="FF0000"/>
        </w:rPr>
        <w:t>8 000 000元</w:t>
      </w:r>
      <w:r>
        <w:rPr>
          <w:rFonts w:hint="eastAsia" w:ascii="宋体" w:hAnsi="宋体" w:cs="宋体"/>
        </w:rPr>
        <w:t>，其计税基础为</w:t>
      </w:r>
      <w:r>
        <w:rPr>
          <w:rFonts w:hint="eastAsia" w:ascii="宋体" w:hAnsi="宋体" w:cs="宋体"/>
          <w:color w:val="FF0000"/>
        </w:rPr>
        <w:t>16 000 000元（8 000 000×200%），</w:t>
      </w:r>
      <w:r>
        <w:rPr>
          <w:rFonts w:hint="eastAsia" w:ascii="宋体" w:hAnsi="宋体" w:cs="宋体"/>
        </w:rPr>
        <w:t>该开发支出及所形成无形资产在初始确认时其账面价值与计税基础即存在差异，因该差异并</w:t>
      </w:r>
      <w:r>
        <w:rPr>
          <w:rFonts w:hint="eastAsia" w:ascii="宋体" w:hAnsi="宋体" w:cs="宋体"/>
          <w:color w:val="FF0000"/>
        </w:rPr>
        <w:t>非产生于企业合并，同时在产生时既不影响会计利润也不影响应纳税所得额，</w:t>
      </w:r>
      <w:r>
        <w:rPr>
          <w:rFonts w:hint="eastAsia" w:ascii="宋体" w:hAnsi="宋体" w:cs="宋体"/>
        </w:rPr>
        <w:t>按照所得税准则规定，</w:t>
      </w:r>
      <w:r>
        <w:rPr>
          <w:rFonts w:hint="eastAsia" w:ascii="宋体" w:hAnsi="宋体" w:cs="宋体"/>
          <w:color w:val="FF0000"/>
        </w:rPr>
        <w:t>不确认</w:t>
      </w:r>
      <w:r>
        <w:rPr>
          <w:rFonts w:hint="eastAsia" w:ascii="宋体" w:hAnsi="宋体" w:cs="宋体"/>
        </w:rPr>
        <w:t>与该暂时性差异相关的所得税影响。</w:t>
      </w:r>
    </w:p>
    <w:p w14:paraId="50794D67">
      <w:pPr>
        <w:overflowPunct w:val="0"/>
        <w:jc w:val="center"/>
        <w:rPr>
          <w:rFonts w:ascii="宋体" w:hAnsi="宋体" w:cs="宋体"/>
          <w:b/>
          <w:bCs/>
        </w:rPr>
      </w:pPr>
      <w:r>
        <w:rPr>
          <w:rFonts w:hint="eastAsia" w:ascii="宋体" w:hAnsi="宋体" w:cs="宋体"/>
          <w:b/>
          <w:bCs/>
        </w:rPr>
        <w:t>第二节  递延所得税负债和递延所得税资产的确认与计量</w:t>
      </w:r>
    </w:p>
    <w:p w14:paraId="06556850">
      <w:pPr>
        <w:jc w:val="left"/>
        <w:rPr>
          <w:rFonts w:ascii="宋体" w:hAnsi="宋体" w:cs="宋体"/>
          <w:color w:val="FF0000"/>
        </w:rPr>
      </w:pPr>
      <w:r>
        <w:rPr>
          <w:rFonts w:hint="eastAsia" w:ascii="宋体" w:hAnsi="宋体" w:cs="宋体"/>
          <w:color w:val="FF0000"/>
        </w:rPr>
        <w:t>（二）递延所得税资产的计量</w:t>
      </w:r>
    </w:p>
    <w:p w14:paraId="6F213C1C">
      <w:pPr>
        <w:jc w:val="left"/>
        <w:rPr>
          <w:rFonts w:ascii="宋体" w:hAnsi="宋体" w:cs="宋体"/>
        </w:rPr>
      </w:pPr>
      <w:r>
        <w:rPr>
          <w:rFonts w:hint="eastAsia" w:ascii="宋体" w:hAnsi="宋体" w:cs="宋体"/>
        </w:rPr>
        <w:t>1、适用税率的确定。</w:t>
      </w:r>
    </w:p>
    <w:p w14:paraId="350DAABE">
      <w:pPr>
        <w:jc w:val="left"/>
        <w:rPr>
          <w:rFonts w:ascii="宋体" w:hAnsi="宋体" w:cs="宋体"/>
          <w:color w:val="FF0000"/>
        </w:rPr>
      </w:pPr>
      <w:r>
        <w:rPr>
          <w:rFonts w:hint="eastAsia" w:ascii="宋体" w:hAnsi="宋体" w:cs="宋体"/>
        </w:rPr>
        <w:t>确认递延所得税资产时，采用</w:t>
      </w:r>
      <w:r>
        <w:rPr>
          <w:rFonts w:hint="eastAsia" w:ascii="宋体" w:hAnsi="宋体" w:cs="宋体"/>
          <w:color w:val="FF0000"/>
        </w:rPr>
        <w:t>转回期间适用的所得税税率为基础计算确定。</w:t>
      </w:r>
    </w:p>
    <w:p w14:paraId="6FCE1A1B">
      <w:pPr>
        <w:jc w:val="left"/>
        <w:rPr>
          <w:rFonts w:ascii="宋体" w:hAnsi="宋体" w:cs="宋体"/>
        </w:rPr>
      </w:pPr>
      <w:r>
        <w:rPr>
          <w:rFonts w:hint="eastAsia" w:ascii="宋体" w:hAnsi="宋体" w:cs="宋体"/>
        </w:rPr>
        <w:t>递延所得税资产</w:t>
      </w:r>
      <w:r>
        <w:rPr>
          <w:rFonts w:hint="eastAsia" w:ascii="宋体" w:hAnsi="宋体" w:cs="宋体"/>
          <w:color w:val="FF0000"/>
        </w:rPr>
        <w:t>均不予折现。</w:t>
      </w:r>
    </w:p>
    <w:p w14:paraId="2FD7B344">
      <w:pPr>
        <w:jc w:val="left"/>
        <w:rPr>
          <w:rFonts w:ascii="宋体" w:hAnsi="宋体" w:cs="宋体"/>
          <w:color w:val="FF0000"/>
        </w:rPr>
      </w:pPr>
      <w:r>
        <w:rPr>
          <w:rFonts w:hint="eastAsia" w:ascii="宋体" w:hAnsi="宋体" w:cs="宋体"/>
          <w:color w:val="FF0000"/>
        </w:rPr>
        <w:t>2、递延所得税资产的减值</w:t>
      </w:r>
    </w:p>
    <w:p w14:paraId="39F6E548">
      <w:pPr>
        <w:jc w:val="left"/>
        <w:rPr>
          <w:rFonts w:ascii="宋体" w:hAnsi="宋体" w:cs="宋体"/>
        </w:rPr>
      </w:pPr>
      <w:r>
        <w:rPr>
          <w:rFonts w:hint="eastAsia" w:ascii="宋体" w:hAnsi="宋体" w:cs="宋体"/>
        </w:rPr>
        <w:t>资产负债表日，企业应当对</w:t>
      </w:r>
      <w:r>
        <w:rPr>
          <w:rFonts w:hint="eastAsia" w:ascii="宋体" w:hAnsi="宋体" w:cs="宋体"/>
          <w:color w:val="FF0000"/>
        </w:rPr>
        <w:t>递延所得税资产的账面价值进行复核。</w:t>
      </w:r>
      <w:r>
        <w:rPr>
          <w:rFonts w:hint="eastAsia" w:ascii="宋体" w:hAnsi="宋体" w:cs="宋体"/>
        </w:rPr>
        <w:t>如果未来期间</w:t>
      </w:r>
      <w:r>
        <w:rPr>
          <w:rFonts w:hint="eastAsia" w:ascii="宋体" w:hAnsi="宋体" w:cs="宋体"/>
          <w:color w:val="FF0000"/>
        </w:rPr>
        <w:t>很可能无法取</w:t>
      </w:r>
      <w:r>
        <w:rPr>
          <w:rFonts w:hint="eastAsia" w:ascii="宋体" w:hAnsi="宋体" w:cs="宋体"/>
        </w:rPr>
        <w:t>得足够的应纳税所得额用以利用可抵扣暂时性差异带来的利益，应当减记递延所得税资产的账面价值。</w:t>
      </w:r>
    </w:p>
    <w:p w14:paraId="1DA3374B">
      <w:pPr>
        <w:jc w:val="left"/>
        <w:rPr>
          <w:rFonts w:ascii="宋体" w:hAnsi="宋体" w:cs="宋体"/>
          <w:color w:val="FF0000"/>
        </w:rPr>
      </w:pPr>
      <w:r>
        <w:rPr>
          <w:rFonts w:hint="eastAsia" w:ascii="宋体" w:hAnsi="宋体" w:cs="宋体"/>
          <w:color w:val="FF0000"/>
        </w:rPr>
        <w:t>借：所得税费用</w:t>
      </w:r>
    </w:p>
    <w:p w14:paraId="50FB4FA2">
      <w:pPr>
        <w:jc w:val="left"/>
        <w:rPr>
          <w:rFonts w:ascii="宋体" w:hAnsi="宋体" w:cs="宋体"/>
          <w:color w:val="FF0000"/>
        </w:rPr>
      </w:pPr>
      <w:r>
        <w:rPr>
          <w:rFonts w:hint="eastAsia" w:ascii="宋体" w:hAnsi="宋体" w:cs="宋体"/>
          <w:color w:val="FF0000"/>
        </w:rPr>
        <w:t xml:space="preserve">  贷：递延所得税资产</w:t>
      </w:r>
    </w:p>
    <w:p w14:paraId="2A47EE86">
      <w:pPr>
        <w:jc w:val="left"/>
        <w:rPr>
          <w:rFonts w:ascii="宋体" w:hAnsi="宋体" w:cs="宋体"/>
          <w:color w:val="FF0000"/>
        </w:rPr>
      </w:pPr>
      <w:r>
        <w:rPr>
          <w:rFonts w:hint="eastAsia" w:ascii="宋体" w:hAnsi="宋体" w:cs="宋体"/>
        </w:rPr>
        <w:t>递延所得税资产的账面价值减记以后，</w:t>
      </w:r>
      <w:r>
        <w:rPr>
          <w:rFonts w:hint="eastAsia" w:ascii="宋体" w:hAnsi="宋体" w:cs="宋体"/>
          <w:color w:val="FF0000"/>
        </w:rPr>
        <w:t>继后期</w:t>
      </w:r>
      <w:r>
        <w:rPr>
          <w:rFonts w:hint="eastAsia" w:ascii="宋体" w:hAnsi="宋体" w:cs="宋体"/>
        </w:rPr>
        <w:t>间根据新的环境和情况判断能够</w:t>
      </w:r>
      <w:r>
        <w:rPr>
          <w:rFonts w:hint="eastAsia" w:ascii="宋体" w:hAnsi="宋体" w:cs="宋体"/>
          <w:color w:val="FF0000"/>
        </w:rPr>
        <w:t>产生足够</w:t>
      </w:r>
      <w:r>
        <w:rPr>
          <w:rFonts w:hint="eastAsia" w:ascii="宋体" w:hAnsi="宋体" w:cs="宋体"/>
        </w:rPr>
        <w:t>的应纳税所得额利用可抵扣暂时性差异，使得递延所得税资产</w:t>
      </w:r>
      <w:r>
        <w:rPr>
          <w:rFonts w:hint="eastAsia" w:ascii="宋体" w:hAnsi="宋体" w:cs="宋体"/>
          <w:color w:val="FF0000"/>
        </w:rPr>
        <w:t>包含的经济利益能够实现的，应相应恢复递延所得税资产的账面价值</w:t>
      </w:r>
    </w:p>
    <w:p w14:paraId="6C648ADA">
      <w:pPr>
        <w:jc w:val="left"/>
        <w:rPr>
          <w:rFonts w:ascii="宋体" w:hAnsi="宋体" w:cs="宋体"/>
          <w:color w:val="FF0000"/>
        </w:rPr>
      </w:pPr>
      <w:r>
        <w:rPr>
          <w:rFonts w:hint="eastAsia" w:ascii="宋体" w:hAnsi="宋体" w:cs="宋体"/>
          <w:color w:val="FF0000"/>
        </w:rPr>
        <w:t>借：递延所得税资产</w:t>
      </w:r>
    </w:p>
    <w:p w14:paraId="21D3696B">
      <w:pPr>
        <w:jc w:val="left"/>
        <w:rPr>
          <w:rFonts w:hint="eastAsia" w:ascii="宋体" w:hAnsi="宋体" w:cs="宋体"/>
          <w:color w:val="FF0000"/>
        </w:rPr>
      </w:pPr>
      <w:r>
        <w:rPr>
          <w:rFonts w:hint="eastAsia" w:ascii="宋体" w:hAnsi="宋体" w:cs="宋体"/>
          <w:color w:val="FF0000"/>
        </w:rPr>
        <w:t xml:space="preserve">   贷：所得税费用</w:t>
      </w:r>
    </w:p>
    <w:p w14:paraId="64CAC1CC">
      <w:pPr>
        <w:jc w:val="left"/>
        <w:rPr>
          <w:rFonts w:ascii="宋体" w:hAnsi="宋体" w:cs="宋体"/>
          <w:color w:val="FF0000"/>
        </w:rPr>
      </w:pPr>
      <w:r>
        <w:rPr>
          <w:rFonts w:hint="eastAsia" w:ascii="宋体" w:hAnsi="宋体" w:cs="宋体"/>
          <w:color w:val="FF0000"/>
        </w:rPr>
        <w:t>三、特定交易或事项中涉及递延所得税的确认</w:t>
      </w:r>
    </w:p>
    <w:p w14:paraId="44EB6E1E">
      <w:pPr>
        <w:jc w:val="left"/>
        <w:rPr>
          <w:rFonts w:ascii="宋体" w:hAnsi="宋体" w:cs="宋体"/>
        </w:rPr>
      </w:pPr>
      <w:r>
        <w:rPr>
          <w:rFonts w:hint="eastAsia" w:ascii="宋体" w:hAnsi="宋体" w:cs="宋体"/>
        </w:rPr>
        <w:t>与当期及以前期间直接计入所有者权益的交易或事项相关的当期所得税及递延所得税应当计入所有者权益。主要有：</w:t>
      </w:r>
    </w:p>
    <w:p w14:paraId="16CEDD39">
      <w:pPr>
        <w:jc w:val="left"/>
        <w:rPr>
          <w:rFonts w:ascii="宋体" w:hAnsi="宋体" w:cs="宋体"/>
          <w:color w:val="FF0000"/>
        </w:rPr>
      </w:pPr>
      <w:r>
        <w:rPr>
          <w:rFonts w:hint="eastAsia" w:ascii="宋体" w:hAnsi="宋体" w:cs="宋体"/>
        </w:rPr>
        <w:t>会计政策变更采用追溯调整法或对前期差错更正采用追溯重述法调整期初</w:t>
      </w:r>
      <w:r>
        <w:rPr>
          <w:rFonts w:hint="eastAsia" w:ascii="宋体" w:hAnsi="宋体" w:cs="宋体"/>
          <w:color w:val="FF0000"/>
        </w:rPr>
        <w:t>留存收益</w:t>
      </w:r>
    </w:p>
    <w:p w14:paraId="181B5333">
      <w:pPr>
        <w:jc w:val="left"/>
        <w:rPr>
          <w:rFonts w:ascii="宋体" w:hAnsi="宋体" w:cs="宋体"/>
        </w:rPr>
      </w:pPr>
      <w:r>
        <w:rPr>
          <w:rFonts w:hint="eastAsia" w:ascii="宋体" w:hAnsi="宋体" w:cs="宋体"/>
        </w:rPr>
        <w:t>以公允计量且其变动计入其他综合收益的金融资产公允价值变动计入所有者权益</w:t>
      </w:r>
      <w:r>
        <w:rPr>
          <w:rFonts w:hint="eastAsia" w:ascii="宋体" w:hAnsi="宋体" w:cs="宋体"/>
          <w:color w:val="FF0000"/>
        </w:rPr>
        <w:t>（其他综合收益）</w:t>
      </w:r>
    </w:p>
    <w:p w14:paraId="736153CA">
      <w:pPr>
        <w:jc w:val="left"/>
        <w:rPr>
          <w:rFonts w:hint="eastAsia" w:ascii="宋体" w:hAnsi="宋体" w:cs="宋体"/>
        </w:rPr>
      </w:pPr>
      <w:r>
        <w:rPr>
          <w:rFonts w:hint="eastAsia" w:ascii="宋体" w:hAnsi="宋体" w:cs="宋体"/>
        </w:rPr>
        <w:t>自用房地产转为采用公允模式时公允价值大于账面价值差额计入</w:t>
      </w:r>
      <w:r>
        <w:rPr>
          <w:rFonts w:hint="eastAsia" w:ascii="宋体" w:hAnsi="宋体" w:cs="宋体"/>
          <w:color w:val="FF0000"/>
        </w:rPr>
        <w:t xml:space="preserve">其他综合收益等。 </w:t>
      </w:r>
    </w:p>
    <w:p w14:paraId="04F70AB5">
      <w:pPr>
        <w:jc w:val="left"/>
        <w:rPr>
          <w:rFonts w:ascii="宋体" w:hAnsi="宋体" w:cs="宋体"/>
          <w:color w:val="FF0000"/>
        </w:rPr>
      </w:pPr>
      <w:r>
        <w:rPr>
          <w:rFonts w:hint="eastAsia" w:ascii="宋体" w:hAnsi="宋体" w:cs="宋体"/>
          <w:color w:val="FF0000"/>
        </w:rPr>
        <w:t>【例17-14】</w:t>
      </w:r>
      <w:r>
        <w:rPr>
          <w:rFonts w:hint="eastAsia" w:ascii="宋体" w:hAnsi="宋体" w:cs="宋体"/>
        </w:rPr>
        <w:t>甲公司于2024年4月自公开市场以</w:t>
      </w:r>
      <w:r>
        <w:rPr>
          <w:rFonts w:hint="eastAsia" w:ascii="宋体" w:hAnsi="宋体" w:cs="宋体"/>
          <w:color w:val="FF0000"/>
        </w:rPr>
        <w:t>每股6元</w:t>
      </w:r>
      <w:r>
        <w:rPr>
          <w:rFonts w:hint="eastAsia" w:ascii="宋体" w:hAnsi="宋体" w:cs="宋体"/>
        </w:rPr>
        <w:t>的价格取得A公司普通股</w:t>
      </w:r>
      <w:r>
        <w:rPr>
          <w:rFonts w:hint="eastAsia" w:ascii="宋体" w:hAnsi="宋体" w:cs="宋体"/>
          <w:color w:val="FF0000"/>
        </w:rPr>
        <w:t>200万股</w:t>
      </w:r>
      <w:r>
        <w:rPr>
          <w:rFonts w:hint="eastAsia" w:ascii="宋体" w:hAnsi="宋体" w:cs="宋体"/>
        </w:rPr>
        <w:t>，作为</w:t>
      </w:r>
      <w:r>
        <w:rPr>
          <w:rFonts w:hint="eastAsia" w:ascii="宋体" w:hAnsi="宋体" w:cs="宋体"/>
          <w:color w:val="FF0000"/>
        </w:rPr>
        <w:t>以公允价值计量且其变动计入其他综合收益的非交易性权益工具核算（假定不考虑交易费用）（1200万），</w:t>
      </w:r>
      <w:r>
        <w:rPr>
          <w:rFonts w:hint="eastAsia" w:ascii="宋体" w:hAnsi="宋体" w:cs="宋体"/>
        </w:rPr>
        <w:t>2024年12月31日，甲公司该股票投资尚未出售，当日市价</w:t>
      </w:r>
      <w:r>
        <w:rPr>
          <w:rFonts w:hint="eastAsia" w:ascii="宋体" w:hAnsi="宋体" w:cs="宋体"/>
          <w:color w:val="FF0000"/>
        </w:rPr>
        <w:t xml:space="preserve">为每股9元。（1800，+600，应纳税差异600，递延所得税负债150，其他综合收益150）  </w:t>
      </w:r>
    </w:p>
    <w:p w14:paraId="52C1C35F">
      <w:pPr>
        <w:jc w:val="left"/>
        <w:rPr>
          <w:rFonts w:hint="eastAsia" w:ascii="宋体" w:hAnsi="宋体" w:cs="宋体"/>
        </w:rPr>
      </w:pPr>
      <w:r>
        <w:rPr>
          <w:rFonts w:hint="eastAsia" w:ascii="宋体" w:hAnsi="宋体" w:cs="宋体"/>
        </w:rPr>
        <w:t>按照税法规定，资产在持有期间的公允价值的变动不计入应纳税所得额，待处置时一并计算应计入应纳税所得额。甲公司适用的所得税税率为25%，假定在未来期间不会发生变化。</w:t>
      </w:r>
    </w:p>
    <w:p w14:paraId="32D5E77B">
      <w:pPr>
        <w:jc w:val="left"/>
        <w:rPr>
          <w:rFonts w:ascii="宋体" w:hAnsi="宋体" w:cs="宋体"/>
        </w:rPr>
      </w:pPr>
      <w:r>
        <w:rPr>
          <w:rFonts w:hint="eastAsia" w:ascii="宋体" w:hAnsi="宋体" w:cs="宋体"/>
        </w:rPr>
        <w:t>甲公司在期末应进行的会计处理：</w:t>
      </w:r>
    </w:p>
    <w:p w14:paraId="5740597B">
      <w:pPr>
        <w:jc w:val="left"/>
        <w:rPr>
          <w:rFonts w:ascii="宋体" w:hAnsi="宋体" w:cs="宋体"/>
        </w:rPr>
      </w:pPr>
      <w:r>
        <w:rPr>
          <w:rFonts w:hint="eastAsia" w:ascii="宋体" w:hAnsi="宋体" w:cs="宋体"/>
        </w:rPr>
        <w:t>借：其他权益工具投资——公允价值变动　600</w:t>
      </w:r>
    </w:p>
    <w:p w14:paraId="0CC08CE6">
      <w:pPr>
        <w:jc w:val="left"/>
        <w:rPr>
          <w:rFonts w:ascii="宋体" w:hAnsi="宋体" w:cs="宋体"/>
          <w:color w:val="FF0000"/>
        </w:rPr>
      </w:pPr>
      <w:r>
        <w:rPr>
          <w:rFonts w:hint="eastAsia" w:ascii="宋体" w:hAnsi="宋体" w:cs="宋体"/>
        </w:rPr>
        <w:t>　　</w:t>
      </w:r>
      <w:r>
        <w:rPr>
          <w:rFonts w:hint="eastAsia" w:ascii="宋体" w:hAnsi="宋体" w:cs="宋体"/>
          <w:color w:val="FF0000"/>
        </w:rPr>
        <w:t>贷：其他综合收益　　               　　　      600</w:t>
      </w:r>
    </w:p>
    <w:p w14:paraId="5B331FA9">
      <w:pPr>
        <w:jc w:val="left"/>
        <w:rPr>
          <w:rFonts w:ascii="宋体" w:hAnsi="宋体" w:cs="宋体"/>
          <w:color w:val="FF0000"/>
        </w:rPr>
      </w:pPr>
      <w:r>
        <w:rPr>
          <w:rFonts w:hint="eastAsia" w:ascii="宋体" w:hAnsi="宋体" w:cs="宋体"/>
          <w:color w:val="FF0000"/>
        </w:rPr>
        <w:t>借：其他综合收益　　　　   150</w:t>
      </w:r>
    </w:p>
    <w:p w14:paraId="7D60D373">
      <w:pPr>
        <w:jc w:val="left"/>
        <w:rPr>
          <w:rFonts w:hint="eastAsia" w:ascii="宋体" w:hAnsi="宋体" w:cs="宋体"/>
        </w:rPr>
      </w:pPr>
      <w:r>
        <w:rPr>
          <w:rFonts w:hint="eastAsia" w:ascii="宋体" w:hAnsi="宋体" w:cs="宋体"/>
        </w:rPr>
        <w:t>　　贷：递延所得税负债　　 　 150</w:t>
      </w:r>
    </w:p>
    <w:p w14:paraId="5AD25F14">
      <w:pPr>
        <w:jc w:val="left"/>
        <w:rPr>
          <w:rFonts w:ascii="宋体" w:hAnsi="宋体" w:cs="宋体"/>
        </w:rPr>
      </w:pPr>
      <w:r>
        <w:rPr>
          <w:rFonts w:hint="eastAsia" w:ascii="宋体" w:hAnsi="宋体" w:cs="宋体"/>
        </w:rPr>
        <w:t>假定甲公司以</w:t>
      </w:r>
      <w:r>
        <w:rPr>
          <w:rFonts w:hint="eastAsia" w:ascii="宋体" w:hAnsi="宋体" w:cs="宋体"/>
          <w:color w:val="FF0000"/>
        </w:rPr>
        <w:t>每股11元</w:t>
      </w:r>
      <w:r>
        <w:rPr>
          <w:rFonts w:hint="eastAsia" w:ascii="宋体" w:hAnsi="宋体" w:cs="宋体"/>
        </w:rPr>
        <w:t>的价格将该股票于2025年</w:t>
      </w:r>
      <w:r>
        <w:rPr>
          <w:rFonts w:hint="eastAsia" w:ascii="宋体" w:hAnsi="宋体" w:cs="宋体"/>
          <w:color w:val="FF0000"/>
        </w:rPr>
        <w:t>对外出售</w:t>
      </w:r>
      <w:r>
        <w:rPr>
          <w:rFonts w:hint="eastAsia" w:ascii="宋体" w:hAnsi="宋体" w:cs="宋体"/>
        </w:rPr>
        <w:t>，结转该股票出售损益时：</w:t>
      </w:r>
    </w:p>
    <w:p w14:paraId="02DD43FA">
      <w:pPr>
        <w:jc w:val="left"/>
        <w:rPr>
          <w:rFonts w:ascii="宋体" w:hAnsi="宋体" w:cs="宋体"/>
        </w:rPr>
      </w:pPr>
      <w:r>
        <w:rPr>
          <w:rFonts w:hint="eastAsia" w:ascii="宋体" w:hAnsi="宋体" w:cs="宋体"/>
        </w:rPr>
        <w:t>借：银行存款                    22 000 000</w:t>
      </w:r>
    </w:p>
    <w:p w14:paraId="43021F1F">
      <w:pPr>
        <w:jc w:val="left"/>
        <w:rPr>
          <w:rFonts w:ascii="宋体" w:hAnsi="宋体" w:cs="宋体"/>
        </w:rPr>
      </w:pPr>
      <w:r>
        <w:rPr>
          <w:rFonts w:hint="eastAsia" w:ascii="宋体" w:hAnsi="宋体" w:cs="宋体"/>
        </w:rPr>
        <w:t>　　贷：其他权益工具投资                18 000 000</w:t>
      </w:r>
    </w:p>
    <w:p w14:paraId="4F403C8D">
      <w:pPr>
        <w:jc w:val="left"/>
        <w:rPr>
          <w:rFonts w:ascii="宋体" w:hAnsi="宋体" w:cs="宋体"/>
          <w:color w:val="FF0000"/>
        </w:rPr>
      </w:pPr>
      <w:r>
        <w:rPr>
          <w:rFonts w:hint="eastAsia" w:ascii="宋体" w:hAnsi="宋体" w:cs="宋体"/>
        </w:rPr>
        <w:t xml:space="preserve">        </w:t>
      </w:r>
      <w:r>
        <w:rPr>
          <w:rFonts w:hint="eastAsia" w:ascii="宋体" w:hAnsi="宋体" w:cs="宋体"/>
          <w:color w:val="FF0000"/>
        </w:rPr>
        <w:t>利润分配——未分配利润     4 000 000</w:t>
      </w:r>
    </w:p>
    <w:p w14:paraId="0E05B983">
      <w:pPr>
        <w:jc w:val="left"/>
        <w:rPr>
          <w:rFonts w:ascii="宋体" w:hAnsi="宋体" w:cs="宋体"/>
        </w:rPr>
      </w:pPr>
      <w:r>
        <w:rPr>
          <w:rFonts w:hint="eastAsia" w:ascii="宋体" w:hAnsi="宋体" w:cs="宋体"/>
        </w:rPr>
        <w:t>借：其他综合收益              4 500 000</w:t>
      </w:r>
    </w:p>
    <w:p w14:paraId="33F64528">
      <w:pPr>
        <w:jc w:val="left"/>
        <w:rPr>
          <w:rFonts w:ascii="宋体" w:hAnsi="宋体" w:cs="宋体"/>
        </w:rPr>
      </w:pPr>
      <w:r>
        <w:rPr>
          <w:rFonts w:hint="eastAsia" w:ascii="宋体" w:hAnsi="宋体" w:cs="宋体"/>
        </w:rPr>
        <w:t>　　递延所得税负债          1 500 000</w:t>
      </w:r>
    </w:p>
    <w:p w14:paraId="39452BBF">
      <w:pPr>
        <w:jc w:val="left"/>
        <w:rPr>
          <w:rFonts w:hint="eastAsia" w:ascii="宋体" w:hAnsi="宋体" w:cs="宋体"/>
          <w:color w:val="FF0000"/>
        </w:rPr>
      </w:pPr>
      <w:r>
        <w:rPr>
          <w:rFonts w:hint="eastAsia" w:ascii="宋体" w:hAnsi="宋体" w:cs="宋体"/>
          <w:color w:val="FF0000"/>
        </w:rPr>
        <w:t>　　贷：利润分配——未分配利润     6 000 000</w:t>
      </w:r>
    </w:p>
    <w:p w14:paraId="0F460D1A">
      <w:pPr>
        <w:jc w:val="left"/>
        <w:rPr>
          <w:rFonts w:ascii="宋体" w:hAnsi="宋体" w:cs="宋体"/>
          <w:color w:val="FF0000"/>
        </w:rPr>
      </w:pPr>
      <w:r>
        <w:rPr>
          <w:rFonts w:hint="eastAsia" w:ascii="宋体" w:hAnsi="宋体" w:cs="宋体"/>
          <w:color w:val="FF0000"/>
        </w:rPr>
        <w:t>四、所得税税率变化对递延所得税资产和递延所得税负债影响的确认与计量</w:t>
      </w:r>
    </w:p>
    <w:p w14:paraId="1ABB055D">
      <w:pPr>
        <w:jc w:val="left"/>
        <w:rPr>
          <w:rFonts w:hint="eastAsia" w:ascii="宋体" w:hAnsi="宋体" w:cs="宋体"/>
          <w:color w:val="FF0000"/>
        </w:rPr>
      </w:pPr>
      <w:r>
        <w:rPr>
          <w:rFonts w:hint="eastAsia" w:ascii="宋体" w:hAnsi="宋体" w:cs="宋体"/>
        </w:rPr>
        <w:t>因税收法规的变化，导致企业在某一会计期间适用的所得税税率发生变化的，企业应对已确认的递延所得税资产和递延所得税负债</w:t>
      </w:r>
      <w:r>
        <w:rPr>
          <w:rFonts w:hint="eastAsia" w:ascii="宋体" w:hAnsi="宋体" w:cs="宋体"/>
          <w:color w:val="FF0000"/>
        </w:rPr>
        <w:t>按照新的税率重新计量。</w:t>
      </w:r>
    </w:p>
    <w:p w14:paraId="3F5E3BA7">
      <w:pPr>
        <w:overflowPunct w:val="0"/>
        <w:jc w:val="left"/>
        <w:rPr>
          <w:rFonts w:ascii="宋体" w:hAnsi="宋体" w:cs="宋体"/>
        </w:rPr>
      </w:pPr>
    </w:p>
    <w:p w14:paraId="7F1EE2C6">
      <w:pPr>
        <w:jc w:val="left"/>
        <w:rPr>
          <w:rFonts w:ascii="宋体" w:hAnsi="宋体" w:cs="宋体"/>
        </w:rPr>
      </w:pPr>
      <w:r>
        <w:rPr>
          <w:rFonts w:hint="eastAsia" w:ascii="宋体" w:hAnsi="宋体" w:cs="宋体"/>
        </w:rPr>
        <w:t>【例-计算题】甲公司2025年年初递延所得税负债的余额为零，递延所得税资产的余额为30万元（系2024年年末应收账款的可抵扣暂时性差异产生）。甲公司2025年度有关交易和事项的会计处理中，与税法规定存在差异的有：</w:t>
      </w:r>
    </w:p>
    <w:p w14:paraId="135F895D">
      <w:pPr>
        <w:jc w:val="left"/>
        <w:rPr>
          <w:rFonts w:hint="eastAsia" w:ascii="宋体" w:hAnsi="宋体" w:cs="宋体"/>
        </w:rPr>
      </w:pPr>
      <w:r>
        <w:rPr>
          <w:rFonts w:hint="eastAsia" w:ascii="宋体" w:hAnsi="宋体" w:cs="宋体"/>
        </w:rPr>
        <w:t>资料一：2025年1月1日，购入一项非专利技术并立即用于生产A产品，成本为200万元，因无法合理预计其带来经济利益的期限，作为使用寿命不确定的无形资产核算。2025年12月31日，该资产并未发生减值，税法对该项无形资产按照10年的期限摊销，有关摊销额允许税前扣除。</w:t>
      </w:r>
    </w:p>
    <w:p w14:paraId="6F493FFA">
      <w:pPr>
        <w:jc w:val="left"/>
        <w:rPr>
          <w:rFonts w:hint="eastAsia" w:ascii="宋体" w:hAnsi="宋体" w:cs="宋体"/>
        </w:rPr>
      </w:pPr>
      <w:r>
        <w:rPr>
          <w:rFonts w:hint="eastAsia" w:ascii="宋体" w:hAnsi="宋体" w:cs="宋体"/>
        </w:rPr>
        <w:t>资料二：2025年1月1日，按面值购入当日发行的三年期国债1 000万元，作为债权投资核算。该债券票面利率为5%，每年年末付息一次，到期偿还面值。2025年12月31日，甲公司确认了50万元的利息收入。根据税法规定，国债利息收入免征企业所得税。</w:t>
      </w:r>
    </w:p>
    <w:p w14:paraId="7D9D9B9D">
      <w:pPr>
        <w:jc w:val="left"/>
        <w:rPr>
          <w:rFonts w:ascii="宋体" w:hAnsi="宋体" w:cs="宋体"/>
        </w:rPr>
      </w:pPr>
      <w:r>
        <w:rPr>
          <w:rFonts w:hint="eastAsia" w:ascii="宋体" w:hAnsi="宋体" w:cs="宋体"/>
        </w:rPr>
        <w:t>资料三：2025年12月31日，应收账款账面余额为10 000万元，减值测试前坏账准备的余额为200万元，减值测试后补提坏账准备100万元。根据税法规定，提取的坏账准备不允许税前扣除。</w:t>
      </w:r>
    </w:p>
    <w:p w14:paraId="524EC533">
      <w:pPr>
        <w:jc w:val="left"/>
        <w:rPr>
          <w:rFonts w:hint="eastAsia" w:ascii="宋体" w:hAnsi="宋体" w:cs="宋体"/>
        </w:rPr>
      </w:pPr>
      <w:r>
        <w:rPr>
          <w:rFonts w:hint="eastAsia" w:ascii="宋体" w:hAnsi="宋体" w:cs="宋体"/>
        </w:rPr>
        <w:t>资料四：2025年度，甲公司实现的利润总额为10 070万元，适用的所得税税率为15%；预计从2026年开始适用的所得税税率为25%，且未来期间保持不变。假定未来期间能够产生足够的应纳税所得额用以抵扣暂时性差异，不考虑其他因素。</w:t>
      </w:r>
    </w:p>
    <w:p w14:paraId="41544B9D">
      <w:pPr>
        <w:jc w:val="left"/>
        <w:rPr>
          <w:rFonts w:ascii="宋体" w:hAnsi="宋体" w:cs="宋体"/>
        </w:rPr>
      </w:pPr>
      <w:r>
        <w:rPr>
          <w:rFonts w:hint="eastAsia" w:ascii="宋体" w:hAnsi="宋体" w:cs="宋体"/>
        </w:rPr>
        <w:t>要求：</w:t>
      </w:r>
    </w:p>
    <w:p w14:paraId="416FB1E9">
      <w:pPr>
        <w:jc w:val="left"/>
        <w:rPr>
          <w:rFonts w:ascii="宋体" w:hAnsi="宋体" w:cs="宋体"/>
        </w:rPr>
      </w:pPr>
      <w:r>
        <w:rPr>
          <w:rFonts w:hint="eastAsia" w:ascii="宋体" w:hAnsi="宋体" w:cs="宋体"/>
        </w:rPr>
        <w:t>（1）分别计算甲公司2025年度应纳税所得额和应交所得税的金额。</w:t>
      </w:r>
    </w:p>
    <w:p w14:paraId="574ABB56">
      <w:pPr>
        <w:jc w:val="left"/>
        <w:rPr>
          <w:rFonts w:ascii="宋体" w:hAnsi="宋体" w:cs="宋体"/>
        </w:rPr>
      </w:pPr>
      <w:r>
        <w:rPr>
          <w:rFonts w:hint="eastAsia" w:ascii="宋体" w:hAnsi="宋体" w:cs="宋体"/>
        </w:rPr>
        <w:t>应纳税所得额＝10 070-200/10-50＋100</w:t>
      </w:r>
    </w:p>
    <w:p w14:paraId="0D964615">
      <w:pPr>
        <w:jc w:val="left"/>
        <w:rPr>
          <w:rFonts w:ascii="宋体" w:hAnsi="宋体" w:cs="宋体"/>
        </w:rPr>
      </w:pPr>
      <w:r>
        <w:rPr>
          <w:rFonts w:hint="eastAsia" w:ascii="宋体" w:hAnsi="宋体" w:cs="宋体"/>
        </w:rPr>
        <w:t xml:space="preserve">            ＝10 100（万元）</w:t>
      </w:r>
    </w:p>
    <w:p w14:paraId="24BDEE69">
      <w:pPr>
        <w:jc w:val="left"/>
        <w:rPr>
          <w:rFonts w:hint="eastAsia" w:ascii="宋体" w:hAnsi="宋体" w:cs="宋体"/>
        </w:rPr>
      </w:pPr>
      <w:r>
        <w:rPr>
          <w:rFonts w:hint="eastAsia" w:ascii="宋体" w:hAnsi="宋体" w:cs="宋体"/>
        </w:rPr>
        <w:t>应交税费＝10 100×15%＝1 515（万元）</w:t>
      </w:r>
    </w:p>
    <w:p w14:paraId="790F117B">
      <w:pPr>
        <w:jc w:val="left"/>
        <w:rPr>
          <w:rFonts w:ascii="宋体" w:hAnsi="宋体" w:cs="宋体"/>
        </w:rPr>
      </w:pPr>
      <w:r>
        <w:rPr>
          <w:rFonts w:hint="eastAsia" w:ascii="宋体" w:hAnsi="宋体" w:cs="宋体"/>
        </w:rPr>
        <w:t>（2）分别计算甲公司2025年年末资产负债表“递延所得税资产”、“递延所得税负债”项目“期末余额”栏应列示的金额。</w:t>
      </w:r>
    </w:p>
    <w:p w14:paraId="66A91D76">
      <w:pPr>
        <w:jc w:val="left"/>
        <w:rPr>
          <w:rFonts w:ascii="宋体" w:hAnsi="宋体" w:cs="宋体"/>
        </w:rPr>
      </w:pPr>
      <w:r>
        <w:rPr>
          <w:rFonts w:hint="eastAsia" w:ascii="宋体" w:hAnsi="宋体" w:cs="宋体"/>
        </w:rPr>
        <w:t>“递延所得税资产”期末余额＝期初余额30＋本期发生额45＝75（万元）</w:t>
      </w:r>
    </w:p>
    <w:p w14:paraId="6E7DAFE3">
      <w:pPr>
        <w:jc w:val="left"/>
        <w:rPr>
          <w:rFonts w:ascii="宋体" w:hAnsi="宋体" w:cs="宋体"/>
        </w:rPr>
      </w:pPr>
      <w:r>
        <w:rPr>
          <w:rFonts w:hint="eastAsia" w:ascii="宋体" w:hAnsi="宋体" w:cs="宋体"/>
        </w:rPr>
        <w:t>对期初递延所得税资产调整＝30/15% ×（25%-15%）</w:t>
      </w:r>
    </w:p>
    <w:p w14:paraId="4BE6D009">
      <w:pPr>
        <w:jc w:val="left"/>
        <w:rPr>
          <w:rFonts w:ascii="宋体" w:hAnsi="宋体" w:cs="宋体"/>
        </w:rPr>
      </w:pPr>
      <w:r>
        <w:rPr>
          <w:rFonts w:hint="eastAsia" w:ascii="宋体" w:hAnsi="宋体" w:cs="宋体"/>
        </w:rPr>
        <w:t>＝20（万元）；</w:t>
      </w:r>
    </w:p>
    <w:p w14:paraId="1509B3BA">
      <w:pPr>
        <w:jc w:val="left"/>
        <w:rPr>
          <w:rFonts w:ascii="宋体" w:hAnsi="宋体" w:cs="宋体"/>
        </w:rPr>
      </w:pPr>
      <w:r>
        <w:rPr>
          <w:rFonts w:hint="eastAsia" w:ascii="宋体" w:hAnsi="宋体" w:cs="宋体"/>
        </w:rPr>
        <w:t>本年递延所得税资产＝100×25%＝25（万元）；</w:t>
      </w:r>
    </w:p>
    <w:p w14:paraId="2300CB7F">
      <w:pPr>
        <w:jc w:val="left"/>
        <w:rPr>
          <w:rFonts w:ascii="宋体" w:hAnsi="宋体" w:cs="宋体"/>
        </w:rPr>
      </w:pPr>
      <w:r>
        <w:rPr>
          <w:rFonts w:hint="eastAsia" w:ascii="宋体" w:hAnsi="宋体" w:cs="宋体"/>
        </w:rPr>
        <w:t>合计本期发生额45万元。</w:t>
      </w:r>
    </w:p>
    <w:p w14:paraId="02516B1B">
      <w:pPr>
        <w:jc w:val="left"/>
        <w:rPr>
          <w:rFonts w:ascii="宋体" w:hAnsi="宋体" w:cs="宋体"/>
        </w:rPr>
      </w:pPr>
      <w:r>
        <w:rPr>
          <w:rFonts w:hint="eastAsia" w:ascii="宋体" w:hAnsi="宋体" w:cs="宋体"/>
        </w:rPr>
        <w:t>“递延所得税负债”期末余额</w:t>
      </w:r>
    </w:p>
    <w:p w14:paraId="7E0EBBDF">
      <w:pPr>
        <w:jc w:val="left"/>
        <w:rPr>
          <w:rFonts w:hint="eastAsia" w:ascii="宋体" w:hAnsi="宋体" w:cs="宋体"/>
        </w:rPr>
      </w:pPr>
      <w:r>
        <w:rPr>
          <w:rFonts w:hint="eastAsia" w:ascii="宋体" w:hAnsi="宋体" w:cs="宋体"/>
        </w:rPr>
        <w:t>＝期初余额0＋本期发生额200/10×25%＝5（万元）</w:t>
      </w:r>
    </w:p>
    <w:p w14:paraId="384BDFC9">
      <w:pPr>
        <w:jc w:val="left"/>
        <w:rPr>
          <w:rFonts w:ascii="宋体" w:hAnsi="宋体" w:cs="宋体"/>
        </w:rPr>
      </w:pPr>
      <w:r>
        <w:rPr>
          <w:rFonts w:hint="eastAsia" w:ascii="宋体" w:hAnsi="宋体" w:cs="宋体"/>
        </w:rPr>
        <w:t>（3）计算确定甲公司2025年度利润表“所得税费用”项目“本年金额”栏应列示的金额。</w:t>
      </w:r>
    </w:p>
    <w:p w14:paraId="24519CE5">
      <w:pPr>
        <w:jc w:val="left"/>
        <w:rPr>
          <w:rFonts w:ascii="宋体" w:hAnsi="宋体" w:cs="宋体"/>
        </w:rPr>
      </w:pPr>
      <w:r>
        <w:rPr>
          <w:rFonts w:hint="eastAsia" w:ascii="宋体" w:hAnsi="宋体" w:cs="宋体"/>
        </w:rPr>
        <w:t>所得税费用＝1 515-45＋5＝1 475（万元）</w:t>
      </w:r>
    </w:p>
    <w:p w14:paraId="68EC57E0">
      <w:pPr>
        <w:jc w:val="left"/>
        <w:rPr>
          <w:rFonts w:ascii="宋体" w:hAnsi="宋体" w:cs="宋体"/>
        </w:rPr>
      </w:pPr>
      <w:r>
        <w:rPr>
          <w:rFonts w:hint="eastAsia" w:ascii="宋体" w:hAnsi="宋体" w:cs="宋体"/>
        </w:rPr>
        <w:t>（4）编制甲公司与确认应交所得税、递延所得税资产、递延所得税负债和所得税费用相关的会计分录。</w:t>
      </w:r>
    </w:p>
    <w:p w14:paraId="6B0F67D6">
      <w:pPr>
        <w:jc w:val="left"/>
        <w:rPr>
          <w:rFonts w:ascii="宋体" w:hAnsi="宋体" w:cs="宋体"/>
        </w:rPr>
      </w:pPr>
      <w:r>
        <w:rPr>
          <w:rFonts w:hint="eastAsia" w:ascii="宋体" w:hAnsi="宋体" w:cs="宋体"/>
        </w:rPr>
        <w:t>借：所得税费用                           1 475</w:t>
      </w:r>
    </w:p>
    <w:p w14:paraId="3899293C">
      <w:pPr>
        <w:jc w:val="left"/>
        <w:rPr>
          <w:rFonts w:ascii="宋体" w:hAnsi="宋体" w:cs="宋体"/>
        </w:rPr>
      </w:pPr>
      <w:r>
        <w:rPr>
          <w:rFonts w:hint="eastAsia" w:ascii="宋体" w:hAnsi="宋体" w:cs="宋体"/>
        </w:rPr>
        <w:t>　　递延所得税资产                         45</w:t>
      </w:r>
    </w:p>
    <w:p w14:paraId="59B0D641">
      <w:pPr>
        <w:jc w:val="left"/>
        <w:rPr>
          <w:rFonts w:ascii="宋体" w:hAnsi="宋体" w:cs="宋体"/>
        </w:rPr>
      </w:pPr>
      <w:r>
        <w:rPr>
          <w:rFonts w:hint="eastAsia" w:ascii="宋体" w:hAnsi="宋体" w:cs="宋体"/>
        </w:rPr>
        <w:t>　　贷：应交税费——应交所得税        1 515</w:t>
      </w:r>
    </w:p>
    <w:p w14:paraId="26C20F7C">
      <w:pPr>
        <w:jc w:val="left"/>
        <w:rPr>
          <w:rFonts w:hint="eastAsia" w:ascii="宋体" w:hAnsi="宋体" w:cs="宋体"/>
        </w:rPr>
      </w:pPr>
      <w:r>
        <w:rPr>
          <w:rFonts w:hint="eastAsia" w:ascii="宋体" w:hAnsi="宋体" w:cs="宋体"/>
        </w:rPr>
        <w:t>　　　　递延所得税负债                        5</w:t>
      </w:r>
    </w:p>
    <w:p w14:paraId="2CFF38BD">
      <w:pPr>
        <w:overflowPunct w:val="0"/>
        <w:jc w:val="center"/>
        <w:rPr>
          <w:rFonts w:hint="eastAsia" w:ascii="宋体" w:hAnsi="宋体" w:cs="宋体"/>
          <w:b/>
          <w:bCs/>
        </w:rPr>
      </w:pPr>
      <w:r>
        <w:rPr>
          <w:rFonts w:hint="eastAsia" w:ascii="宋体" w:hAnsi="宋体" w:cs="宋体"/>
          <w:b/>
          <w:bCs/>
        </w:rPr>
        <w:t>第三节  所得税费用的确认和计量</w:t>
      </w:r>
    </w:p>
    <w:p w14:paraId="638F10A6">
      <w:pPr>
        <w:jc w:val="left"/>
        <w:rPr>
          <w:rFonts w:ascii="宋体" w:hAnsi="宋体" w:cs="宋体"/>
        </w:rPr>
      </w:pPr>
      <w:r>
        <w:rPr>
          <w:rFonts w:hint="eastAsia" w:ascii="宋体" w:hAnsi="宋体" w:cs="宋体"/>
        </w:rPr>
        <w:t>采用</w:t>
      </w:r>
      <w:r>
        <w:rPr>
          <w:rFonts w:hint="eastAsia" w:ascii="宋体" w:hAnsi="宋体" w:cs="宋体"/>
          <w:color w:val="FF0000"/>
        </w:rPr>
        <w:t>资产负债表债务法</w:t>
      </w:r>
      <w:r>
        <w:rPr>
          <w:rFonts w:hint="eastAsia" w:ascii="宋体" w:hAnsi="宋体" w:cs="宋体"/>
        </w:rPr>
        <w:t>核算所得税的情况下，利润表中的所得税费用由两个部分组成：</w:t>
      </w:r>
    </w:p>
    <w:p w14:paraId="7D14A2A0">
      <w:pPr>
        <w:jc w:val="left"/>
        <w:rPr>
          <w:rFonts w:ascii="宋体" w:hAnsi="宋体" w:cs="宋体"/>
          <w:color w:val="FF0000"/>
        </w:rPr>
      </w:pPr>
      <w:r>
        <w:rPr>
          <w:rFonts w:hint="eastAsia" w:ascii="宋体" w:hAnsi="宋体" w:cs="宋体"/>
          <w:color w:val="FF0000"/>
        </w:rPr>
        <w:t>当期所得税和递延所得税。</w:t>
      </w:r>
    </w:p>
    <w:p w14:paraId="4E62F7FB">
      <w:pPr>
        <w:jc w:val="left"/>
        <w:rPr>
          <w:rFonts w:ascii="宋体" w:hAnsi="宋体" w:cs="宋体"/>
          <w:color w:val="FF0000"/>
        </w:rPr>
      </w:pPr>
      <w:r>
        <w:rPr>
          <w:rFonts w:hint="eastAsia" w:ascii="宋体" w:hAnsi="宋体" w:cs="宋体"/>
          <w:color w:val="FF0000"/>
        </w:rPr>
        <w:t>一、当期所得税</w:t>
      </w:r>
    </w:p>
    <w:p w14:paraId="2168BDE6">
      <w:pPr>
        <w:jc w:val="left"/>
        <w:rPr>
          <w:rFonts w:ascii="宋体" w:hAnsi="宋体" w:cs="宋体"/>
          <w:color w:val="FF0000"/>
        </w:rPr>
      </w:pPr>
      <w:r>
        <w:rPr>
          <w:rFonts w:hint="eastAsia" w:ascii="宋体" w:hAnsi="宋体" w:cs="宋体"/>
          <w:color w:val="FF0000"/>
        </w:rPr>
        <w:t>应交所得税=应纳税所得额×所得税税率</w:t>
      </w:r>
    </w:p>
    <w:p w14:paraId="3154F96C">
      <w:pPr>
        <w:jc w:val="left"/>
        <w:rPr>
          <w:rFonts w:ascii="宋体" w:hAnsi="宋体" w:cs="宋体"/>
        </w:rPr>
      </w:pPr>
      <w:r>
        <w:rPr>
          <w:rFonts w:hint="eastAsia" w:ascii="宋体" w:hAnsi="宋体" w:cs="宋体"/>
        </w:rPr>
        <w:t>应纳税所得额</w:t>
      </w:r>
    </w:p>
    <w:p w14:paraId="5F09240C">
      <w:pPr>
        <w:jc w:val="left"/>
        <w:rPr>
          <w:rFonts w:hint="eastAsia" w:ascii="宋体" w:hAnsi="宋体" w:cs="宋体"/>
        </w:rPr>
      </w:pPr>
      <w:r>
        <w:rPr>
          <w:rFonts w:hint="eastAsia" w:ascii="宋体" w:hAnsi="宋体" w:cs="宋体"/>
        </w:rPr>
        <w:t>=税前会计利润+纳税调整增加额-纳税调整减少额</w:t>
      </w:r>
    </w:p>
    <w:p w14:paraId="6F5C552A">
      <w:pPr>
        <w:jc w:val="left"/>
        <w:rPr>
          <w:rFonts w:ascii="宋体" w:hAnsi="宋体" w:cs="宋体"/>
          <w:color w:val="FF0000"/>
        </w:rPr>
      </w:pPr>
      <w:r>
        <w:rPr>
          <w:rFonts w:hint="eastAsia" w:ascii="宋体" w:hAnsi="宋体" w:cs="宋体"/>
          <w:color w:val="FF0000"/>
        </w:rPr>
        <w:t>二、递延所得税费用（或收益）</w:t>
      </w:r>
    </w:p>
    <w:p w14:paraId="56B35770">
      <w:pPr>
        <w:jc w:val="left"/>
        <w:rPr>
          <w:rFonts w:ascii="宋体" w:hAnsi="宋体" w:cs="宋体"/>
        </w:rPr>
      </w:pPr>
      <w:r>
        <w:rPr>
          <w:rFonts w:hint="eastAsia" w:ascii="宋体" w:hAnsi="宋体" w:cs="宋体"/>
        </w:rPr>
        <w:t>递延所得税，是指企业在某一会计期间确认的</w:t>
      </w:r>
      <w:r>
        <w:rPr>
          <w:rFonts w:hint="eastAsia" w:ascii="宋体" w:hAnsi="宋体" w:cs="宋体"/>
          <w:color w:val="FF0000"/>
        </w:rPr>
        <w:t>递延所得税资产及递延所得税负债的综合结果。</w:t>
      </w:r>
    </w:p>
    <w:p w14:paraId="4CD96C0A">
      <w:pPr>
        <w:jc w:val="left"/>
        <w:rPr>
          <w:rFonts w:ascii="宋体" w:hAnsi="宋体" w:cs="宋体"/>
          <w:color w:val="FF0000"/>
        </w:rPr>
      </w:pPr>
      <w:r>
        <w:rPr>
          <w:rFonts w:hint="eastAsia" w:ascii="宋体" w:hAnsi="宋体" w:cs="宋体"/>
        </w:rPr>
        <w:t>递延所得税资产及递延所得税负债的</w:t>
      </w:r>
      <w:r>
        <w:rPr>
          <w:rFonts w:hint="eastAsia" w:ascii="宋体" w:hAnsi="宋体" w:cs="宋体"/>
          <w:color w:val="FF0000"/>
        </w:rPr>
        <w:t>当期发生额，但不包括计入所有者权益的交易或事项及企业合并的所得税影响。</w:t>
      </w:r>
    </w:p>
    <w:p w14:paraId="5921B1E3">
      <w:pPr>
        <w:jc w:val="left"/>
        <w:rPr>
          <w:rFonts w:ascii="宋体" w:hAnsi="宋体" w:cs="宋体"/>
        </w:rPr>
      </w:pPr>
      <w:r>
        <w:rPr>
          <w:rFonts w:hint="eastAsia" w:ascii="宋体" w:hAnsi="宋体" w:cs="宋体"/>
        </w:rPr>
        <w:t>递延递延所得税费用（或收益）</w:t>
      </w:r>
    </w:p>
    <w:p w14:paraId="6A2F5209">
      <w:pPr>
        <w:jc w:val="left"/>
        <w:rPr>
          <w:rFonts w:hint="eastAsia" w:ascii="宋体" w:hAnsi="宋体" w:cs="宋体"/>
        </w:rPr>
      </w:pPr>
      <w:r>
        <w:rPr>
          <w:rFonts w:hint="eastAsia" w:ascii="宋体" w:hAnsi="宋体" w:cs="宋体"/>
        </w:rPr>
        <w:t>=当期递延所得税</w:t>
      </w:r>
      <w:r>
        <w:rPr>
          <w:rFonts w:hint="eastAsia" w:ascii="宋体" w:hAnsi="宋体" w:cs="宋体"/>
          <w:color w:val="FF0000"/>
        </w:rPr>
        <w:t>负债的增加额</w:t>
      </w:r>
      <w:r>
        <w:rPr>
          <w:rFonts w:hint="eastAsia" w:ascii="宋体" w:hAnsi="宋体" w:cs="宋体"/>
        </w:rPr>
        <w:t>+当期递延所得税</w:t>
      </w:r>
      <w:r>
        <w:rPr>
          <w:rFonts w:hint="eastAsia" w:ascii="宋体" w:hAnsi="宋体" w:cs="宋体"/>
          <w:color w:val="FF0000"/>
        </w:rPr>
        <w:t>资产的减少额</w:t>
      </w:r>
      <w:r>
        <w:rPr>
          <w:rFonts w:hint="eastAsia" w:ascii="宋体" w:hAnsi="宋体" w:cs="宋体"/>
        </w:rPr>
        <w:t>-当期递延所得税</w:t>
      </w:r>
      <w:r>
        <w:rPr>
          <w:rFonts w:hint="eastAsia" w:ascii="宋体" w:hAnsi="宋体" w:cs="宋体"/>
          <w:color w:val="FF0000"/>
        </w:rPr>
        <w:t>负债的减少额</w:t>
      </w:r>
      <w:r>
        <w:rPr>
          <w:rFonts w:hint="eastAsia" w:ascii="宋体" w:hAnsi="宋体" w:cs="宋体"/>
        </w:rPr>
        <w:t>-当期递延所得税</w:t>
      </w:r>
      <w:r>
        <w:rPr>
          <w:rFonts w:hint="eastAsia" w:ascii="宋体" w:hAnsi="宋体" w:cs="宋体"/>
          <w:color w:val="FF0000"/>
        </w:rPr>
        <w:t>资产的增加额</w:t>
      </w:r>
    </w:p>
    <w:p w14:paraId="149F2D7C">
      <w:pPr>
        <w:jc w:val="left"/>
        <w:rPr>
          <w:rFonts w:hint="eastAsia" w:ascii="宋体" w:hAnsi="宋体" w:cs="宋体"/>
        </w:rPr>
      </w:pPr>
      <w:r>
        <w:rPr>
          <w:rFonts w:ascii="宋体" w:hAnsi="宋体" w:cs="宋体"/>
        </w:rPr>
        <w:drawing>
          <wp:inline distT="0" distB="0" distL="0" distR="0">
            <wp:extent cx="3075940" cy="1558925"/>
            <wp:effectExtent l="0" t="0" r="10160" b="3175"/>
            <wp:docPr id="1630750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0680" name="图片 1"/>
                    <pic:cNvPicPr>
                      <a:picLocks noChangeAspect="1"/>
                    </pic:cNvPicPr>
                  </pic:nvPicPr>
                  <pic:blipFill>
                    <a:blip r:embed="rId12"/>
                    <a:stretch>
                      <a:fillRect/>
                    </a:stretch>
                  </pic:blipFill>
                  <pic:spPr>
                    <a:xfrm>
                      <a:off x="0" y="0"/>
                      <a:ext cx="3098956" cy="1570588"/>
                    </a:xfrm>
                    <a:prstGeom prst="rect">
                      <a:avLst/>
                    </a:prstGeom>
                  </pic:spPr>
                </pic:pic>
              </a:graphicData>
            </a:graphic>
          </wp:inline>
        </w:drawing>
      </w:r>
    </w:p>
    <w:p w14:paraId="3FC34A5E">
      <w:pPr>
        <w:jc w:val="left"/>
        <w:rPr>
          <w:rFonts w:ascii="宋体" w:hAnsi="宋体" w:cs="宋体"/>
          <w:color w:val="FF0000"/>
        </w:rPr>
      </w:pPr>
      <w:r>
        <w:rPr>
          <w:rFonts w:hint="eastAsia" w:ascii="宋体" w:hAnsi="宋体" w:cs="宋体"/>
          <w:color w:val="FF0000"/>
        </w:rPr>
        <w:t>三、所得税费用</w:t>
      </w:r>
    </w:p>
    <w:p w14:paraId="4994ED56">
      <w:pPr>
        <w:jc w:val="left"/>
        <w:rPr>
          <w:rFonts w:ascii="宋体" w:hAnsi="宋体" w:cs="宋体"/>
        </w:rPr>
      </w:pPr>
      <w:r>
        <w:rPr>
          <w:rFonts w:hint="eastAsia" w:ascii="宋体" w:hAnsi="宋体" w:cs="宋体"/>
        </w:rPr>
        <w:t>计算确定了当期所得税及递延所得税以后，利润表中应予确认的所得税费用为</w:t>
      </w:r>
      <w:r>
        <w:rPr>
          <w:rFonts w:hint="eastAsia" w:ascii="宋体" w:hAnsi="宋体" w:cs="宋体"/>
          <w:color w:val="FF0000"/>
        </w:rPr>
        <w:t>两者之和</w:t>
      </w:r>
      <w:r>
        <w:rPr>
          <w:rFonts w:hint="eastAsia" w:ascii="宋体" w:hAnsi="宋体" w:cs="宋体"/>
        </w:rPr>
        <w:t>，即：</w:t>
      </w:r>
    </w:p>
    <w:p w14:paraId="710D6C01">
      <w:pPr>
        <w:jc w:val="left"/>
        <w:rPr>
          <w:rFonts w:ascii="宋体" w:hAnsi="宋体" w:cs="宋体"/>
          <w:color w:val="FF0000"/>
        </w:rPr>
      </w:pPr>
      <w:r>
        <w:rPr>
          <w:rFonts w:hint="eastAsia" w:ascii="宋体" w:hAnsi="宋体" w:cs="宋体"/>
          <w:color w:val="FF0000"/>
        </w:rPr>
        <w:t>所得税费用=当期所得税+递延所得税费用</w:t>
      </w:r>
    </w:p>
    <w:p w14:paraId="5BFEB074">
      <w:pPr>
        <w:jc w:val="left"/>
        <w:rPr>
          <w:rFonts w:ascii="宋体" w:hAnsi="宋体" w:cs="宋体"/>
          <w:color w:val="FF0000"/>
        </w:rPr>
      </w:pPr>
      <w:r>
        <w:rPr>
          <w:rFonts w:hint="eastAsia" w:ascii="宋体" w:hAnsi="宋体" w:cs="宋体"/>
        </w:rPr>
        <w:t>与直接计入所有者权益的交易或者事项相关的当期所得税和递延所得税，应当计入</w:t>
      </w:r>
      <w:r>
        <w:rPr>
          <w:rFonts w:hint="eastAsia" w:ascii="宋体" w:hAnsi="宋体" w:cs="宋体"/>
          <w:color w:val="FF0000"/>
        </w:rPr>
        <w:t xml:space="preserve">所有者权益。     </w:t>
      </w:r>
    </w:p>
    <w:p w14:paraId="540D4553">
      <w:pPr>
        <w:overflowPunct w:val="0"/>
        <w:jc w:val="left"/>
        <w:rPr>
          <w:rFonts w:ascii="宋体" w:hAnsi="宋体" w:cs="宋体"/>
        </w:rPr>
      </w:pPr>
    </w:p>
    <w:p w14:paraId="6C9F06D4">
      <w:pPr>
        <w:jc w:val="left"/>
        <w:rPr>
          <w:rFonts w:ascii="宋体" w:hAnsi="宋体" w:cs="宋体"/>
        </w:rPr>
      </w:pPr>
      <w:r>
        <w:rPr>
          <w:rFonts w:hint="eastAsia" w:ascii="宋体" w:hAnsi="宋体" w:cs="宋体"/>
        </w:rPr>
        <w:t>【例-计算题】甲公司2025年税前会计利润为100万元，所得税税率为25%，当年发生如下业务：</w:t>
      </w:r>
    </w:p>
    <w:p w14:paraId="3741D07C">
      <w:pPr>
        <w:jc w:val="left"/>
        <w:rPr>
          <w:rFonts w:ascii="宋体" w:hAnsi="宋体" w:cs="宋体"/>
        </w:rPr>
      </w:pPr>
      <w:r>
        <w:rPr>
          <w:rFonts w:hint="eastAsia" w:ascii="宋体" w:hAnsi="宋体" w:cs="宋体"/>
        </w:rPr>
        <w:t>（1）罚没支出10万元；</w:t>
      </w:r>
    </w:p>
    <w:p w14:paraId="690C4DED">
      <w:pPr>
        <w:jc w:val="left"/>
        <w:rPr>
          <w:rFonts w:ascii="宋体" w:hAnsi="宋体" w:cs="宋体"/>
        </w:rPr>
      </w:pPr>
      <w:r>
        <w:rPr>
          <w:rFonts w:hint="eastAsia" w:ascii="宋体" w:hAnsi="宋体" w:cs="宋体"/>
        </w:rPr>
        <w:t>（2）国债利息收入6万元；</w:t>
      </w:r>
    </w:p>
    <w:p w14:paraId="5DB2D8B3">
      <w:pPr>
        <w:jc w:val="left"/>
        <w:rPr>
          <w:rFonts w:hint="eastAsia" w:ascii="宋体" w:hAnsi="宋体" w:cs="宋体"/>
        </w:rPr>
      </w:pPr>
      <w:r>
        <w:rPr>
          <w:rFonts w:hint="eastAsia" w:ascii="宋体" w:hAnsi="宋体" w:cs="宋体"/>
        </w:rPr>
        <w:t>（3）2025年4月1日甲公司购入乙公司的股票，初始取得成本为200万元，划分为交易性金融资产，年末该股票的公允价值为230万元。</w:t>
      </w:r>
    </w:p>
    <w:p w14:paraId="2B072C8C">
      <w:pPr>
        <w:jc w:val="left"/>
        <w:rPr>
          <w:rFonts w:hint="eastAsia" w:ascii="宋体" w:hAnsi="宋体" w:cs="宋体"/>
        </w:rPr>
      </w:pPr>
      <w:r>
        <w:rPr>
          <w:rFonts w:hint="eastAsia" w:ascii="宋体" w:hAnsi="宋体" w:cs="宋体"/>
        </w:rPr>
        <w:t>（4）某销售部门用的固定资产自2024年初开始计提折旧，原价为200万元（税务上对此原价是认可的），假定无残值，会计上采用四年期、年数总和法计提折旧，税法上则采取5年期直线法计提折旧。</w:t>
      </w:r>
    </w:p>
    <w:p w14:paraId="5F46DAE9">
      <w:pPr>
        <w:jc w:val="left"/>
        <w:rPr>
          <w:rFonts w:hint="eastAsia" w:ascii="宋体" w:hAnsi="宋体" w:cs="宋体"/>
        </w:rPr>
      </w:pPr>
      <w:r>
        <w:rPr>
          <w:rFonts w:hint="eastAsia" w:ascii="宋体" w:hAnsi="宋体" w:cs="宋体"/>
        </w:rPr>
        <w:t>（5）2025年初甲公司开始自行研制某专利权，历时6个月研究成功投入使用，于2025年7月1日达到预计可使用状态，会计上采用5年期直线法摊销，假定无残值。该专利权在自行研发中耗费了50万元的研究费用、100万元的开发费用，假定此开发费用按新会计准则均符合资本化条件。另发生注册费、律师费100万元。税务上认可此专利权的分摊期限，但对研究开发费用追计100%。</w:t>
      </w:r>
    </w:p>
    <w:p w14:paraId="4DAAF4AF">
      <w:pPr>
        <w:jc w:val="left"/>
        <w:rPr>
          <w:rFonts w:ascii="宋体" w:hAnsi="宋体" w:cs="宋体"/>
        </w:rPr>
      </w:pPr>
      <w:r>
        <w:rPr>
          <w:rFonts w:hint="eastAsia" w:ascii="宋体" w:hAnsi="宋体" w:cs="宋体"/>
        </w:rPr>
        <w:t>（6）甲公司因产品质量担保确认了预计负债，年初余额为5万元，当年新提了3万元，支付了产品质量担保费用2.5万元。</w:t>
      </w:r>
    </w:p>
    <w:p w14:paraId="26DE720C">
      <w:pPr>
        <w:jc w:val="left"/>
        <w:rPr>
          <w:rFonts w:hint="eastAsia" w:ascii="宋体" w:hAnsi="宋体" w:cs="宋体"/>
        </w:rPr>
      </w:pPr>
      <w:r>
        <w:rPr>
          <w:rFonts w:hint="eastAsia" w:ascii="宋体" w:hAnsi="宋体" w:cs="宋体"/>
        </w:rPr>
        <w:t>根据以上资料，作出甲公司2025年所得税的会计处理。</w:t>
      </w:r>
    </w:p>
    <w:p w14:paraId="58DB69CB">
      <w:pPr>
        <w:jc w:val="left"/>
        <w:rPr>
          <w:rFonts w:ascii="宋体" w:hAnsi="宋体" w:cs="宋体"/>
        </w:rPr>
      </w:pPr>
      <w:r>
        <w:rPr>
          <w:rFonts w:hint="eastAsia" w:ascii="宋体" w:hAnsi="宋体" w:cs="宋体"/>
        </w:rPr>
        <w:t>答案：</w:t>
      </w:r>
    </w:p>
    <w:p w14:paraId="61A9A1C6">
      <w:pPr>
        <w:jc w:val="left"/>
        <w:rPr>
          <w:rFonts w:ascii="宋体" w:hAnsi="宋体" w:cs="宋体"/>
        </w:rPr>
      </w:pPr>
      <w:r>
        <w:rPr>
          <w:rFonts w:hint="eastAsia" w:ascii="宋体" w:hAnsi="宋体" w:cs="宋体"/>
        </w:rPr>
        <w:t xml:space="preserve">（1）首先判定暂时性差异 </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127"/>
        <w:gridCol w:w="1127"/>
        <w:gridCol w:w="1129"/>
        <w:gridCol w:w="1125"/>
        <w:gridCol w:w="1125"/>
        <w:gridCol w:w="920"/>
        <w:gridCol w:w="1332"/>
        <w:gridCol w:w="1123"/>
      </w:tblGrid>
      <w:tr w14:paraId="0DA2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tcPr>
          <w:p w14:paraId="36215CA3">
            <w:pPr>
              <w:overflowPunct w:val="0"/>
              <w:jc w:val="center"/>
              <w:rPr>
                <w:rFonts w:ascii="宋体" w:hAnsi="宋体" w:cs="宋体"/>
              </w:rPr>
            </w:pPr>
            <w:r>
              <w:rPr>
                <w:rFonts w:hint="eastAsia" w:ascii="宋体" w:hAnsi="宋体" w:cs="宋体"/>
              </w:rPr>
              <w:t>项目</w:t>
            </w:r>
          </w:p>
        </w:tc>
        <w:tc>
          <w:tcPr>
            <w:tcW w:w="1669" w:type="pct"/>
            <w:gridSpan w:val="3"/>
          </w:tcPr>
          <w:p w14:paraId="49BAF266">
            <w:pPr>
              <w:jc w:val="left"/>
              <w:rPr>
                <w:rFonts w:ascii="宋体" w:hAnsi="宋体" w:cs="宋体"/>
              </w:rPr>
            </w:pPr>
            <w:r>
              <w:rPr>
                <w:rFonts w:hint="eastAsia" w:ascii="宋体" w:hAnsi="宋体" w:cs="宋体"/>
              </w:rPr>
              <w:t>年初口径</w:t>
            </w:r>
          </w:p>
        </w:tc>
        <w:tc>
          <w:tcPr>
            <w:tcW w:w="1564" w:type="pct"/>
            <w:gridSpan w:val="3"/>
          </w:tcPr>
          <w:p w14:paraId="247A2257">
            <w:pPr>
              <w:jc w:val="left"/>
              <w:rPr>
                <w:rFonts w:ascii="宋体" w:hAnsi="宋体" w:cs="宋体"/>
              </w:rPr>
            </w:pPr>
            <w:r>
              <w:rPr>
                <w:rFonts w:hint="eastAsia" w:ascii="宋体" w:hAnsi="宋体" w:cs="宋体"/>
              </w:rPr>
              <w:t>年末口径</w:t>
            </w:r>
          </w:p>
        </w:tc>
        <w:tc>
          <w:tcPr>
            <w:tcW w:w="657" w:type="pct"/>
            <w:vMerge w:val="restart"/>
          </w:tcPr>
          <w:p w14:paraId="12FC4306">
            <w:pPr>
              <w:overflowPunct w:val="0"/>
              <w:jc w:val="center"/>
              <w:rPr>
                <w:rFonts w:ascii="宋体" w:hAnsi="宋体" w:cs="宋体"/>
              </w:rPr>
            </w:pPr>
            <w:r>
              <w:rPr>
                <w:rFonts w:hint="eastAsia" w:ascii="宋体" w:hAnsi="宋体" w:cs="宋体"/>
              </w:rPr>
              <w:t>差异类型</w:t>
            </w:r>
          </w:p>
        </w:tc>
        <w:tc>
          <w:tcPr>
            <w:tcW w:w="554" w:type="pct"/>
            <w:vMerge w:val="restart"/>
          </w:tcPr>
          <w:p w14:paraId="09D9FBC4">
            <w:pPr>
              <w:overflowPunct w:val="0"/>
              <w:jc w:val="center"/>
              <w:rPr>
                <w:rFonts w:ascii="宋体" w:hAnsi="宋体" w:cs="宋体"/>
              </w:rPr>
            </w:pPr>
            <w:r>
              <w:rPr>
                <w:rFonts w:hint="eastAsia" w:ascii="宋体" w:hAnsi="宋体" w:cs="宋体"/>
              </w:rPr>
              <w:t>差异变动</w:t>
            </w:r>
          </w:p>
          <w:p w14:paraId="27351963">
            <w:pPr>
              <w:overflowPunct w:val="0"/>
              <w:jc w:val="center"/>
              <w:rPr>
                <w:rFonts w:ascii="宋体" w:hAnsi="宋体" w:cs="宋体"/>
              </w:rPr>
            </w:pPr>
            <w:r>
              <w:rPr>
                <w:rFonts w:hint="eastAsia" w:ascii="宋体" w:hAnsi="宋体" w:cs="宋体"/>
              </w:rPr>
              <w:t>金额</w:t>
            </w:r>
          </w:p>
        </w:tc>
      </w:tr>
      <w:tr w14:paraId="6C1B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tcPr>
          <w:p w14:paraId="5B0E4B60">
            <w:pPr>
              <w:jc w:val="left"/>
              <w:rPr>
                <w:rFonts w:ascii="宋体" w:hAnsi="宋体" w:cs="宋体"/>
              </w:rPr>
            </w:pPr>
          </w:p>
        </w:tc>
        <w:tc>
          <w:tcPr>
            <w:tcW w:w="556" w:type="pct"/>
          </w:tcPr>
          <w:p w14:paraId="4EC6ED8A">
            <w:pPr>
              <w:overflowPunct w:val="0"/>
              <w:jc w:val="center"/>
              <w:rPr>
                <w:rFonts w:ascii="宋体" w:hAnsi="宋体" w:cs="宋体"/>
              </w:rPr>
            </w:pPr>
            <w:r>
              <w:rPr>
                <w:rFonts w:hint="eastAsia" w:ascii="宋体" w:hAnsi="宋体" w:cs="宋体"/>
              </w:rPr>
              <w:t>账面价值</w:t>
            </w:r>
          </w:p>
        </w:tc>
        <w:tc>
          <w:tcPr>
            <w:tcW w:w="556" w:type="pct"/>
          </w:tcPr>
          <w:p w14:paraId="07B3A7B5">
            <w:pPr>
              <w:overflowPunct w:val="0"/>
              <w:jc w:val="center"/>
              <w:rPr>
                <w:rFonts w:ascii="宋体" w:hAnsi="宋体" w:cs="宋体"/>
              </w:rPr>
            </w:pPr>
            <w:r>
              <w:rPr>
                <w:rFonts w:hint="eastAsia" w:ascii="宋体" w:hAnsi="宋体" w:cs="宋体"/>
              </w:rPr>
              <w:t>计税基础</w:t>
            </w:r>
          </w:p>
        </w:tc>
        <w:tc>
          <w:tcPr>
            <w:tcW w:w="557" w:type="pct"/>
          </w:tcPr>
          <w:p w14:paraId="3C1AED14">
            <w:pPr>
              <w:overflowPunct w:val="0"/>
              <w:jc w:val="center"/>
              <w:rPr>
                <w:rFonts w:ascii="宋体" w:hAnsi="宋体" w:cs="宋体"/>
              </w:rPr>
            </w:pPr>
            <w:r>
              <w:rPr>
                <w:rFonts w:hint="eastAsia" w:ascii="宋体" w:hAnsi="宋体" w:cs="宋体"/>
              </w:rPr>
              <w:t>差异</w:t>
            </w:r>
          </w:p>
        </w:tc>
        <w:tc>
          <w:tcPr>
            <w:tcW w:w="555" w:type="pct"/>
          </w:tcPr>
          <w:p w14:paraId="18157AAD">
            <w:pPr>
              <w:overflowPunct w:val="0"/>
              <w:jc w:val="center"/>
              <w:rPr>
                <w:rFonts w:ascii="宋体" w:hAnsi="宋体" w:cs="宋体"/>
              </w:rPr>
            </w:pPr>
            <w:r>
              <w:rPr>
                <w:rFonts w:hint="eastAsia" w:ascii="宋体" w:hAnsi="宋体" w:cs="宋体"/>
              </w:rPr>
              <w:t>账面价值</w:t>
            </w:r>
          </w:p>
        </w:tc>
        <w:tc>
          <w:tcPr>
            <w:tcW w:w="555" w:type="pct"/>
          </w:tcPr>
          <w:p w14:paraId="3EF8B9E9">
            <w:pPr>
              <w:overflowPunct w:val="0"/>
              <w:jc w:val="center"/>
              <w:rPr>
                <w:rFonts w:ascii="宋体" w:hAnsi="宋体" w:cs="宋体"/>
              </w:rPr>
            </w:pPr>
            <w:r>
              <w:rPr>
                <w:rFonts w:hint="eastAsia" w:ascii="宋体" w:hAnsi="宋体" w:cs="宋体"/>
              </w:rPr>
              <w:t>计税基础</w:t>
            </w:r>
          </w:p>
        </w:tc>
        <w:tc>
          <w:tcPr>
            <w:tcW w:w="454" w:type="pct"/>
          </w:tcPr>
          <w:p w14:paraId="5A432B2D">
            <w:pPr>
              <w:overflowPunct w:val="0"/>
              <w:jc w:val="center"/>
              <w:rPr>
                <w:rFonts w:ascii="宋体" w:hAnsi="宋体" w:cs="宋体"/>
              </w:rPr>
            </w:pPr>
            <w:r>
              <w:rPr>
                <w:rFonts w:hint="eastAsia" w:ascii="宋体" w:hAnsi="宋体" w:cs="宋体"/>
              </w:rPr>
              <w:t>差异</w:t>
            </w:r>
          </w:p>
        </w:tc>
        <w:tc>
          <w:tcPr>
            <w:tcW w:w="657" w:type="pct"/>
            <w:vMerge w:val="continue"/>
          </w:tcPr>
          <w:p w14:paraId="0E47A02F">
            <w:pPr>
              <w:jc w:val="left"/>
              <w:rPr>
                <w:rFonts w:ascii="宋体" w:hAnsi="宋体" w:cs="宋体"/>
              </w:rPr>
            </w:pPr>
          </w:p>
        </w:tc>
        <w:tc>
          <w:tcPr>
            <w:tcW w:w="554" w:type="pct"/>
            <w:vMerge w:val="continue"/>
          </w:tcPr>
          <w:p w14:paraId="5D00B896">
            <w:pPr>
              <w:jc w:val="left"/>
              <w:rPr>
                <w:rFonts w:ascii="宋体" w:hAnsi="宋体" w:cs="宋体"/>
              </w:rPr>
            </w:pPr>
          </w:p>
        </w:tc>
      </w:tr>
      <w:tr w14:paraId="21C6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70BA3CC3">
            <w:pPr>
              <w:overflowPunct w:val="0"/>
              <w:jc w:val="center"/>
              <w:rPr>
                <w:rFonts w:ascii="宋体" w:hAnsi="宋体" w:cs="宋体"/>
              </w:rPr>
            </w:pPr>
            <w:r>
              <w:rPr>
                <w:rFonts w:hint="eastAsia" w:ascii="宋体" w:hAnsi="宋体" w:cs="宋体"/>
              </w:rPr>
              <w:t>交易性</w:t>
            </w:r>
          </w:p>
          <w:p w14:paraId="6450CCBE">
            <w:pPr>
              <w:overflowPunct w:val="0"/>
              <w:jc w:val="center"/>
              <w:rPr>
                <w:rFonts w:ascii="宋体" w:hAnsi="宋体" w:cs="宋体"/>
              </w:rPr>
            </w:pPr>
            <w:r>
              <w:rPr>
                <w:rFonts w:hint="eastAsia" w:ascii="宋体" w:hAnsi="宋体" w:cs="宋体"/>
              </w:rPr>
              <w:t>金融资产</w:t>
            </w:r>
          </w:p>
        </w:tc>
        <w:tc>
          <w:tcPr>
            <w:tcW w:w="556" w:type="pct"/>
          </w:tcPr>
          <w:p w14:paraId="0985B2CC">
            <w:pPr>
              <w:overflowPunct w:val="0"/>
              <w:jc w:val="center"/>
              <w:rPr>
                <w:rFonts w:ascii="宋体" w:hAnsi="宋体" w:cs="宋体"/>
              </w:rPr>
            </w:pPr>
            <w:r>
              <w:rPr>
                <w:rFonts w:hint="eastAsia" w:ascii="宋体" w:hAnsi="宋体" w:cs="宋体"/>
              </w:rPr>
              <w:t>0</w:t>
            </w:r>
          </w:p>
        </w:tc>
        <w:tc>
          <w:tcPr>
            <w:tcW w:w="556" w:type="pct"/>
          </w:tcPr>
          <w:p w14:paraId="69A8F431">
            <w:pPr>
              <w:overflowPunct w:val="0"/>
              <w:jc w:val="center"/>
              <w:rPr>
                <w:rFonts w:ascii="宋体" w:hAnsi="宋体" w:cs="宋体"/>
              </w:rPr>
            </w:pPr>
            <w:r>
              <w:rPr>
                <w:rFonts w:hint="eastAsia" w:ascii="宋体" w:hAnsi="宋体" w:cs="宋体"/>
              </w:rPr>
              <w:t>0</w:t>
            </w:r>
          </w:p>
        </w:tc>
        <w:tc>
          <w:tcPr>
            <w:tcW w:w="557" w:type="pct"/>
          </w:tcPr>
          <w:p w14:paraId="2B1F0F05">
            <w:pPr>
              <w:overflowPunct w:val="0"/>
              <w:jc w:val="center"/>
              <w:rPr>
                <w:rFonts w:ascii="宋体" w:hAnsi="宋体" w:cs="宋体"/>
              </w:rPr>
            </w:pPr>
            <w:r>
              <w:rPr>
                <w:rFonts w:hint="eastAsia" w:ascii="宋体" w:hAnsi="宋体" w:cs="宋体"/>
              </w:rPr>
              <w:t>0</w:t>
            </w:r>
          </w:p>
        </w:tc>
        <w:tc>
          <w:tcPr>
            <w:tcW w:w="555" w:type="pct"/>
          </w:tcPr>
          <w:p w14:paraId="49998171">
            <w:pPr>
              <w:overflowPunct w:val="0"/>
              <w:jc w:val="center"/>
              <w:rPr>
                <w:rFonts w:ascii="宋体" w:hAnsi="宋体" w:cs="宋体"/>
              </w:rPr>
            </w:pPr>
            <w:r>
              <w:rPr>
                <w:rFonts w:hint="eastAsia" w:ascii="宋体" w:hAnsi="宋体" w:cs="宋体"/>
              </w:rPr>
              <w:t>230</w:t>
            </w:r>
          </w:p>
        </w:tc>
        <w:tc>
          <w:tcPr>
            <w:tcW w:w="555" w:type="pct"/>
          </w:tcPr>
          <w:p w14:paraId="12C237BC">
            <w:pPr>
              <w:overflowPunct w:val="0"/>
              <w:jc w:val="center"/>
              <w:rPr>
                <w:rFonts w:ascii="宋体" w:hAnsi="宋体" w:cs="宋体"/>
              </w:rPr>
            </w:pPr>
            <w:r>
              <w:rPr>
                <w:rFonts w:hint="eastAsia" w:ascii="宋体" w:hAnsi="宋体" w:cs="宋体"/>
              </w:rPr>
              <w:t>200</w:t>
            </w:r>
          </w:p>
        </w:tc>
        <w:tc>
          <w:tcPr>
            <w:tcW w:w="454" w:type="pct"/>
          </w:tcPr>
          <w:p w14:paraId="1028ED7E">
            <w:pPr>
              <w:overflowPunct w:val="0"/>
              <w:jc w:val="center"/>
              <w:rPr>
                <w:rFonts w:ascii="宋体" w:hAnsi="宋体" w:cs="宋体"/>
              </w:rPr>
            </w:pPr>
            <w:r>
              <w:rPr>
                <w:rFonts w:hint="eastAsia" w:ascii="宋体" w:hAnsi="宋体" w:cs="宋体"/>
              </w:rPr>
              <w:t>30</w:t>
            </w:r>
          </w:p>
        </w:tc>
        <w:tc>
          <w:tcPr>
            <w:tcW w:w="657" w:type="pct"/>
          </w:tcPr>
          <w:p w14:paraId="685AB6AB">
            <w:pPr>
              <w:overflowPunct w:val="0"/>
              <w:jc w:val="center"/>
              <w:rPr>
                <w:rFonts w:ascii="宋体" w:hAnsi="宋体" w:cs="宋体"/>
              </w:rPr>
            </w:pPr>
            <w:r>
              <w:rPr>
                <w:rFonts w:hint="eastAsia" w:ascii="宋体" w:hAnsi="宋体" w:cs="宋体"/>
              </w:rPr>
              <w:t>新增应纳税</w:t>
            </w:r>
            <w:r>
              <w:rPr>
                <w:rFonts w:hint="eastAsia" w:ascii="宋体" w:hAnsi="宋体" w:cs="宋体"/>
              </w:rPr>
              <w:br w:type="textWrapping"/>
            </w:r>
            <w:r>
              <w:rPr>
                <w:rFonts w:hint="eastAsia" w:ascii="宋体" w:hAnsi="宋体" w:cs="宋体"/>
              </w:rPr>
              <w:t>暂时性差异</w:t>
            </w:r>
          </w:p>
        </w:tc>
        <w:tc>
          <w:tcPr>
            <w:tcW w:w="554" w:type="pct"/>
          </w:tcPr>
          <w:p w14:paraId="55624B4A">
            <w:pPr>
              <w:overflowPunct w:val="0"/>
              <w:jc w:val="center"/>
              <w:rPr>
                <w:rFonts w:ascii="宋体" w:hAnsi="宋体" w:cs="宋体"/>
              </w:rPr>
            </w:pPr>
            <w:r>
              <w:rPr>
                <w:rFonts w:hint="eastAsia" w:ascii="宋体" w:hAnsi="宋体" w:cs="宋体"/>
              </w:rPr>
              <w:t>30</w:t>
            </w:r>
          </w:p>
        </w:tc>
      </w:tr>
      <w:tr w14:paraId="33B9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33801EF6">
            <w:pPr>
              <w:overflowPunct w:val="0"/>
              <w:jc w:val="center"/>
              <w:rPr>
                <w:rFonts w:ascii="宋体" w:hAnsi="宋体" w:cs="宋体"/>
              </w:rPr>
            </w:pPr>
            <w:r>
              <w:rPr>
                <w:rFonts w:hint="eastAsia" w:ascii="宋体" w:hAnsi="宋体" w:cs="宋体"/>
              </w:rPr>
              <w:t>固定资产</w:t>
            </w:r>
          </w:p>
        </w:tc>
        <w:tc>
          <w:tcPr>
            <w:tcW w:w="556" w:type="pct"/>
          </w:tcPr>
          <w:p w14:paraId="17B4D734">
            <w:pPr>
              <w:overflowPunct w:val="0"/>
              <w:jc w:val="center"/>
              <w:rPr>
                <w:rFonts w:ascii="宋体" w:hAnsi="宋体" w:cs="宋体"/>
              </w:rPr>
            </w:pPr>
            <w:r>
              <w:rPr>
                <w:rFonts w:hint="eastAsia" w:ascii="宋体" w:hAnsi="宋体" w:cs="宋体"/>
              </w:rPr>
              <w:t>120</w:t>
            </w:r>
          </w:p>
        </w:tc>
        <w:tc>
          <w:tcPr>
            <w:tcW w:w="556" w:type="pct"/>
          </w:tcPr>
          <w:p w14:paraId="18667387">
            <w:pPr>
              <w:overflowPunct w:val="0"/>
              <w:jc w:val="center"/>
              <w:rPr>
                <w:rFonts w:ascii="宋体" w:hAnsi="宋体" w:cs="宋体"/>
              </w:rPr>
            </w:pPr>
            <w:r>
              <w:rPr>
                <w:rFonts w:hint="eastAsia" w:ascii="宋体" w:hAnsi="宋体" w:cs="宋体"/>
              </w:rPr>
              <w:t>160</w:t>
            </w:r>
          </w:p>
        </w:tc>
        <w:tc>
          <w:tcPr>
            <w:tcW w:w="557" w:type="pct"/>
          </w:tcPr>
          <w:p w14:paraId="71E4B4A1">
            <w:pPr>
              <w:overflowPunct w:val="0"/>
              <w:jc w:val="center"/>
              <w:rPr>
                <w:rFonts w:ascii="宋体" w:hAnsi="宋体" w:cs="宋体"/>
              </w:rPr>
            </w:pPr>
            <w:r>
              <w:rPr>
                <w:rFonts w:hint="eastAsia" w:ascii="宋体" w:hAnsi="宋体" w:cs="宋体"/>
              </w:rPr>
              <w:t>40</w:t>
            </w:r>
          </w:p>
        </w:tc>
        <w:tc>
          <w:tcPr>
            <w:tcW w:w="555" w:type="pct"/>
          </w:tcPr>
          <w:p w14:paraId="6054707A">
            <w:pPr>
              <w:overflowPunct w:val="0"/>
              <w:jc w:val="center"/>
              <w:rPr>
                <w:rFonts w:ascii="宋体" w:hAnsi="宋体" w:cs="宋体"/>
              </w:rPr>
            </w:pPr>
            <w:r>
              <w:rPr>
                <w:rFonts w:hint="eastAsia" w:ascii="宋体" w:hAnsi="宋体" w:cs="宋体"/>
              </w:rPr>
              <w:t>60</w:t>
            </w:r>
          </w:p>
        </w:tc>
        <w:tc>
          <w:tcPr>
            <w:tcW w:w="555" w:type="pct"/>
          </w:tcPr>
          <w:p w14:paraId="3C4F4F63">
            <w:pPr>
              <w:overflowPunct w:val="0"/>
              <w:jc w:val="center"/>
              <w:rPr>
                <w:rFonts w:ascii="宋体" w:hAnsi="宋体" w:cs="宋体"/>
              </w:rPr>
            </w:pPr>
            <w:r>
              <w:rPr>
                <w:rFonts w:hint="eastAsia" w:ascii="宋体" w:hAnsi="宋体" w:cs="宋体"/>
              </w:rPr>
              <w:t>120</w:t>
            </w:r>
          </w:p>
        </w:tc>
        <w:tc>
          <w:tcPr>
            <w:tcW w:w="454" w:type="pct"/>
          </w:tcPr>
          <w:p w14:paraId="01AFB1DC">
            <w:pPr>
              <w:overflowPunct w:val="0"/>
              <w:jc w:val="center"/>
              <w:rPr>
                <w:rFonts w:ascii="宋体" w:hAnsi="宋体" w:cs="宋体"/>
              </w:rPr>
            </w:pPr>
            <w:r>
              <w:rPr>
                <w:rFonts w:hint="eastAsia" w:ascii="宋体" w:hAnsi="宋体" w:cs="宋体"/>
              </w:rPr>
              <w:t>60</w:t>
            </w:r>
          </w:p>
        </w:tc>
        <w:tc>
          <w:tcPr>
            <w:tcW w:w="657" w:type="pct"/>
          </w:tcPr>
          <w:p w14:paraId="0C2A4F4B">
            <w:pPr>
              <w:overflowPunct w:val="0"/>
              <w:jc w:val="center"/>
              <w:rPr>
                <w:rFonts w:ascii="宋体" w:hAnsi="宋体" w:cs="宋体"/>
              </w:rPr>
            </w:pPr>
            <w:r>
              <w:rPr>
                <w:rFonts w:hint="eastAsia" w:ascii="宋体" w:hAnsi="宋体" w:cs="宋体"/>
              </w:rPr>
              <w:t>新增可抵扣</w:t>
            </w:r>
            <w:r>
              <w:rPr>
                <w:rFonts w:hint="eastAsia" w:ascii="宋体" w:hAnsi="宋体" w:cs="宋体"/>
              </w:rPr>
              <w:br w:type="textWrapping"/>
            </w:r>
            <w:r>
              <w:rPr>
                <w:rFonts w:hint="eastAsia" w:ascii="宋体" w:hAnsi="宋体" w:cs="宋体"/>
              </w:rPr>
              <w:t>暂时性差异</w:t>
            </w:r>
          </w:p>
        </w:tc>
        <w:tc>
          <w:tcPr>
            <w:tcW w:w="554" w:type="pct"/>
          </w:tcPr>
          <w:p w14:paraId="428C7634">
            <w:pPr>
              <w:overflowPunct w:val="0"/>
              <w:jc w:val="center"/>
              <w:rPr>
                <w:rFonts w:ascii="宋体" w:hAnsi="宋体" w:cs="宋体"/>
              </w:rPr>
            </w:pPr>
            <w:r>
              <w:rPr>
                <w:rFonts w:hint="eastAsia" w:ascii="宋体" w:hAnsi="宋体" w:cs="宋体"/>
              </w:rPr>
              <w:t>20</w:t>
            </w:r>
          </w:p>
        </w:tc>
      </w:tr>
      <w:tr w14:paraId="5EE1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tcPr>
          <w:p w14:paraId="154148D5">
            <w:pPr>
              <w:overflowPunct w:val="0"/>
              <w:jc w:val="center"/>
              <w:rPr>
                <w:rFonts w:ascii="宋体" w:hAnsi="宋体" w:cs="宋体"/>
              </w:rPr>
            </w:pPr>
            <w:r>
              <w:rPr>
                <w:rFonts w:hint="eastAsia" w:ascii="宋体" w:hAnsi="宋体" w:cs="宋体"/>
              </w:rPr>
              <w:t>预计负债</w:t>
            </w:r>
          </w:p>
        </w:tc>
        <w:tc>
          <w:tcPr>
            <w:tcW w:w="556" w:type="pct"/>
          </w:tcPr>
          <w:p w14:paraId="1A480910">
            <w:pPr>
              <w:overflowPunct w:val="0"/>
              <w:jc w:val="center"/>
              <w:rPr>
                <w:rFonts w:ascii="宋体" w:hAnsi="宋体" w:cs="宋体"/>
              </w:rPr>
            </w:pPr>
            <w:r>
              <w:rPr>
                <w:rFonts w:hint="eastAsia" w:ascii="宋体" w:hAnsi="宋体" w:cs="宋体"/>
              </w:rPr>
              <w:t>5</w:t>
            </w:r>
          </w:p>
        </w:tc>
        <w:tc>
          <w:tcPr>
            <w:tcW w:w="556" w:type="pct"/>
          </w:tcPr>
          <w:p w14:paraId="6B1E06BB">
            <w:pPr>
              <w:overflowPunct w:val="0"/>
              <w:jc w:val="center"/>
              <w:rPr>
                <w:rFonts w:ascii="宋体" w:hAnsi="宋体" w:cs="宋体"/>
              </w:rPr>
            </w:pPr>
            <w:r>
              <w:rPr>
                <w:rFonts w:hint="eastAsia" w:ascii="宋体" w:hAnsi="宋体" w:cs="宋体"/>
              </w:rPr>
              <w:t>0</w:t>
            </w:r>
          </w:p>
        </w:tc>
        <w:tc>
          <w:tcPr>
            <w:tcW w:w="557" w:type="pct"/>
          </w:tcPr>
          <w:p w14:paraId="35CCD017">
            <w:pPr>
              <w:overflowPunct w:val="0"/>
              <w:jc w:val="center"/>
              <w:rPr>
                <w:rFonts w:ascii="宋体" w:hAnsi="宋体" w:cs="宋体"/>
              </w:rPr>
            </w:pPr>
            <w:r>
              <w:rPr>
                <w:rFonts w:hint="eastAsia" w:ascii="宋体" w:hAnsi="宋体" w:cs="宋体"/>
              </w:rPr>
              <w:t>5</w:t>
            </w:r>
          </w:p>
        </w:tc>
        <w:tc>
          <w:tcPr>
            <w:tcW w:w="555" w:type="pct"/>
          </w:tcPr>
          <w:p w14:paraId="542F98CF">
            <w:pPr>
              <w:overflowPunct w:val="0"/>
              <w:jc w:val="center"/>
              <w:rPr>
                <w:rFonts w:ascii="宋体" w:hAnsi="宋体" w:cs="宋体"/>
              </w:rPr>
            </w:pPr>
            <w:r>
              <w:rPr>
                <w:rFonts w:hint="eastAsia" w:ascii="宋体" w:hAnsi="宋体" w:cs="宋体"/>
              </w:rPr>
              <w:t>5.5</w:t>
            </w:r>
          </w:p>
        </w:tc>
        <w:tc>
          <w:tcPr>
            <w:tcW w:w="555" w:type="pct"/>
          </w:tcPr>
          <w:p w14:paraId="298768E2">
            <w:pPr>
              <w:overflowPunct w:val="0"/>
              <w:jc w:val="center"/>
              <w:rPr>
                <w:rFonts w:ascii="宋体" w:hAnsi="宋体" w:cs="宋体"/>
              </w:rPr>
            </w:pPr>
            <w:r>
              <w:rPr>
                <w:rFonts w:hint="eastAsia" w:ascii="宋体" w:hAnsi="宋体" w:cs="宋体"/>
              </w:rPr>
              <w:t>0</w:t>
            </w:r>
          </w:p>
        </w:tc>
        <w:tc>
          <w:tcPr>
            <w:tcW w:w="454" w:type="pct"/>
          </w:tcPr>
          <w:p w14:paraId="12747C91">
            <w:pPr>
              <w:overflowPunct w:val="0"/>
              <w:jc w:val="center"/>
              <w:rPr>
                <w:rFonts w:ascii="宋体" w:hAnsi="宋体" w:cs="宋体"/>
              </w:rPr>
            </w:pPr>
            <w:r>
              <w:rPr>
                <w:rFonts w:hint="eastAsia" w:ascii="宋体" w:hAnsi="宋体" w:cs="宋体"/>
              </w:rPr>
              <w:t>5.5</w:t>
            </w:r>
          </w:p>
        </w:tc>
        <w:tc>
          <w:tcPr>
            <w:tcW w:w="657" w:type="pct"/>
          </w:tcPr>
          <w:p w14:paraId="6B6B68E6">
            <w:pPr>
              <w:overflowPunct w:val="0"/>
              <w:jc w:val="center"/>
              <w:rPr>
                <w:rFonts w:ascii="宋体" w:hAnsi="宋体" w:cs="宋体"/>
              </w:rPr>
            </w:pPr>
            <w:r>
              <w:rPr>
                <w:rFonts w:hint="eastAsia" w:ascii="宋体" w:hAnsi="宋体" w:cs="宋体"/>
              </w:rPr>
              <w:t>新增可抵扣</w:t>
            </w:r>
            <w:r>
              <w:rPr>
                <w:rFonts w:hint="eastAsia" w:ascii="宋体" w:hAnsi="宋体" w:cs="宋体"/>
              </w:rPr>
              <w:br w:type="textWrapping"/>
            </w:r>
            <w:r>
              <w:rPr>
                <w:rFonts w:hint="eastAsia" w:ascii="宋体" w:hAnsi="宋体" w:cs="宋体"/>
              </w:rPr>
              <w:t>暂时性差异</w:t>
            </w:r>
          </w:p>
        </w:tc>
        <w:tc>
          <w:tcPr>
            <w:tcW w:w="554" w:type="pct"/>
          </w:tcPr>
          <w:p w14:paraId="487D1EB3">
            <w:pPr>
              <w:overflowPunct w:val="0"/>
              <w:jc w:val="center"/>
              <w:rPr>
                <w:rFonts w:ascii="宋体" w:hAnsi="宋体" w:cs="宋体"/>
              </w:rPr>
            </w:pPr>
            <w:r>
              <w:rPr>
                <w:rFonts w:hint="eastAsia" w:ascii="宋体" w:hAnsi="宋体" w:cs="宋体"/>
              </w:rPr>
              <w:t>0.5</w:t>
            </w:r>
          </w:p>
        </w:tc>
      </w:tr>
    </w:tbl>
    <w:p w14:paraId="6F533C02">
      <w:pPr>
        <w:jc w:val="left"/>
        <w:rPr>
          <w:rFonts w:ascii="宋体" w:hAnsi="宋体" w:cs="宋体"/>
        </w:rPr>
      </w:pPr>
      <w:r>
        <w:rPr>
          <w:rFonts w:hint="eastAsia" w:ascii="宋体" w:hAnsi="宋体" w:cs="宋体"/>
        </w:rPr>
        <w:t xml:space="preserve">（2）资产负债表债务法所得税的核算过程 </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4731"/>
        <w:gridCol w:w="3380"/>
      </w:tblGrid>
      <w:tr w14:paraId="50B1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013035D">
            <w:pPr>
              <w:overflowPunct w:val="0"/>
              <w:jc w:val="center"/>
              <w:rPr>
                <w:rFonts w:ascii="宋体" w:hAnsi="宋体" w:cs="宋体"/>
              </w:rPr>
            </w:pPr>
            <w:r>
              <w:rPr>
                <w:rFonts w:hint="eastAsia" w:ascii="宋体" w:hAnsi="宋体" w:cs="宋体"/>
              </w:rPr>
              <w:t>项目</w:t>
            </w:r>
          </w:p>
        </w:tc>
        <w:tc>
          <w:tcPr>
            <w:tcW w:w="4001" w:type="pct"/>
            <w:gridSpan w:val="2"/>
          </w:tcPr>
          <w:p w14:paraId="1D54E596">
            <w:pPr>
              <w:jc w:val="left"/>
              <w:rPr>
                <w:rFonts w:ascii="宋体" w:hAnsi="宋体" w:cs="宋体"/>
              </w:rPr>
            </w:pPr>
            <w:r>
              <w:rPr>
                <w:rFonts w:hint="eastAsia" w:ascii="宋体" w:hAnsi="宋体" w:cs="宋体"/>
              </w:rPr>
              <w:t>计算过程</w:t>
            </w:r>
          </w:p>
        </w:tc>
      </w:tr>
      <w:tr w14:paraId="1F17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31B10D93">
            <w:pPr>
              <w:overflowPunct w:val="0"/>
              <w:jc w:val="center"/>
              <w:rPr>
                <w:rFonts w:ascii="宋体" w:hAnsi="宋体" w:cs="宋体"/>
              </w:rPr>
            </w:pPr>
            <w:r>
              <w:rPr>
                <w:rFonts w:hint="eastAsia" w:ascii="宋体" w:hAnsi="宋体" w:cs="宋体"/>
              </w:rPr>
              <w:t>税前会计利润</w:t>
            </w:r>
          </w:p>
        </w:tc>
        <w:tc>
          <w:tcPr>
            <w:tcW w:w="4001" w:type="pct"/>
            <w:gridSpan w:val="2"/>
          </w:tcPr>
          <w:p w14:paraId="237F366F">
            <w:pPr>
              <w:jc w:val="left"/>
              <w:rPr>
                <w:rFonts w:ascii="宋体" w:hAnsi="宋体" w:cs="宋体"/>
              </w:rPr>
            </w:pPr>
            <w:r>
              <w:rPr>
                <w:rFonts w:hint="eastAsia" w:ascii="宋体" w:hAnsi="宋体" w:cs="宋体"/>
              </w:rPr>
              <w:t>100</w:t>
            </w:r>
          </w:p>
        </w:tc>
      </w:tr>
      <w:tr w14:paraId="6A24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0D5A3760">
            <w:pPr>
              <w:overflowPunct w:val="0"/>
              <w:jc w:val="center"/>
              <w:rPr>
                <w:rFonts w:ascii="宋体" w:hAnsi="宋体" w:cs="宋体"/>
              </w:rPr>
            </w:pPr>
            <w:r>
              <w:rPr>
                <w:rFonts w:hint="eastAsia" w:ascii="宋体" w:hAnsi="宋体" w:cs="宋体"/>
              </w:rPr>
              <w:t>永久性差异</w:t>
            </w:r>
          </w:p>
        </w:tc>
        <w:tc>
          <w:tcPr>
            <w:tcW w:w="2334" w:type="pct"/>
          </w:tcPr>
          <w:p w14:paraId="3179D703">
            <w:pPr>
              <w:overflowPunct w:val="0"/>
              <w:jc w:val="center"/>
              <w:rPr>
                <w:rFonts w:ascii="宋体" w:hAnsi="宋体" w:cs="宋体"/>
              </w:rPr>
            </w:pPr>
            <w:r>
              <w:rPr>
                <w:rFonts w:hint="eastAsia" w:ascii="宋体" w:hAnsi="宋体" w:cs="宋体"/>
              </w:rPr>
              <w:t>罚没支出</w:t>
            </w:r>
          </w:p>
        </w:tc>
        <w:tc>
          <w:tcPr>
            <w:tcW w:w="1667" w:type="pct"/>
          </w:tcPr>
          <w:p w14:paraId="12914AA5">
            <w:pPr>
              <w:overflowPunct w:val="0"/>
              <w:jc w:val="center"/>
              <w:rPr>
                <w:rFonts w:ascii="宋体" w:hAnsi="宋体" w:cs="宋体"/>
              </w:rPr>
            </w:pPr>
            <w:r>
              <w:rPr>
                <w:rFonts w:hint="eastAsia" w:ascii="宋体" w:hAnsi="宋体" w:cs="宋体"/>
              </w:rPr>
              <w:t>＋10</w:t>
            </w:r>
          </w:p>
        </w:tc>
      </w:tr>
      <w:tr w14:paraId="1D70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2F31B28E">
            <w:pPr>
              <w:jc w:val="left"/>
              <w:rPr>
                <w:rFonts w:ascii="宋体" w:hAnsi="宋体" w:cs="宋体"/>
              </w:rPr>
            </w:pPr>
          </w:p>
        </w:tc>
        <w:tc>
          <w:tcPr>
            <w:tcW w:w="2334" w:type="pct"/>
          </w:tcPr>
          <w:p w14:paraId="37913B04">
            <w:pPr>
              <w:overflowPunct w:val="0"/>
              <w:jc w:val="center"/>
              <w:rPr>
                <w:rFonts w:ascii="宋体" w:hAnsi="宋体" w:cs="宋体"/>
              </w:rPr>
            </w:pPr>
            <w:r>
              <w:rPr>
                <w:rFonts w:hint="eastAsia" w:ascii="宋体" w:hAnsi="宋体" w:cs="宋体"/>
              </w:rPr>
              <w:t>国债利息收入</w:t>
            </w:r>
          </w:p>
        </w:tc>
        <w:tc>
          <w:tcPr>
            <w:tcW w:w="1667" w:type="pct"/>
          </w:tcPr>
          <w:p w14:paraId="72C116E1">
            <w:pPr>
              <w:overflowPunct w:val="0"/>
              <w:jc w:val="center"/>
              <w:rPr>
                <w:rFonts w:ascii="宋体" w:hAnsi="宋体" w:cs="宋体"/>
              </w:rPr>
            </w:pPr>
            <w:r>
              <w:rPr>
                <w:rFonts w:hint="eastAsia" w:ascii="宋体" w:hAnsi="宋体" w:cs="宋体"/>
              </w:rPr>
              <w:t>-6</w:t>
            </w:r>
          </w:p>
        </w:tc>
      </w:tr>
      <w:tr w14:paraId="30C7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413012E">
            <w:pPr>
              <w:jc w:val="left"/>
              <w:rPr>
                <w:rFonts w:ascii="宋体" w:hAnsi="宋体" w:cs="宋体"/>
              </w:rPr>
            </w:pPr>
          </w:p>
        </w:tc>
        <w:tc>
          <w:tcPr>
            <w:tcW w:w="2334" w:type="pct"/>
          </w:tcPr>
          <w:p w14:paraId="58BE6304">
            <w:pPr>
              <w:overflowPunct w:val="0"/>
              <w:jc w:val="center"/>
              <w:rPr>
                <w:rFonts w:ascii="宋体" w:hAnsi="宋体" w:cs="宋体"/>
              </w:rPr>
            </w:pPr>
            <w:r>
              <w:rPr>
                <w:rFonts w:hint="eastAsia" w:ascii="宋体" w:hAnsi="宋体" w:cs="宋体"/>
              </w:rPr>
              <w:t>无形资产研究费用的追加扣除额</w:t>
            </w:r>
          </w:p>
        </w:tc>
        <w:tc>
          <w:tcPr>
            <w:tcW w:w="1667" w:type="pct"/>
          </w:tcPr>
          <w:p w14:paraId="3A944A9D">
            <w:pPr>
              <w:overflowPunct w:val="0"/>
              <w:jc w:val="center"/>
              <w:rPr>
                <w:rFonts w:ascii="宋体" w:hAnsi="宋体" w:cs="宋体"/>
              </w:rPr>
            </w:pPr>
            <w:r>
              <w:rPr>
                <w:rFonts w:hint="eastAsia" w:ascii="宋体" w:hAnsi="宋体" w:cs="宋体"/>
              </w:rPr>
              <w:t>-50</w:t>
            </w:r>
          </w:p>
        </w:tc>
      </w:tr>
      <w:tr w14:paraId="4147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669D464E">
            <w:pPr>
              <w:jc w:val="left"/>
              <w:rPr>
                <w:rFonts w:ascii="宋体" w:hAnsi="宋体" w:cs="宋体"/>
              </w:rPr>
            </w:pPr>
          </w:p>
        </w:tc>
        <w:tc>
          <w:tcPr>
            <w:tcW w:w="2334" w:type="pct"/>
          </w:tcPr>
          <w:p w14:paraId="582ECC37">
            <w:pPr>
              <w:overflowPunct w:val="0"/>
              <w:jc w:val="center"/>
              <w:rPr>
                <w:rFonts w:ascii="宋体" w:hAnsi="宋体" w:cs="宋体"/>
              </w:rPr>
            </w:pPr>
            <w:r>
              <w:rPr>
                <w:rFonts w:hint="eastAsia" w:ascii="宋体" w:hAnsi="宋体" w:cs="宋体"/>
              </w:rPr>
              <w:t>无形资产开发费用的追加</w:t>
            </w:r>
          </w:p>
          <w:p w14:paraId="7C161673">
            <w:pPr>
              <w:overflowPunct w:val="0"/>
              <w:jc w:val="center"/>
              <w:rPr>
                <w:rFonts w:ascii="宋体" w:hAnsi="宋体" w:cs="宋体"/>
              </w:rPr>
            </w:pPr>
            <w:r>
              <w:rPr>
                <w:rFonts w:hint="eastAsia" w:ascii="宋体" w:hAnsi="宋体" w:cs="宋体"/>
              </w:rPr>
              <w:t>在当期产生的摊销额影响</w:t>
            </w:r>
          </w:p>
        </w:tc>
        <w:tc>
          <w:tcPr>
            <w:tcW w:w="1667" w:type="pct"/>
          </w:tcPr>
          <w:p w14:paraId="15F4E0D1">
            <w:pPr>
              <w:overflowPunct w:val="0"/>
              <w:jc w:val="center"/>
              <w:rPr>
                <w:rFonts w:ascii="宋体" w:hAnsi="宋体" w:cs="宋体"/>
              </w:rPr>
            </w:pPr>
            <w:r>
              <w:rPr>
                <w:rFonts w:hint="eastAsia" w:ascii="宋体" w:hAnsi="宋体" w:cs="宋体"/>
              </w:rPr>
              <w:t>-10</w:t>
            </w:r>
          </w:p>
        </w:tc>
      </w:tr>
      <w:tr w14:paraId="6D89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39F0A2BD">
            <w:pPr>
              <w:overflowPunct w:val="0"/>
              <w:jc w:val="center"/>
              <w:rPr>
                <w:rFonts w:ascii="宋体" w:hAnsi="宋体" w:cs="宋体"/>
              </w:rPr>
            </w:pPr>
            <w:r>
              <w:rPr>
                <w:rFonts w:hint="eastAsia" w:ascii="宋体" w:hAnsi="宋体" w:cs="宋体"/>
              </w:rPr>
              <w:t>暂时性差异</w:t>
            </w:r>
          </w:p>
        </w:tc>
        <w:tc>
          <w:tcPr>
            <w:tcW w:w="2334" w:type="pct"/>
          </w:tcPr>
          <w:p w14:paraId="23B7951F">
            <w:pPr>
              <w:overflowPunct w:val="0"/>
              <w:jc w:val="center"/>
              <w:rPr>
                <w:rFonts w:ascii="宋体" w:hAnsi="宋体" w:cs="宋体"/>
              </w:rPr>
            </w:pPr>
            <w:r>
              <w:rPr>
                <w:rFonts w:hint="eastAsia" w:ascii="宋体" w:hAnsi="宋体" w:cs="宋体"/>
              </w:rPr>
              <w:t>交易性金融资产产生的新增</w:t>
            </w:r>
          </w:p>
          <w:p w14:paraId="2D3EB3D2">
            <w:pPr>
              <w:overflowPunct w:val="0"/>
              <w:jc w:val="center"/>
              <w:rPr>
                <w:rFonts w:ascii="宋体" w:hAnsi="宋体" w:cs="宋体"/>
              </w:rPr>
            </w:pPr>
            <w:r>
              <w:rPr>
                <w:rFonts w:hint="eastAsia" w:ascii="宋体" w:hAnsi="宋体" w:cs="宋体"/>
              </w:rPr>
              <w:t>应纳税暂时性差异</w:t>
            </w:r>
          </w:p>
        </w:tc>
        <w:tc>
          <w:tcPr>
            <w:tcW w:w="1667" w:type="pct"/>
          </w:tcPr>
          <w:p w14:paraId="6F2376EA">
            <w:pPr>
              <w:overflowPunct w:val="0"/>
              <w:jc w:val="center"/>
              <w:rPr>
                <w:rFonts w:ascii="宋体" w:hAnsi="宋体" w:cs="宋体"/>
              </w:rPr>
            </w:pPr>
            <w:r>
              <w:rPr>
                <w:rFonts w:hint="eastAsia" w:ascii="宋体" w:hAnsi="宋体" w:cs="宋体"/>
              </w:rPr>
              <w:t>-30</w:t>
            </w:r>
          </w:p>
        </w:tc>
      </w:tr>
      <w:tr w14:paraId="4742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1C4EEB75">
            <w:pPr>
              <w:overflowPunct w:val="0"/>
              <w:jc w:val="left"/>
              <w:rPr>
                <w:rFonts w:ascii="宋体" w:hAnsi="宋体" w:cs="宋体"/>
              </w:rPr>
            </w:pPr>
          </w:p>
        </w:tc>
        <w:tc>
          <w:tcPr>
            <w:tcW w:w="2334" w:type="pct"/>
          </w:tcPr>
          <w:p w14:paraId="06A6C4C1">
            <w:pPr>
              <w:overflowPunct w:val="0"/>
              <w:jc w:val="center"/>
              <w:rPr>
                <w:rFonts w:ascii="宋体" w:hAnsi="宋体" w:cs="宋体"/>
              </w:rPr>
            </w:pPr>
            <w:r>
              <w:rPr>
                <w:rFonts w:hint="eastAsia" w:ascii="宋体" w:hAnsi="宋体" w:cs="宋体"/>
              </w:rPr>
              <w:t>固定资产产生的新增</w:t>
            </w:r>
          </w:p>
          <w:p w14:paraId="57C96D1D">
            <w:pPr>
              <w:overflowPunct w:val="0"/>
              <w:jc w:val="center"/>
              <w:rPr>
                <w:rFonts w:ascii="宋体" w:hAnsi="宋体" w:cs="宋体"/>
              </w:rPr>
            </w:pPr>
            <w:r>
              <w:rPr>
                <w:rFonts w:hint="eastAsia" w:ascii="宋体" w:hAnsi="宋体" w:cs="宋体"/>
              </w:rPr>
              <w:t>可抵扣暂时性差异</w:t>
            </w:r>
          </w:p>
        </w:tc>
        <w:tc>
          <w:tcPr>
            <w:tcW w:w="1667" w:type="pct"/>
          </w:tcPr>
          <w:p w14:paraId="031320E8">
            <w:pPr>
              <w:overflowPunct w:val="0"/>
              <w:jc w:val="center"/>
              <w:rPr>
                <w:rFonts w:ascii="宋体" w:hAnsi="宋体" w:cs="宋体"/>
              </w:rPr>
            </w:pPr>
            <w:r>
              <w:rPr>
                <w:rFonts w:hint="eastAsia" w:ascii="宋体" w:hAnsi="宋体" w:cs="宋体"/>
              </w:rPr>
              <w:t>＋20</w:t>
            </w:r>
          </w:p>
        </w:tc>
      </w:tr>
      <w:tr w14:paraId="666A8F05">
        <w:tblPrEx>
          <w:tblCellMar>
            <w:top w:w="0" w:type="dxa"/>
            <w:left w:w="108" w:type="dxa"/>
            <w:bottom w:w="0" w:type="dxa"/>
            <w:right w:w="108" w:type="dxa"/>
          </w:tblCellMar>
        </w:tblPrEx>
        <w:tc>
          <w:tcPr>
            <w:tcW w:w="999" w:type="pct"/>
            <w:vMerge w:val="continue"/>
          </w:tcPr>
          <w:p w14:paraId="52935FBC">
            <w:pPr>
              <w:overflowPunct w:val="0"/>
              <w:jc w:val="left"/>
              <w:rPr>
                <w:rFonts w:ascii="宋体" w:hAnsi="宋体" w:cs="宋体"/>
              </w:rPr>
            </w:pPr>
          </w:p>
        </w:tc>
        <w:tc>
          <w:tcPr>
            <w:tcW w:w="2334" w:type="pct"/>
          </w:tcPr>
          <w:p w14:paraId="3DB51D4A">
            <w:pPr>
              <w:overflowPunct w:val="0"/>
              <w:jc w:val="center"/>
              <w:rPr>
                <w:rFonts w:ascii="宋体" w:hAnsi="宋体" w:cs="宋体"/>
              </w:rPr>
            </w:pPr>
            <w:r>
              <w:rPr>
                <w:rFonts w:hint="eastAsia" w:ascii="宋体" w:hAnsi="宋体" w:cs="宋体"/>
              </w:rPr>
              <w:t>预计负债产生的新增</w:t>
            </w:r>
          </w:p>
          <w:p w14:paraId="2A4985A3">
            <w:pPr>
              <w:overflowPunct w:val="0"/>
              <w:jc w:val="center"/>
              <w:rPr>
                <w:rFonts w:ascii="宋体" w:hAnsi="宋体" w:cs="宋体"/>
              </w:rPr>
            </w:pPr>
            <w:r>
              <w:rPr>
                <w:rFonts w:hint="eastAsia" w:ascii="宋体" w:hAnsi="宋体" w:cs="宋体"/>
              </w:rPr>
              <w:t>可抵扣暂时性差异</w:t>
            </w:r>
          </w:p>
        </w:tc>
        <w:tc>
          <w:tcPr>
            <w:tcW w:w="1667" w:type="pct"/>
          </w:tcPr>
          <w:p w14:paraId="11845DB4">
            <w:pPr>
              <w:overflowPunct w:val="0"/>
              <w:jc w:val="center"/>
              <w:rPr>
                <w:rFonts w:ascii="宋体" w:hAnsi="宋体" w:cs="宋体"/>
              </w:rPr>
            </w:pPr>
            <w:r>
              <w:rPr>
                <w:rFonts w:hint="eastAsia" w:ascii="宋体" w:hAnsi="宋体" w:cs="宋体"/>
              </w:rPr>
              <w:t>＋0.5</w:t>
            </w:r>
          </w:p>
        </w:tc>
      </w:tr>
      <w:tr w14:paraId="76D6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62904EA">
            <w:pPr>
              <w:overflowPunct w:val="0"/>
              <w:jc w:val="center"/>
              <w:rPr>
                <w:rFonts w:ascii="宋体" w:hAnsi="宋体" w:cs="宋体"/>
              </w:rPr>
            </w:pPr>
            <w:r>
              <w:rPr>
                <w:rFonts w:hint="eastAsia" w:ascii="宋体" w:hAnsi="宋体" w:cs="宋体"/>
              </w:rPr>
              <w:t>应税所得</w:t>
            </w:r>
          </w:p>
        </w:tc>
        <w:tc>
          <w:tcPr>
            <w:tcW w:w="4001" w:type="pct"/>
            <w:gridSpan w:val="2"/>
          </w:tcPr>
          <w:p w14:paraId="2BF52494">
            <w:pPr>
              <w:overflowPunct w:val="0"/>
              <w:jc w:val="center"/>
              <w:rPr>
                <w:rFonts w:ascii="宋体" w:hAnsi="宋体" w:cs="宋体"/>
              </w:rPr>
            </w:pPr>
            <w:r>
              <w:rPr>
                <w:rFonts w:hint="eastAsia" w:ascii="宋体" w:hAnsi="宋体" w:cs="宋体"/>
              </w:rPr>
              <w:t>34.5</w:t>
            </w:r>
          </w:p>
        </w:tc>
      </w:tr>
      <w:tr w14:paraId="4984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DC45E89">
            <w:pPr>
              <w:overflowPunct w:val="0"/>
              <w:jc w:val="center"/>
              <w:rPr>
                <w:rFonts w:ascii="宋体" w:hAnsi="宋体" w:cs="宋体"/>
              </w:rPr>
            </w:pPr>
            <w:r>
              <w:rPr>
                <w:rFonts w:hint="eastAsia" w:ascii="宋体" w:hAnsi="宋体" w:cs="宋体"/>
              </w:rPr>
              <w:t>应交税费</w:t>
            </w:r>
          </w:p>
        </w:tc>
        <w:tc>
          <w:tcPr>
            <w:tcW w:w="4001" w:type="pct"/>
            <w:gridSpan w:val="2"/>
          </w:tcPr>
          <w:p w14:paraId="622393E0">
            <w:pPr>
              <w:overflowPunct w:val="0"/>
              <w:jc w:val="center"/>
              <w:rPr>
                <w:rFonts w:ascii="宋体" w:hAnsi="宋体" w:cs="宋体"/>
              </w:rPr>
            </w:pPr>
            <w:r>
              <w:rPr>
                <w:rFonts w:hint="eastAsia" w:ascii="宋体" w:hAnsi="宋体" w:cs="宋体"/>
              </w:rPr>
              <w:t>8.625</w:t>
            </w:r>
          </w:p>
        </w:tc>
      </w:tr>
      <w:tr w14:paraId="7B1A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5CEBE59">
            <w:pPr>
              <w:overflowPunct w:val="0"/>
              <w:jc w:val="center"/>
              <w:rPr>
                <w:rFonts w:ascii="宋体" w:hAnsi="宋体" w:cs="宋体"/>
              </w:rPr>
            </w:pPr>
            <w:r>
              <w:rPr>
                <w:rFonts w:hint="eastAsia" w:ascii="宋体" w:hAnsi="宋体" w:cs="宋体"/>
              </w:rPr>
              <w:t>递延所得税资产</w:t>
            </w:r>
          </w:p>
        </w:tc>
        <w:tc>
          <w:tcPr>
            <w:tcW w:w="2334" w:type="pct"/>
          </w:tcPr>
          <w:p w14:paraId="18520C78">
            <w:pPr>
              <w:overflowPunct w:val="0"/>
              <w:jc w:val="center"/>
              <w:rPr>
                <w:rFonts w:ascii="宋体" w:hAnsi="宋体" w:cs="宋体"/>
              </w:rPr>
            </w:pPr>
            <w:r>
              <w:rPr>
                <w:rFonts w:hint="eastAsia" w:ascii="宋体" w:hAnsi="宋体" w:cs="宋体"/>
              </w:rPr>
              <w:t>新增可抵扣暂时性差异×税率</w:t>
            </w:r>
          </w:p>
        </w:tc>
        <w:tc>
          <w:tcPr>
            <w:tcW w:w="1667" w:type="pct"/>
          </w:tcPr>
          <w:p w14:paraId="203BBD8D">
            <w:pPr>
              <w:overflowPunct w:val="0"/>
              <w:jc w:val="center"/>
              <w:rPr>
                <w:rFonts w:ascii="宋体" w:hAnsi="宋体" w:cs="宋体"/>
              </w:rPr>
            </w:pPr>
            <w:r>
              <w:rPr>
                <w:rFonts w:hint="eastAsia" w:ascii="宋体" w:hAnsi="宋体" w:cs="宋体"/>
              </w:rPr>
              <w:t>5.125</w:t>
            </w:r>
          </w:p>
        </w:tc>
      </w:tr>
      <w:tr w14:paraId="007A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CC9C92C">
            <w:pPr>
              <w:overflowPunct w:val="0"/>
              <w:jc w:val="center"/>
              <w:rPr>
                <w:rFonts w:ascii="宋体" w:hAnsi="宋体" w:cs="宋体"/>
              </w:rPr>
            </w:pPr>
            <w:r>
              <w:rPr>
                <w:rFonts w:hint="eastAsia" w:ascii="宋体" w:hAnsi="宋体" w:cs="宋体"/>
              </w:rPr>
              <w:t>递延所得税负债</w:t>
            </w:r>
          </w:p>
        </w:tc>
        <w:tc>
          <w:tcPr>
            <w:tcW w:w="2334" w:type="pct"/>
          </w:tcPr>
          <w:p w14:paraId="74A16CDC">
            <w:pPr>
              <w:overflowPunct w:val="0"/>
              <w:jc w:val="center"/>
              <w:rPr>
                <w:rFonts w:ascii="宋体" w:hAnsi="宋体" w:cs="宋体"/>
              </w:rPr>
            </w:pPr>
            <w:r>
              <w:rPr>
                <w:rFonts w:hint="eastAsia" w:ascii="宋体" w:hAnsi="宋体" w:cs="宋体"/>
              </w:rPr>
              <w:t>新增应纳税暂时性差异×税率</w:t>
            </w:r>
          </w:p>
        </w:tc>
        <w:tc>
          <w:tcPr>
            <w:tcW w:w="1667" w:type="pct"/>
          </w:tcPr>
          <w:p w14:paraId="6A3BA1C5">
            <w:pPr>
              <w:overflowPunct w:val="0"/>
              <w:jc w:val="center"/>
              <w:rPr>
                <w:rFonts w:ascii="宋体" w:hAnsi="宋体" w:cs="宋体"/>
              </w:rPr>
            </w:pPr>
            <w:r>
              <w:rPr>
                <w:rFonts w:hint="eastAsia" w:ascii="宋体" w:hAnsi="宋体" w:cs="宋体"/>
              </w:rPr>
              <w:t>7.5</w:t>
            </w:r>
          </w:p>
        </w:tc>
      </w:tr>
      <w:tr w14:paraId="5834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409A88A">
            <w:pPr>
              <w:overflowPunct w:val="0"/>
              <w:jc w:val="center"/>
              <w:rPr>
                <w:rFonts w:ascii="宋体" w:hAnsi="宋体" w:cs="宋体"/>
              </w:rPr>
            </w:pPr>
            <w:r>
              <w:rPr>
                <w:rFonts w:hint="eastAsia" w:ascii="宋体" w:hAnsi="宋体" w:cs="宋体"/>
              </w:rPr>
              <w:t>本期所得税费用</w:t>
            </w:r>
          </w:p>
        </w:tc>
        <w:tc>
          <w:tcPr>
            <w:tcW w:w="4001" w:type="pct"/>
            <w:gridSpan w:val="2"/>
          </w:tcPr>
          <w:p w14:paraId="257C4CF7">
            <w:pPr>
              <w:overflowPunct w:val="0"/>
              <w:jc w:val="center"/>
              <w:rPr>
                <w:rFonts w:ascii="宋体" w:hAnsi="宋体" w:cs="宋体"/>
              </w:rPr>
            </w:pPr>
            <w:r>
              <w:rPr>
                <w:rFonts w:hint="eastAsia" w:ascii="宋体" w:hAnsi="宋体" w:cs="宋体"/>
              </w:rPr>
              <w:t>11</w:t>
            </w:r>
          </w:p>
        </w:tc>
      </w:tr>
    </w:tbl>
    <w:p w14:paraId="2D532F9F">
      <w:pPr>
        <w:jc w:val="left"/>
        <w:rPr>
          <w:rFonts w:ascii="宋体" w:hAnsi="宋体" w:cs="宋体"/>
        </w:rPr>
      </w:pPr>
      <w:r>
        <w:rPr>
          <w:rFonts w:hint="eastAsia" w:ascii="宋体" w:hAnsi="宋体" w:cs="宋体"/>
        </w:rPr>
        <w:t>（3）会计分录如下</w:t>
      </w:r>
    </w:p>
    <w:p w14:paraId="33E301EF">
      <w:pPr>
        <w:jc w:val="left"/>
        <w:rPr>
          <w:rFonts w:ascii="宋体" w:hAnsi="宋体" w:cs="宋体"/>
        </w:rPr>
      </w:pPr>
      <w:r>
        <w:rPr>
          <w:rFonts w:hint="eastAsia" w:ascii="宋体" w:hAnsi="宋体" w:cs="宋体"/>
        </w:rPr>
        <w:t>借：所得税费用                            11</w:t>
      </w:r>
    </w:p>
    <w:p w14:paraId="5F57581D">
      <w:pPr>
        <w:jc w:val="left"/>
        <w:rPr>
          <w:rFonts w:ascii="宋体" w:hAnsi="宋体" w:cs="宋体"/>
        </w:rPr>
      </w:pPr>
      <w:r>
        <w:rPr>
          <w:rFonts w:hint="eastAsia" w:ascii="宋体" w:hAnsi="宋体" w:cs="宋体"/>
        </w:rPr>
        <w:t>　　递延所得税资产                 5.125</w:t>
      </w:r>
    </w:p>
    <w:p w14:paraId="47F895EF">
      <w:pPr>
        <w:jc w:val="left"/>
        <w:rPr>
          <w:rFonts w:ascii="宋体" w:hAnsi="宋体" w:cs="宋体"/>
        </w:rPr>
      </w:pPr>
      <w:r>
        <w:rPr>
          <w:rFonts w:hint="eastAsia" w:ascii="宋体" w:hAnsi="宋体" w:cs="宋体"/>
        </w:rPr>
        <w:t>　　贷：应交税费——应交所得税        8.625</w:t>
      </w:r>
    </w:p>
    <w:p w14:paraId="7ECD3D74">
      <w:pPr>
        <w:jc w:val="left"/>
        <w:rPr>
          <w:rFonts w:hint="eastAsia" w:ascii="宋体" w:hAnsi="宋体" w:cs="宋体"/>
        </w:rPr>
      </w:pPr>
      <w:r>
        <w:rPr>
          <w:rFonts w:hint="eastAsia" w:ascii="宋体" w:hAnsi="宋体" w:cs="宋体"/>
        </w:rPr>
        <w:t>　　　　递延所得税负债                        7.5</w:t>
      </w:r>
    </w:p>
    <w:p w14:paraId="18C3123B">
      <w:pPr>
        <w:jc w:val="left"/>
        <w:rPr>
          <w:rFonts w:hint="eastAsia" w:ascii="宋体" w:hAnsi="宋体" w:cs="宋体"/>
        </w:rPr>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1F192C"/>
    <w:rsid w:val="002A1721"/>
    <w:rsid w:val="003B71E3"/>
    <w:rsid w:val="00401D9A"/>
    <w:rsid w:val="00436DA8"/>
    <w:rsid w:val="00AA0512"/>
    <w:rsid w:val="00AE0A92"/>
    <w:rsid w:val="00E302A6"/>
    <w:rsid w:val="04043713"/>
    <w:rsid w:val="06F537E7"/>
    <w:rsid w:val="078B5EF9"/>
    <w:rsid w:val="0C2030B4"/>
    <w:rsid w:val="0E99714E"/>
    <w:rsid w:val="135D5531"/>
    <w:rsid w:val="14E37374"/>
    <w:rsid w:val="17417CFA"/>
    <w:rsid w:val="182757CA"/>
    <w:rsid w:val="1AA11864"/>
    <w:rsid w:val="212B00D9"/>
    <w:rsid w:val="236C49D9"/>
    <w:rsid w:val="2A1A518F"/>
    <w:rsid w:val="2C0559CB"/>
    <w:rsid w:val="2F154177"/>
    <w:rsid w:val="2F283EAA"/>
    <w:rsid w:val="2FDE0A0C"/>
    <w:rsid w:val="34715F1D"/>
    <w:rsid w:val="387719FE"/>
    <w:rsid w:val="44371572"/>
    <w:rsid w:val="4B550AA9"/>
    <w:rsid w:val="514836E7"/>
    <w:rsid w:val="537D11A8"/>
    <w:rsid w:val="5FD6198B"/>
    <w:rsid w:val="5FEF7F48"/>
    <w:rsid w:val="67A535E2"/>
    <w:rsid w:val="68753EF9"/>
    <w:rsid w:val="68921DB9"/>
    <w:rsid w:val="6AC81AA4"/>
    <w:rsid w:val="6F315D76"/>
    <w:rsid w:val="7DA55C93"/>
    <w:rsid w:val="F7FFBA63"/>
    <w:rsid w:val="FEFDA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png"/><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1220</Words>
  <Characters>1361</Characters>
  <Lines>11</Lines>
  <Paragraphs>3</Paragraphs>
  <TotalTime>0</TotalTime>
  <ScaleCrop>false</ScaleCrop>
  <LinksUpToDate>false</LinksUpToDate>
  <CharactersWithSpaces>1522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2025-04-12T14:53:00Z</dcterms:created>
  <dc:creator>Administrator</dc:creator>
  <cp:lastModifiedBy>万rui</cp:lastModifiedBy>
  <dcterms:modified xsi:type="dcterms:W3CDTF">2025-06-05T07:44:45Z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