
<file path=[Content_Types].xml><?xml version="1.0" encoding="utf-8"?>
<Types xmlns="http://schemas.openxmlformats.org/package/2006/content-types">
  <Default Extension="png" ContentType="image/png"/>
  <Default Extension="jpeg" ContentType="image/jpeg"/>
  <Default Extension="JPG" ContentType="image/.jp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973FAB">
      <w:pPr>
        <w:overflowPunct w:val="0"/>
        <w:jc w:val="center"/>
        <w:rPr>
          <w:rFonts w:ascii="宋体" w:hAnsi="宋体" w:cs="宋体"/>
          <w:b/>
          <w:bCs/>
        </w:rPr>
      </w:pPr>
      <w:r>
        <w:rPr>
          <w:rFonts w:hint="eastAsia" w:ascii="宋体" w:hAnsi="宋体" w:cs="宋体"/>
          <w:b/>
          <w:bCs/>
        </w:rPr>
        <w:t>第二章 财务管理基础</w:t>
      </w:r>
    </w:p>
    <w:p w14:paraId="068FF850">
      <w:pPr>
        <w:jc w:val="left"/>
        <w:rPr>
          <w:rFonts w:ascii="宋体" w:hAnsi="宋体" w:cs="宋体"/>
          <w:color w:val="FF0000"/>
        </w:rPr>
      </w:pPr>
      <w:r>
        <w:rPr>
          <w:rFonts w:hint="eastAsia" w:ascii="宋体" w:hAnsi="宋体" w:cs="宋体"/>
          <w:color w:val="FF0000"/>
        </w:rPr>
        <w:t>考情分析</w:t>
      </w:r>
    </w:p>
    <w:p w14:paraId="66C4F833">
      <w:pPr>
        <w:jc w:val="left"/>
        <w:rPr>
          <w:rFonts w:ascii="宋体" w:hAnsi="宋体" w:cs="宋体"/>
        </w:rPr>
      </w:pPr>
      <w:r>
        <w:rPr>
          <w:rFonts w:hint="eastAsia" w:ascii="宋体" w:hAnsi="宋体" w:cs="宋体"/>
        </w:rPr>
        <w:t>本章是基础章节，也是重要章节，为以后每一章节的学习奠定了夯实的基础，知识点涉及了大量的基础计算内容。</w:t>
      </w:r>
    </w:p>
    <w:p w14:paraId="44E095F1">
      <w:pPr>
        <w:jc w:val="left"/>
        <w:rPr>
          <w:rFonts w:ascii="宋体" w:hAnsi="宋体" w:cs="宋体"/>
        </w:rPr>
      </w:pPr>
      <w:r>
        <w:rPr>
          <w:rFonts w:hint="eastAsia" w:ascii="宋体" w:hAnsi="宋体" w:cs="宋体"/>
        </w:rPr>
        <w:t>从历年考试情况来看，本章主要以客观题和计算分析题的形式考核，最近3年平均考分6分左右，预测2025年分数在6分左右。</w:t>
      </w:r>
    </w:p>
    <w:p w14:paraId="5D163A4D">
      <w:pPr>
        <w:jc w:val="left"/>
        <w:rPr>
          <w:rFonts w:ascii="宋体" w:hAnsi="宋体" w:cs="宋体"/>
          <w:color w:val="FF0000"/>
        </w:rPr>
      </w:pPr>
      <w:r>
        <w:rPr>
          <w:rFonts w:hint="eastAsia" w:ascii="宋体" w:hAnsi="宋体" w:cs="宋体"/>
          <w:color w:val="FF0000"/>
        </w:rPr>
        <w:t>2025教材变动讲解</w:t>
      </w:r>
    </w:p>
    <w:p w14:paraId="24DD7EAD">
      <w:pPr>
        <w:jc w:val="left"/>
        <w:rPr>
          <w:rFonts w:ascii="宋体" w:hAnsi="宋体" w:cs="宋体"/>
        </w:rPr>
      </w:pPr>
      <w:r>
        <w:rPr>
          <w:rFonts w:hint="eastAsia" w:ascii="宋体" w:hAnsi="宋体" w:cs="宋体"/>
        </w:rPr>
        <w:t>无实质性变化。</w:t>
      </w:r>
    </w:p>
    <w:p w14:paraId="55CD5EEC">
      <w:pPr>
        <w:jc w:val="left"/>
        <w:rPr>
          <w:rFonts w:ascii="宋体" w:hAnsi="宋体" w:cs="宋体"/>
          <w:color w:val="FF0000"/>
        </w:rPr>
      </w:pPr>
      <w:r>
        <w:rPr>
          <w:rFonts w:hint="eastAsia" w:ascii="宋体" w:hAnsi="宋体" w:cs="宋体"/>
          <w:color w:val="FF0000"/>
        </w:rPr>
        <w:t>章节框架导图</w:t>
      </w:r>
    </w:p>
    <w:p w14:paraId="38388E39">
      <w:pPr>
        <w:jc w:val="left"/>
        <w:rPr>
          <w:rFonts w:ascii="宋体" w:hAnsi="宋体" w:cs="宋体"/>
        </w:rPr>
      </w:pPr>
      <w:r>
        <w:rPr>
          <w:rFonts w:ascii="宋体" w:hAnsi="宋体" w:cs="宋体"/>
        </w:rPr>
        <w:drawing>
          <wp:inline distT="0" distB="0" distL="0" distR="0">
            <wp:extent cx="5791200" cy="2807335"/>
            <wp:effectExtent l="0" t="0" r="0" b="0"/>
            <wp:docPr id="1431423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23233" name="图片 1"/>
                    <pic:cNvPicPr>
                      <a:picLocks noChangeAspect="1"/>
                    </pic:cNvPicPr>
                  </pic:nvPicPr>
                  <pic:blipFill>
                    <a:blip r:embed="rId4">
                      <a:extLst>
                        <a:ext uri="{BEBA8EAE-BF5A-486C-A8C5-ECC9F3942E4B}">
                          <a14:imgProps xmlns:a14="http://schemas.microsoft.com/office/drawing/2010/main">
                            <a14:imgLayer r:embed="rId5">
                              <a14:imgEffect>
                                <a14:brightnessContrast bright="-89000"/>
                              </a14:imgEffect>
                            </a14:imgLayer>
                          </a14:imgProps>
                        </a:ext>
                        <a:ext uri="{28A0092B-C50C-407E-A947-70E740481C1C}">
                          <a14:useLocalDpi xmlns:a14="http://schemas.microsoft.com/office/drawing/2010/main" val="0"/>
                        </a:ext>
                      </a:extLst>
                    </a:blip>
                    <a:stretch>
                      <a:fillRect/>
                    </a:stretch>
                  </pic:blipFill>
                  <pic:spPr>
                    <a:xfrm>
                      <a:off x="0" y="0"/>
                      <a:ext cx="5794884" cy="2809251"/>
                    </a:xfrm>
                    <a:prstGeom prst="rect">
                      <a:avLst/>
                    </a:prstGeom>
                  </pic:spPr>
                </pic:pic>
              </a:graphicData>
            </a:graphic>
          </wp:inline>
        </w:drawing>
      </w:r>
    </w:p>
    <w:p w14:paraId="496D76DA">
      <w:pPr>
        <w:overflowPunct w:val="0"/>
        <w:jc w:val="center"/>
        <w:rPr>
          <w:rFonts w:ascii="宋体" w:hAnsi="宋体" w:cs="宋体"/>
          <w:b/>
          <w:bCs/>
        </w:rPr>
      </w:pPr>
      <w:r>
        <w:rPr>
          <w:rFonts w:hint="eastAsia" w:ascii="宋体" w:hAnsi="宋体" w:cs="宋体"/>
          <w:b/>
          <w:bCs/>
        </w:rPr>
        <w:t>第一节  货币时间价值</w:t>
      </w:r>
    </w:p>
    <w:p w14:paraId="4352339C">
      <w:pPr>
        <w:jc w:val="left"/>
        <w:rPr>
          <w:rFonts w:ascii="宋体" w:hAnsi="宋体" w:cs="宋体"/>
          <w:color w:val="FF0000"/>
        </w:rPr>
      </w:pPr>
      <w:r>
        <w:rPr>
          <w:rFonts w:hint="eastAsia" w:ascii="宋体" w:hAnsi="宋体" w:cs="宋体"/>
          <w:color w:val="FF0000"/>
        </w:rPr>
        <w:t>【知识点1】货币时间价值概念</w:t>
      </w:r>
    </w:p>
    <w:p w14:paraId="10CF81AD">
      <w:pPr>
        <w:jc w:val="left"/>
        <w:rPr>
          <w:rFonts w:ascii="宋体" w:hAnsi="宋体" w:cs="宋体"/>
        </w:rPr>
      </w:pPr>
      <w:r>
        <w:rPr>
          <w:rFonts w:hint="eastAsia" w:ascii="宋体" w:hAnsi="宋体" w:cs="宋体"/>
        </w:rPr>
        <w:t>货币时间价值，是指在</w:t>
      </w:r>
      <w:r>
        <w:rPr>
          <w:rFonts w:hint="eastAsia" w:ascii="宋体" w:hAnsi="宋体" w:cs="宋体"/>
          <w:color w:val="FF0000"/>
        </w:rPr>
        <w:t>没有风险</w:t>
      </w:r>
      <w:r>
        <w:rPr>
          <w:rFonts w:hint="eastAsia" w:ascii="宋体" w:hAnsi="宋体" w:cs="宋体"/>
        </w:rPr>
        <w:t>和</w:t>
      </w:r>
      <w:r>
        <w:rPr>
          <w:rFonts w:hint="eastAsia" w:ascii="宋体" w:hAnsi="宋体" w:cs="宋体"/>
          <w:color w:val="FF0000"/>
        </w:rPr>
        <w:t>没有通货膨胀</w:t>
      </w:r>
      <w:r>
        <w:rPr>
          <w:rFonts w:hint="eastAsia" w:ascii="宋体" w:hAnsi="宋体" w:cs="宋体"/>
        </w:rPr>
        <w:t>下，货币经历一定时间的投资和再投资所增加的价值，也成为资金的时间价值。</w:t>
      </w:r>
    </w:p>
    <w:p w14:paraId="13A9ED68">
      <w:pPr>
        <w:jc w:val="left"/>
        <w:rPr>
          <w:rFonts w:ascii="宋体" w:hAnsi="宋体" w:cs="宋体"/>
        </w:rPr>
      </w:pPr>
    </w:p>
    <w:p w14:paraId="3456841F">
      <w:pPr>
        <w:jc w:val="left"/>
        <w:rPr>
          <w:rFonts w:ascii="宋体" w:hAnsi="宋体" w:cs="宋体"/>
        </w:rPr>
      </w:pPr>
      <w:r>
        <w:rPr>
          <w:rFonts w:hint="eastAsia" w:ascii="宋体" w:hAnsi="宋体" w:cs="宋体"/>
        </w:rPr>
        <w:t>【判断题】（2023年）纯利率是指在无通货膨胀、无风险情况下资金市场的平均利率。（  ）</w:t>
      </w:r>
    </w:p>
    <w:p w14:paraId="7BCBCFD0">
      <w:pPr>
        <w:jc w:val="left"/>
        <w:rPr>
          <w:rFonts w:ascii="宋体" w:hAnsi="宋体" w:cs="宋体"/>
        </w:rPr>
      </w:pPr>
      <w:r>
        <w:rPr>
          <w:rFonts w:hint="eastAsia" w:ascii="宋体" w:hAnsi="宋体" w:cs="宋体"/>
        </w:rPr>
        <w:t>答案：正确</w:t>
      </w:r>
    </w:p>
    <w:p w14:paraId="217A4DA8">
      <w:pPr>
        <w:jc w:val="left"/>
        <w:rPr>
          <w:rFonts w:ascii="宋体" w:hAnsi="宋体" w:cs="宋体"/>
        </w:rPr>
      </w:pPr>
      <w:r>
        <w:rPr>
          <w:rFonts w:hint="eastAsia" w:ascii="宋体" w:hAnsi="宋体" w:cs="宋体"/>
        </w:rPr>
        <w:t>解析：纯利率是指在没有通货膨胀、无风险情况下资金市场的平均利率。没有通货膨胀时，短期国债利率可以视为纯利率</w:t>
      </w:r>
    </w:p>
    <w:p w14:paraId="1835F8E2">
      <w:pPr>
        <w:jc w:val="left"/>
        <w:rPr>
          <w:rFonts w:ascii="宋体" w:hAnsi="宋体" w:cs="宋体"/>
        </w:rPr>
      </w:pPr>
      <w:r>
        <w:rPr>
          <w:rFonts w:hint="eastAsia" w:ascii="宋体" w:hAnsi="宋体" w:cs="宋体"/>
        </w:rPr>
        <w:t>思考问题：</w:t>
      </w:r>
    </w:p>
    <w:p w14:paraId="59CA511D">
      <w:pPr>
        <w:jc w:val="left"/>
        <w:rPr>
          <w:rFonts w:ascii="宋体" w:hAnsi="宋体" w:cs="宋体"/>
        </w:rPr>
      </w:pPr>
      <w:r>
        <w:rPr>
          <w:rFonts w:hint="eastAsia" w:ascii="宋体" w:hAnsi="宋体" w:cs="宋体"/>
        </w:rPr>
        <w:t>2025年 100万元</w:t>
      </w:r>
    </w:p>
    <w:p w14:paraId="398CF284">
      <w:pPr>
        <w:jc w:val="left"/>
        <w:rPr>
          <w:rFonts w:ascii="宋体" w:hAnsi="宋体" w:cs="宋体"/>
        </w:rPr>
      </w:pPr>
      <w:r>
        <w:rPr>
          <w:rFonts w:hint="eastAsia" w:ascii="宋体" w:hAnsi="宋体" w:cs="宋体"/>
        </w:rPr>
        <w:t>2026年102万元</w:t>
      </w:r>
    </w:p>
    <w:p w14:paraId="2501F3C8">
      <w:pPr>
        <w:jc w:val="left"/>
        <w:rPr>
          <w:rFonts w:ascii="宋体" w:hAnsi="宋体" w:cs="宋体"/>
        </w:rPr>
      </w:pPr>
      <w:r>
        <w:rPr>
          <w:rFonts w:hint="eastAsia" w:ascii="宋体" w:hAnsi="宋体" w:cs="宋体"/>
        </w:rPr>
        <w:t>比较谁的价值更高？</w:t>
      </w:r>
    </w:p>
    <w:p w14:paraId="326DDAC6">
      <w:pPr>
        <w:jc w:val="left"/>
        <w:rPr>
          <w:rFonts w:ascii="宋体" w:hAnsi="宋体" w:cs="宋体"/>
        </w:rPr>
      </w:pPr>
      <w:r>
        <w:rPr>
          <w:rFonts w:hint="eastAsia" w:ascii="宋体" w:hAnsi="宋体" w:cs="宋体"/>
        </w:rPr>
        <w:t>解析：无法比较，因为时间不一样，无法直接比较。</w:t>
      </w:r>
    </w:p>
    <w:p w14:paraId="79C2E9D2">
      <w:pPr>
        <w:jc w:val="left"/>
        <w:rPr>
          <w:rFonts w:ascii="宋体" w:hAnsi="宋体" w:cs="宋体"/>
        </w:rPr>
      </w:pPr>
    </w:p>
    <w:p w14:paraId="0A7C7802">
      <w:pPr>
        <w:jc w:val="left"/>
        <w:rPr>
          <w:rFonts w:ascii="宋体" w:hAnsi="宋体" w:cs="宋体"/>
          <w:color w:val="FF0000"/>
        </w:rPr>
      </w:pPr>
      <w:r>
        <w:rPr>
          <w:rFonts w:hint="eastAsia" w:ascii="宋体" w:hAnsi="宋体" w:cs="宋体"/>
          <w:color w:val="FF0000"/>
        </w:rPr>
        <w:t>【知识点2】现值和终值的基本概念</w:t>
      </w:r>
    </w:p>
    <w:p w14:paraId="284C238F">
      <w:pPr>
        <w:jc w:val="left"/>
        <w:rPr>
          <w:rFonts w:ascii="宋体" w:hAnsi="宋体" w:cs="宋体"/>
        </w:rPr>
      </w:pPr>
      <w:r>
        <w:rPr>
          <w:rFonts w:hint="eastAsia" w:ascii="宋体" w:hAnsi="宋体" w:cs="宋体"/>
        </w:rPr>
        <w:t>1.现值：未来某一时点上的一定量资金折算到现在所对应的金额。</w:t>
      </w:r>
    </w:p>
    <w:p w14:paraId="2C7A0770">
      <w:pPr>
        <w:jc w:val="left"/>
        <w:rPr>
          <w:rFonts w:ascii="宋体" w:hAnsi="宋体" w:cs="宋体"/>
        </w:rPr>
      </w:pPr>
      <w:r>
        <w:rPr>
          <w:rFonts w:hint="eastAsia" w:ascii="宋体" w:hAnsi="宋体" w:cs="宋体"/>
        </w:rPr>
        <w:t>2.终值：现在一定量的资金折算到未来某一个时点所对应的金额。</w:t>
      </w:r>
    </w:p>
    <w:p w14:paraId="2CCA4482">
      <w:pPr>
        <w:jc w:val="left"/>
        <w:rPr>
          <w:rFonts w:ascii="宋体" w:hAnsi="宋体" w:cs="宋体"/>
        </w:rPr>
      </w:pPr>
      <w:r>
        <w:rPr>
          <w:rFonts w:ascii="宋体" w:hAnsi="宋体" w:cs="宋体"/>
        </w:rPr>
        <w:drawing>
          <wp:inline distT="0" distB="0" distL="0" distR="0">
            <wp:extent cx="4654550" cy="1012190"/>
            <wp:effectExtent l="0" t="0" r="0" b="3810"/>
            <wp:docPr id="12953844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448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3912" cy="1025259"/>
                    </a:xfrm>
                    <a:prstGeom prst="rect">
                      <a:avLst/>
                    </a:prstGeom>
                  </pic:spPr>
                </pic:pic>
              </a:graphicData>
            </a:graphic>
          </wp:inline>
        </w:drawing>
      </w:r>
    </w:p>
    <w:p w14:paraId="7D92A743">
      <w:pPr>
        <w:jc w:val="left"/>
        <w:rPr>
          <w:rFonts w:ascii="宋体" w:hAnsi="宋体" w:cs="宋体"/>
        </w:rPr>
      </w:pPr>
      <w:r>
        <w:rPr>
          <w:rFonts w:hint="eastAsia" w:ascii="宋体" w:hAnsi="宋体" w:cs="宋体"/>
        </w:rPr>
        <w:t>3.利息计算的两种方式：单利和复利</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741"/>
        <w:gridCol w:w="7096"/>
      </w:tblGrid>
      <w:tr w14:paraId="6A95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A21A3A4">
            <w:pPr>
              <w:jc w:val="left"/>
              <w:rPr>
                <w:rFonts w:ascii="宋体" w:hAnsi="宋体" w:cs="宋体"/>
              </w:rPr>
            </w:pPr>
            <w:r>
              <w:rPr>
                <w:rFonts w:hint="eastAsia" w:ascii="宋体" w:hAnsi="宋体" w:cs="宋体"/>
              </w:rPr>
              <w:t>计息方式</w:t>
            </w:r>
          </w:p>
        </w:tc>
        <w:tc>
          <w:tcPr>
            <w:tcW w:w="859" w:type="pct"/>
          </w:tcPr>
          <w:p w14:paraId="4BF43BFF">
            <w:pPr>
              <w:jc w:val="left"/>
              <w:rPr>
                <w:rFonts w:ascii="宋体" w:hAnsi="宋体" w:cs="宋体"/>
              </w:rPr>
            </w:pPr>
            <w:r>
              <w:rPr>
                <w:rFonts w:hint="eastAsia" w:ascii="宋体" w:hAnsi="宋体" w:cs="宋体"/>
              </w:rPr>
              <w:t>计息基础</w:t>
            </w:r>
          </w:p>
        </w:tc>
        <w:tc>
          <w:tcPr>
            <w:tcW w:w="3500" w:type="pct"/>
          </w:tcPr>
          <w:p w14:paraId="3955307D">
            <w:pPr>
              <w:jc w:val="left"/>
              <w:rPr>
                <w:rFonts w:ascii="宋体" w:hAnsi="宋体" w:cs="宋体"/>
              </w:rPr>
            </w:pPr>
            <w:r>
              <w:rPr>
                <w:rFonts w:hint="eastAsia" w:ascii="宋体" w:hAnsi="宋体" w:cs="宋体"/>
              </w:rPr>
              <w:t>概念</w:t>
            </w:r>
          </w:p>
        </w:tc>
      </w:tr>
      <w:tr w14:paraId="1994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8853C34">
            <w:pPr>
              <w:jc w:val="left"/>
              <w:rPr>
                <w:rFonts w:ascii="宋体" w:hAnsi="宋体" w:cs="宋体"/>
              </w:rPr>
            </w:pPr>
            <w:r>
              <w:rPr>
                <w:rFonts w:hint="eastAsia" w:ascii="宋体" w:hAnsi="宋体" w:cs="宋体"/>
              </w:rPr>
              <w:t>单利</w:t>
            </w:r>
          </w:p>
        </w:tc>
        <w:tc>
          <w:tcPr>
            <w:tcW w:w="859" w:type="pct"/>
          </w:tcPr>
          <w:p w14:paraId="1CEBC587">
            <w:pPr>
              <w:jc w:val="left"/>
              <w:rPr>
                <w:rFonts w:ascii="宋体" w:hAnsi="宋体" w:cs="宋体"/>
              </w:rPr>
            </w:pPr>
            <w:r>
              <w:rPr>
                <w:rFonts w:hint="eastAsia" w:ascii="宋体" w:hAnsi="宋体" w:cs="宋体"/>
              </w:rPr>
              <w:t>本金</w:t>
            </w:r>
          </w:p>
        </w:tc>
        <w:tc>
          <w:tcPr>
            <w:tcW w:w="3500" w:type="pct"/>
          </w:tcPr>
          <w:p w14:paraId="36BE4D1D">
            <w:pPr>
              <w:jc w:val="left"/>
              <w:rPr>
                <w:rFonts w:ascii="宋体" w:hAnsi="宋体" w:cs="宋体"/>
              </w:rPr>
            </w:pPr>
            <w:r>
              <w:rPr>
                <w:rFonts w:hint="eastAsia" w:ascii="宋体" w:hAnsi="宋体" w:cs="宋体"/>
              </w:rPr>
              <w:t>是指在计算利息时，只有本金计算利息，而以前各期利息在下一个利息周期内不计算利息的计息方法。</w:t>
            </w:r>
          </w:p>
        </w:tc>
      </w:tr>
      <w:tr w14:paraId="0419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56B98D34">
            <w:pPr>
              <w:jc w:val="left"/>
              <w:rPr>
                <w:rFonts w:ascii="宋体" w:hAnsi="宋体" w:cs="宋体"/>
              </w:rPr>
            </w:pPr>
            <w:r>
              <w:rPr>
                <w:rFonts w:hint="eastAsia" w:ascii="宋体" w:hAnsi="宋体" w:cs="宋体"/>
              </w:rPr>
              <w:t>复利</w:t>
            </w:r>
          </w:p>
        </w:tc>
        <w:tc>
          <w:tcPr>
            <w:tcW w:w="859" w:type="pct"/>
          </w:tcPr>
          <w:p w14:paraId="0C8E09CC">
            <w:pPr>
              <w:jc w:val="left"/>
              <w:rPr>
                <w:rFonts w:ascii="宋体" w:hAnsi="宋体" w:cs="宋体"/>
              </w:rPr>
            </w:pPr>
            <w:r>
              <w:rPr>
                <w:rFonts w:hint="eastAsia" w:ascii="宋体" w:hAnsi="宋体" w:cs="宋体"/>
              </w:rPr>
              <w:t>上期末本利和</w:t>
            </w:r>
          </w:p>
        </w:tc>
        <w:tc>
          <w:tcPr>
            <w:tcW w:w="3500" w:type="pct"/>
          </w:tcPr>
          <w:p w14:paraId="1C9BDEC1">
            <w:pPr>
              <w:jc w:val="left"/>
              <w:rPr>
                <w:rFonts w:ascii="宋体" w:hAnsi="宋体" w:cs="宋体"/>
              </w:rPr>
            </w:pPr>
            <w:r>
              <w:rPr>
                <w:rFonts w:hint="eastAsia" w:ascii="宋体" w:hAnsi="宋体" w:cs="宋体"/>
              </w:rPr>
              <w:t>是指每经过一个计息期（一年、半年、一月等），要将该期的利息加入本金再计算下一期的利息，逐期滚动计算，俗称“利滚利”。</w:t>
            </w:r>
          </w:p>
        </w:tc>
      </w:tr>
    </w:tbl>
    <w:p w14:paraId="25DECE6A">
      <w:pPr>
        <w:jc w:val="left"/>
      </w:pPr>
    </w:p>
    <w:p w14:paraId="68B5A4E7">
      <w:pPr>
        <w:overflowPunct w:val="0"/>
        <w:jc w:val="center"/>
        <w:rPr>
          <w:rFonts w:ascii="宋体" w:hAnsi="宋体" w:cs="宋体"/>
          <w:b/>
          <w:bCs/>
        </w:rPr>
      </w:pPr>
      <w:r>
        <w:rPr>
          <w:rFonts w:hint="eastAsia" w:ascii="宋体" w:hAnsi="宋体" w:cs="宋体"/>
          <w:b/>
          <w:bCs/>
        </w:rPr>
        <w:t>第一节  货币时间价值</w:t>
      </w:r>
    </w:p>
    <w:p w14:paraId="107B2DD7">
      <w:pPr>
        <w:jc w:val="left"/>
        <w:rPr>
          <w:rFonts w:ascii="宋体" w:hAnsi="宋体" w:cs="宋体"/>
          <w:color w:val="FF0000"/>
        </w:rPr>
      </w:pPr>
      <w:r>
        <w:rPr>
          <w:rFonts w:hint="eastAsia" w:ascii="宋体" w:hAnsi="宋体" w:cs="宋体"/>
          <w:color w:val="FF0000"/>
        </w:rPr>
        <w:t>【知识点3】复利终值和现值</w:t>
      </w:r>
    </w:p>
    <w:p w14:paraId="1B17F59A">
      <w:pPr>
        <w:jc w:val="left"/>
        <w:rPr>
          <w:rFonts w:ascii="宋体" w:hAnsi="宋体" w:cs="宋体"/>
          <w:color w:val="FF0000"/>
        </w:rPr>
      </w:pPr>
      <w:r>
        <w:rPr>
          <w:rFonts w:hint="eastAsia" w:ascii="宋体" w:hAnsi="宋体" w:cs="宋体"/>
          <w:color w:val="FF0000"/>
        </w:rPr>
        <w:t>（一）复利终值</w:t>
      </w:r>
    </w:p>
    <w:p w14:paraId="21BE73B0">
      <w:pPr>
        <w:jc w:val="left"/>
        <w:rPr>
          <w:rFonts w:ascii="宋体" w:hAnsi="宋体" w:cs="宋体"/>
        </w:rPr>
      </w:pPr>
      <w:r>
        <w:rPr>
          <w:rFonts w:hint="eastAsia" w:ascii="宋体" w:hAnsi="宋体" w:cs="宋体"/>
        </w:rPr>
        <w:t>复利终值指现在的特定资金按复利计算方法，折算到将来某一定时点的价值，或者说是现在的一定本金在将来的一定时间，按复利计算的本金与利息之和，简称本利和。</w:t>
      </w:r>
    </w:p>
    <w:p w14:paraId="51DDA5BC">
      <w:pPr>
        <w:jc w:val="left"/>
        <w:rPr>
          <w:rFonts w:ascii="宋体" w:hAnsi="宋体" w:cs="宋体"/>
        </w:rPr>
      </w:pPr>
      <w:r>
        <w:rPr>
          <w:rFonts w:hint="eastAsia" w:ascii="宋体" w:hAnsi="宋体" w:cs="宋体"/>
          <w:color w:val="FF0000"/>
        </w:rPr>
        <w:t>【例】</w:t>
      </w:r>
      <w:r>
        <w:rPr>
          <w:rFonts w:hint="eastAsia" w:ascii="宋体" w:hAnsi="宋体" w:cs="宋体"/>
        </w:rPr>
        <w:t>某人将100万元存入银行，年利率为10%，计算1年、2年后的本利和。</w:t>
      </w:r>
    </w:p>
    <w:p w14:paraId="32AC9F89">
      <w:pPr>
        <w:jc w:val="left"/>
        <w:rPr>
          <w:rFonts w:ascii="宋体" w:hAnsi="宋体" w:cs="宋体"/>
        </w:rPr>
      </w:pPr>
      <w:r>
        <w:rPr>
          <w:rFonts w:hint="eastAsia" w:ascii="宋体" w:hAnsi="宋体" w:cs="宋体"/>
        </w:rPr>
        <w:t>一年后的本利和F1=100+100*10%=100*（1+10%）=110（万元）</w:t>
      </w:r>
    </w:p>
    <w:p w14:paraId="6CC2DBB9">
      <w:pPr>
        <w:jc w:val="left"/>
        <w:rPr>
          <w:rFonts w:hint="eastAsia" w:ascii="宋体" w:hAnsi="宋体" w:cs="宋体"/>
        </w:rPr>
      </w:pPr>
      <w:r>
        <w:rPr>
          <w:rFonts w:hint="eastAsia" w:ascii="宋体" w:hAnsi="宋体" w:cs="宋体"/>
        </w:rPr>
        <w:t>两年后的本利和F2=100*（1+10%）*（1+10%）=100*（1＋10%）2 ＝121（万元）</w:t>
      </w:r>
    </w:p>
    <w:p w14:paraId="7ECF62FA">
      <w:pPr>
        <w:jc w:val="left"/>
        <w:rPr>
          <w:rFonts w:ascii="宋体" w:hAnsi="宋体" w:cs="宋体"/>
        </w:rPr>
      </w:pPr>
      <w:r>
        <w:rPr>
          <w:rFonts w:hint="eastAsia" w:ascii="宋体" w:hAnsi="宋体" w:cs="宋体"/>
        </w:rPr>
        <w:drawing>
          <wp:inline distT="0" distB="0" distL="114300" distR="114300">
            <wp:extent cx="5207000" cy="1767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brightnessContrast bright="-100000"/>
                              </a14:imgEffect>
                            </a14:imgLayer>
                          </a14:imgProps>
                        </a:ext>
                      </a:extLst>
                    </a:blip>
                    <a:stretch>
                      <a:fillRect/>
                    </a:stretch>
                  </pic:blipFill>
                  <pic:spPr>
                    <a:xfrm>
                      <a:off x="0" y="0"/>
                      <a:ext cx="5207000" cy="1767840"/>
                    </a:xfrm>
                    <a:prstGeom prst="rect">
                      <a:avLst/>
                    </a:prstGeom>
                    <a:noFill/>
                    <a:ln>
                      <a:noFill/>
                    </a:ln>
                  </pic:spPr>
                </pic:pic>
              </a:graphicData>
            </a:graphic>
          </wp:inline>
        </w:drawing>
      </w:r>
    </w:p>
    <w:p w14:paraId="1C8ED76A">
      <w:pPr>
        <w:jc w:val="left"/>
        <w:rPr>
          <w:rFonts w:ascii="宋体" w:hAnsi="宋体" w:cs="宋体"/>
        </w:rPr>
      </w:pPr>
      <w:r>
        <w:rPr>
          <w:rFonts w:ascii="宋体" w:hAnsi="宋体" w:cs="宋体"/>
        </w:rPr>
        <w:t>F＝P×（1＋i）</w:t>
      </w:r>
      <w:r>
        <w:rPr>
          <w:rFonts w:ascii="宋体" w:hAnsi="宋体" w:cs="宋体"/>
          <w:vertAlign w:val="superscript"/>
        </w:rPr>
        <w:t>n</w:t>
      </w:r>
      <w:r>
        <w:rPr>
          <w:rFonts w:ascii="宋体" w:hAnsi="宋体" w:cs="宋体"/>
        </w:rPr>
        <w:t>＝P×（F/P，i，n）</w:t>
      </w:r>
    </w:p>
    <w:p w14:paraId="2ED21A37">
      <w:pPr>
        <w:jc w:val="left"/>
        <w:rPr>
          <w:rFonts w:ascii="宋体" w:hAnsi="宋体" w:cs="宋体"/>
        </w:rPr>
      </w:pPr>
      <w:r>
        <w:rPr>
          <w:rFonts w:ascii="宋体" w:hAnsi="宋体" w:cs="宋体"/>
        </w:rPr>
        <w:t>其中：i表示计息期利率，n表示计息期数。（1+i）</w:t>
      </w:r>
      <w:r>
        <w:rPr>
          <w:rFonts w:ascii="宋体" w:hAnsi="宋体" w:cs="宋体"/>
          <w:vertAlign w:val="superscript"/>
        </w:rPr>
        <w:t>n</w:t>
      </w:r>
      <w:r>
        <w:rPr>
          <w:rFonts w:ascii="宋体" w:hAnsi="宋体" w:cs="宋体"/>
        </w:rPr>
        <w:t>称为复利终值系数或1元的复利终值，记作（F/P，i，n），可查“复利终值系数表”（见本书附表一）：</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689"/>
        <w:gridCol w:w="1689"/>
        <w:gridCol w:w="1689"/>
        <w:gridCol w:w="1690"/>
        <w:gridCol w:w="1690"/>
      </w:tblGrid>
      <w:tr w14:paraId="71B9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7E083EDC">
            <w:pPr>
              <w:jc w:val="left"/>
              <w:rPr>
                <w:rFonts w:ascii="宋体" w:hAnsi="宋体" w:cs="宋体"/>
              </w:rPr>
            </w:pPr>
            <w:r>
              <w:rPr>
                <w:rFonts w:hint="eastAsia" w:ascii="宋体" w:hAnsi="宋体" w:cs="宋体"/>
              </w:rPr>
              <w:t>期数</w:t>
            </w:r>
          </w:p>
        </w:tc>
        <w:tc>
          <w:tcPr>
            <w:tcW w:w="833" w:type="pct"/>
          </w:tcPr>
          <w:p w14:paraId="0D7FACE9">
            <w:pPr>
              <w:jc w:val="left"/>
              <w:rPr>
                <w:rFonts w:ascii="宋体" w:hAnsi="宋体" w:cs="宋体"/>
              </w:rPr>
            </w:pPr>
            <w:r>
              <w:rPr>
                <w:rFonts w:hint="eastAsia" w:ascii="宋体" w:hAnsi="宋体" w:cs="宋体"/>
              </w:rPr>
              <w:t>1%</w:t>
            </w:r>
          </w:p>
        </w:tc>
        <w:tc>
          <w:tcPr>
            <w:tcW w:w="833" w:type="pct"/>
          </w:tcPr>
          <w:p w14:paraId="3235F048">
            <w:pPr>
              <w:jc w:val="left"/>
              <w:rPr>
                <w:rFonts w:ascii="宋体" w:hAnsi="宋体" w:cs="宋体"/>
              </w:rPr>
            </w:pPr>
            <w:r>
              <w:rPr>
                <w:rFonts w:hint="eastAsia" w:ascii="宋体" w:hAnsi="宋体" w:cs="宋体"/>
              </w:rPr>
              <w:t>2%</w:t>
            </w:r>
          </w:p>
        </w:tc>
        <w:tc>
          <w:tcPr>
            <w:tcW w:w="833" w:type="pct"/>
          </w:tcPr>
          <w:p w14:paraId="5750CE7F">
            <w:pPr>
              <w:jc w:val="left"/>
              <w:rPr>
                <w:rFonts w:ascii="宋体" w:hAnsi="宋体" w:cs="宋体"/>
              </w:rPr>
            </w:pPr>
            <w:r>
              <w:rPr>
                <w:rFonts w:hint="eastAsia" w:ascii="宋体" w:hAnsi="宋体" w:cs="宋体"/>
              </w:rPr>
              <w:t>3%</w:t>
            </w:r>
          </w:p>
        </w:tc>
        <w:tc>
          <w:tcPr>
            <w:tcW w:w="833" w:type="pct"/>
          </w:tcPr>
          <w:p w14:paraId="49167E50">
            <w:pPr>
              <w:jc w:val="left"/>
              <w:rPr>
                <w:rFonts w:ascii="宋体" w:hAnsi="宋体" w:cs="宋体"/>
              </w:rPr>
            </w:pPr>
            <w:r>
              <w:rPr>
                <w:rFonts w:hint="eastAsia" w:ascii="宋体" w:hAnsi="宋体" w:cs="宋体"/>
              </w:rPr>
              <w:t>4%</w:t>
            </w:r>
          </w:p>
        </w:tc>
        <w:tc>
          <w:tcPr>
            <w:tcW w:w="833" w:type="pct"/>
          </w:tcPr>
          <w:p w14:paraId="64EF23AC">
            <w:pPr>
              <w:jc w:val="left"/>
              <w:rPr>
                <w:rFonts w:ascii="宋体" w:hAnsi="宋体" w:cs="宋体"/>
              </w:rPr>
            </w:pPr>
            <w:r>
              <w:rPr>
                <w:rFonts w:hint="eastAsia" w:ascii="宋体" w:hAnsi="宋体" w:cs="宋体"/>
              </w:rPr>
              <w:t>5%</w:t>
            </w:r>
          </w:p>
        </w:tc>
      </w:tr>
      <w:tr w14:paraId="6D2C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4D5107F6">
            <w:pPr>
              <w:jc w:val="left"/>
              <w:rPr>
                <w:rFonts w:ascii="宋体" w:hAnsi="宋体" w:cs="宋体"/>
              </w:rPr>
            </w:pPr>
            <w:r>
              <w:rPr>
                <w:rFonts w:hint="eastAsia" w:ascii="宋体" w:hAnsi="宋体" w:cs="宋体"/>
              </w:rPr>
              <w:t>1</w:t>
            </w:r>
          </w:p>
        </w:tc>
        <w:tc>
          <w:tcPr>
            <w:tcW w:w="833" w:type="pct"/>
          </w:tcPr>
          <w:p w14:paraId="622448A9">
            <w:pPr>
              <w:jc w:val="left"/>
              <w:rPr>
                <w:rFonts w:ascii="宋体" w:hAnsi="宋体" w:cs="宋体"/>
              </w:rPr>
            </w:pPr>
            <w:r>
              <w:rPr>
                <w:rFonts w:hint="eastAsia" w:ascii="宋体" w:hAnsi="宋体" w:cs="宋体"/>
              </w:rPr>
              <w:t>1.01</w:t>
            </w:r>
          </w:p>
        </w:tc>
        <w:tc>
          <w:tcPr>
            <w:tcW w:w="833" w:type="pct"/>
          </w:tcPr>
          <w:p w14:paraId="61DF5B4B">
            <w:pPr>
              <w:jc w:val="left"/>
              <w:rPr>
                <w:rFonts w:ascii="宋体" w:hAnsi="宋体" w:cs="宋体"/>
              </w:rPr>
            </w:pPr>
            <w:r>
              <w:rPr>
                <w:rFonts w:hint="eastAsia" w:ascii="宋体" w:hAnsi="宋体" w:cs="宋体"/>
              </w:rPr>
              <w:t>1.02</w:t>
            </w:r>
          </w:p>
        </w:tc>
        <w:tc>
          <w:tcPr>
            <w:tcW w:w="833" w:type="pct"/>
          </w:tcPr>
          <w:p w14:paraId="1E616287">
            <w:pPr>
              <w:jc w:val="left"/>
              <w:rPr>
                <w:rFonts w:ascii="宋体" w:hAnsi="宋体" w:cs="宋体"/>
              </w:rPr>
            </w:pPr>
            <w:r>
              <w:rPr>
                <w:rFonts w:hint="eastAsia" w:ascii="宋体" w:hAnsi="宋体" w:cs="宋体"/>
              </w:rPr>
              <w:t>1.03</w:t>
            </w:r>
          </w:p>
        </w:tc>
        <w:tc>
          <w:tcPr>
            <w:tcW w:w="833" w:type="pct"/>
          </w:tcPr>
          <w:p w14:paraId="0E4BB316">
            <w:pPr>
              <w:jc w:val="left"/>
              <w:rPr>
                <w:rFonts w:ascii="宋体" w:hAnsi="宋体" w:cs="宋体"/>
              </w:rPr>
            </w:pPr>
            <w:r>
              <w:rPr>
                <w:rFonts w:hint="eastAsia" w:ascii="宋体" w:hAnsi="宋体" w:cs="宋体"/>
              </w:rPr>
              <w:t>1.04</w:t>
            </w:r>
          </w:p>
        </w:tc>
        <w:tc>
          <w:tcPr>
            <w:tcW w:w="833" w:type="pct"/>
          </w:tcPr>
          <w:p w14:paraId="615F5C17">
            <w:pPr>
              <w:jc w:val="left"/>
              <w:rPr>
                <w:rFonts w:ascii="宋体" w:hAnsi="宋体" w:cs="宋体"/>
              </w:rPr>
            </w:pPr>
            <w:r>
              <w:rPr>
                <w:rFonts w:hint="eastAsia" w:ascii="宋体" w:hAnsi="宋体" w:cs="宋体"/>
              </w:rPr>
              <w:t>1.05</w:t>
            </w:r>
          </w:p>
        </w:tc>
      </w:tr>
      <w:tr w14:paraId="608E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31538C15">
            <w:pPr>
              <w:jc w:val="left"/>
              <w:rPr>
                <w:rFonts w:ascii="宋体" w:hAnsi="宋体" w:cs="宋体"/>
              </w:rPr>
            </w:pPr>
            <w:r>
              <w:rPr>
                <w:rFonts w:hint="eastAsia" w:ascii="宋体" w:hAnsi="宋体" w:cs="宋体"/>
              </w:rPr>
              <w:t>2</w:t>
            </w:r>
          </w:p>
        </w:tc>
        <w:tc>
          <w:tcPr>
            <w:tcW w:w="833" w:type="pct"/>
          </w:tcPr>
          <w:p w14:paraId="287B82FE">
            <w:pPr>
              <w:jc w:val="left"/>
              <w:rPr>
                <w:rFonts w:ascii="宋体" w:hAnsi="宋体" w:cs="宋体"/>
              </w:rPr>
            </w:pPr>
            <w:r>
              <w:rPr>
                <w:rFonts w:hint="eastAsia" w:ascii="宋体" w:hAnsi="宋体" w:cs="宋体"/>
              </w:rPr>
              <w:t>1.0201</w:t>
            </w:r>
          </w:p>
        </w:tc>
        <w:tc>
          <w:tcPr>
            <w:tcW w:w="833" w:type="pct"/>
          </w:tcPr>
          <w:p w14:paraId="197E4475">
            <w:pPr>
              <w:jc w:val="left"/>
              <w:rPr>
                <w:rFonts w:ascii="宋体" w:hAnsi="宋体" w:cs="宋体"/>
              </w:rPr>
            </w:pPr>
            <w:r>
              <w:rPr>
                <w:rFonts w:hint="eastAsia" w:ascii="宋体" w:hAnsi="宋体" w:cs="宋体"/>
              </w:rPr>
              <w:t>1.0404</w:t>
            </w:r>
          </w:p>
        </w:tc>
        <w:tc>
          <w:tcPr>
            <w:tcW w:w="833" w:type="pct"/>
          </w:tcPr>
          <w:p w14:paraId="4C6C59FB">
            <w:pPr>
              <w:jc w:val="left"/>
              <w:rPr>
                <w:rFonts w:ascii="宋体" w:hAnsi="宋体" w:cs="宋体"/>
              </w:rPr>
            </w:pPr>
            <w:r>
              <w:rPr>
                <w:rFonts w:hint="eastAsia" w:ascii="宋体" w:hAnsi="宋体" w:cs="宋体"/>
              </w:rPr>
              <w:t>1.0609</w:t>
            </w:r>
          </w:p>
        </w:tc>
        <w:tc>
          <w:tcPr>
            <w:tcW w:w="833" w:type="pct"/>
          </w:tcPr>
          <w:p w14:paraId="287CA447">
            <w:pPr>
              <w:jc w:val="left"/>
              <w:rPr>
                <w:rFonts w:ascii="宋体" w:hAnsi="宋体" w:cs="宋体"/>
              </w:rPr>
            </w:pPr>
            <w:r>
              <w:rPr>
                <w:rFonts w:hint="eastAsia" w:ascii="宋体" w:hAnsi="宋体" w:cs="宋体"/>
              </w:rPr>
              <w:t>1.0816</w:t>
            </w:r>
          </w:p>
        </w:tc>
        <w:tc>
          <w:tcPr>
            <w:tcW w:w="833" w:type="pct"/>
          </w:tcPr>
          <w:p w14:paraId="27FB4C99">
            <w:pPr>
              <w:jc w:val="left"/>
              <w:rPr>
                <w:rFonts w:ascii="宋体" w:hAnsi="宋体" w:cs="宋体"/>
              </w:rPr>
            </w:pPr>
            <w:r>
              <w:rPr>
                <w:rFonts w:hint="eastAsia" w:ascii="宋体" w:hAnsi="宋体" w:cs="宋体"/>
              </w:rPr>
              <w:t>1.1025</w:t>
            </w:r>
          </w:p>
        </w:tc>
      </w:tr>
      <w:tr w14:paraId="3820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5F4230D6">
            <w:pPr>
              <w:jc w:val="left"/>
              <w:rPr>
                <w:rFonts w:ascii="宋体" w:hAnsi="宋体" w:cs="宋体"/>
              </w:rPr>
            </w:pPr>
            <w:r>
              <w:rPr>
                <w:rFonts w:hint="eastAsia" w:ascii="宋体" w:hAnsi="宋体" w:cs="宋体"/>
              </w:rPr>
              <w:t>3</w:t>
            </w:r>
          </w:p>
        </w:tc>
        <w:tc>
          <w:tcPr>
            <w:tcW w:w="833" w:type="pct"/>
          </w:tcPr>
          <w:p w14:paraId="75DE3129">
            <w:pPr>
              <w:jc w:val="left"/>
              <w:rPr>
                <w:rFonts w:ascii="宋体" w:hAnsi="宋体" w:cs="宋体"/>
              </w:rPr>
            </w:pPr>
            <w:r>
              <w:rPr>
                <w:rFonts w:hint="eastAsia" w:ascii="宋体" w:hAnsi="宋体" w:cs="宋体"/>
              </w:rPr>
              <w:t>1.0303</w:t>
            </w:r>
          </w:p>
        </w:tc>
        <w:tc>
          <w:tcPr>
            <w:tcW w:w="833" w:type="pct"/>
          </w:tcPr>
          <w:p w14:paraId="576CA1FD">
            <w:pPr>
              <w:jc w:val="left"/>
              <w:rPr>
                <w:rFonts w:ascii="宋体" w:hAnsi="宋体" w:cs="宋体"/>
              </w:rPr>
            </w:pPr>
            <w:r>
              <w:rPr>
                <w:rFonts w:hint="eastAsia" w:ascii="宋体" w:hAnsi="宋体" w:cs="宋体"/>
              </w:rPr>
              <w:t>1.0612</w:t>
            </w:r>
          </w:p>
        </w:tc>
        <w:tc>
          <w:tcPr>
            <w:tcW w:w="833" w:type="pct"/>
          </w:tcPr>
          <w:p w14:paraId="1DA22D87">
            <w:pPr>
              <w:jc w:val="left"/>
              <w:rPr>
                <w:rFonts w:ascii="宋体" w:hAnsi="宋体" w:cs="宋体"/>
              </w:rPr>
            </w:pPr>
            <w:r>
              <w:rPr>
                <w:rFonts w:hint="eastAsia" w:ascii="宋体" w:hAnsi="宋体" w:cs="宋体"/>
              </w:rPr>
              <w:t>1.0927</w:t>
            </w:r>
          </w:p>
        </w:tc>
        <w:tc>
          <w:tcPr>
            <w:tcW w:w="833" w:type="pct"/>
          </w:tcPr>
          <w:p w14:paraId="7953C0AC">
            <w:pPr>
              <w:jc w:val="left"/>
              <w:rPr>
                <w:rFonts w:ascii="宋体" w:hAnsi="宋体" w:cs="宋体"/>
              </w:rPr>
            </w:pPr>
            <w:r>
              <w:rPr>
                <w:rFonts w:hint="eastAsia" w:ascii="宋体" w:hAnsi="宋体" w:cs="宋体"/>
              </w:rPr>
              <w:t>1.1249</w:t>
            </w:r>
          </w:p>
        </w:tc>
        <w:tc>
          <w:tcPr>
            <w:tcW w:w="833" w:type="pct"/>
          </w:tcPr>
          <w:p w14:paraId="3C01FB8D">
            <w:pPr>
              <w:jc w:val="left"/>
              <w:rPr>
                <w:rFonts w:ascii="宋体" w:hAnsi="宋体" w:cs="宋体"/>
              </w:rPr>
            </w:pPr>
            <w:r>
              <w:rPr>
                <w:rFonts w:hint="eastAsia" w:ascii="宋体" w:hAnsi="宋体" w:cs="宋体"/>
              </w:rPr>
              <w:t>1.1576</w:t>
            </w:r>
          </w:p>
        </w:tc>
      </w:tr>
      <w:tr w14:paraId="22F7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5CBCB041">
            <w:pPr>
              <w:jc w:val="left"/>
              <w:rPr>
                <w:rFonts w:ascii="宋体" w:hAnsi="宋体" w:cs="宋体"/>
              </w:rPr>
            </w:pPr>
            <w:r>
              <w:rPr>
                <w:rFonts w:hint="eastAsia" w:ascii="宋体" w:hAnsi="宋体" w:cs="宋体"/>
              </w:rPr>
              <w:t>4</w:t>
            </w:r>
          </w:p>
        </w:tc>
        <w:tc>
          <w:tcPr>
            <w:tcW w:w="833" w:type="pct"/>
          </w:tcPr>
          <w:p w14:paraId="55DFD5D2">
            <w:pPr>
              <w:jc w:val="left"/>
              <w:rPr>
                <w:rFonts w:ascii="宋体" w:hAnsi="宋体" w:cs="宋体"/>
              </w:rPr>
            </w:pPr>
            <w:r>
              <w:rPr>
                <w:rFonts w:hint="eastAsia" w:ascii="宋体" w:hAnsi="宋体" w:cs="宋体"/>
              </w:rPr>
              <w:t>1.0406</w:t>
            </w:r>
          </w:p>
        </w:tc>
        <w:tc>
          <w:tcPr>
            <w:tcW w:w="833" w:type="pct"/>
          </w:tcPr>
          <w:p w14:paraId="1CCE736C">
            <w:pPr>
              <w:jc w:val="left"/>
              <w:rPr>
                <w:rFonts w:ascii="宋体" w:hAnsi="宋体" w:cs="宋体"/>
              </w:rPr>
            </w:pPr>
            <w:r>
              <w:rPr>
                <w:rFonts w:hint="eastAsia" w:ascii="宋体" w:hAnsi="宋体" w:cs="宋体"/>
              </w:rPr>
              <w:t>1.0824</w:t>
            </w:r>
          </w:p>
        </w:tc>
        <w:tc>
          <w:tcPr>
            <w:tcW w:w="833" w:type="pct"/>
          </w:tcPr>
          <w:p w14:paraId="65614E40">
            <w:pPr>
              <w:jc w:val="left"/>
              <w:rPr>
                <w:rFonts w:ascii="宋体" w:hAnsi="宋体" w:cs="宋体"/>
              </w:rPr>
            </w:pPr>
            <w:r>
              <w:rPr>
                <w:rFonts w:hint="eastAsia" w:ascii="宋体" w:hAnsi="宋体" w:cs="宋体"/>
              </w:rPr>
              <w:t>1.1255</w:t>
            </w:r>
          </w:p>
        </w:tc>
        <w:tc>
          <w:tcPr>
            <w:tcW w:w="833" w:type="pct"/>
          </w:tcPr>
          <w:p w14:paraId="6F5C6F18">
            <w:pPr>
              <w:jc w:val="left"/>
              <w:rPr>
                <w:rFonts w:ascii="宋体" w:hAnsi="宋体" w:cs="宋体"/>
              </w:rPr>
            </w:pPr>
            <w:r>
              <w:rPr>
                <w:rFonts w:hint="eastAsia" w:ascii="宋体" w:hAnsi="宋体" w:cs="宋体"/>
              </w:rPr>
              <w:t>1.1699</w:t>
            </w:r>
          </w:p>
        </w:tc>
        <w:tc>
          <w:tcPr>
            <w:tcW w:w="833" w:type="pct"/>
          </w:tcPr>
          <w:p w14:paraId="7C0DC6E2">
            <w:pPr>
              <w:jc w:val="left"/>
              <w:rPr>
                <w:rFonts w:ascii="宋体" w:hAnsi="宋体" w:cs="宋体"/>
              </w:rPr>
            </w:pPr>
            <w:r>
              <w:rPr>
                <w:rFonts w:hint="eastAsia" w:ascii="宋体" w:hAnsi="宋体" w:cs="宋体"/>
              </w:rPr>
              <w:t>1.2155</w:t>
            </w:r>
          </w:p>
        </w:tc>
      </w:tr>
      <w:tr w14:paraId="2420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2CDB5AFC">
            <w:pPr>
              <w:jc w:val="left"/>
              <w:rPr>
                <w:rFonts w:ascii="宋体" w:hAnsi="宋体" w:cs="宋体"/>
              </w:rPr>
            </w:pPr>
            <w:r>
              <w:rPr>
                <w:rFonts w:hint="eastAsia" w:ascii="宋体" w:hAnsi="宋体" w:cs="宋体"/>
              </w:rPr>
              <w:t>5</w:t>
            </w:r>
          </w:p>
        </w:tc>
        <w:tc>
          <w:tcPr>
            <w:tcW w:w="833" w:type="pct"/>
          </w:tcPr>
          <w:p w14:paraId="6301150F">
            <w:pPr>
              <w:jc w:val="left"/>
              <w:rPr>
                <w:rFonts w:ascii="宋体" w:hAnsi="宋体" w:cs="宋体"/>
              </w:rPr>
            </w:pPr>
            <w:r>
              <w:rPr>
                <w:rFonts w:hint="eastAsia" w:ascii="宋体" w:hAnsi="宋体" w:cs="宋体"/>
              </w:rPr>
              <w:t>1.051</w:t>
            </w:r>
          </w:p>
        </w:tc>
        <w:tc>
          <w:tcPr>
            <w:tcW w:w="833" w:type="pct"/>
          </w:tcPr>
          <w:p w14:paraId="65A1EB0F">
            <w:pPr>
              <w:jc w:val="left"/>
              <w:rPr>
                <w:rFonts w:ascii="宋体" w:hAnsi="宋体" w:cs="宋体"/>
              </w:rPr>
            </w:pPr>
            <w:r>
              <w:rPr>
                <w:rFonts w:hint="eastAsia" w:ascii="宋体" w:hAnsi="宋体" w:cs="宋体"/>
              </w:rPr>
              <w:t>1.1041</w:t>
            </w:r>
          </w:p>
        </w:tc>
        <w:tc>
          <w:tcPr>
            <w:tcW w:w="833" w:type="pct"/>
          </w:tcPr>
          <w:p w14:paraId="46D08E2E">
            <w:pPr>
              <w:jc w:val="left"/>
              <w:rPr>
                <w:rFonts w:ascii="宋体" w:hAnsi="宋体" w:cs="宋体"/>
              </w:rPr>
            </w:pPr>
            <w:r>
              <w:rPr>
                <w:rFonts w:hint="eastAsia" w:ascii="宋体" w:hAnsi="宋体" w:cs="宋体"/>
              </w:rPr>
              <w:t>1.1593</w:t>
            </w:r>
          </w:p>
        </w:tc>
        <w:tc>
          <w:tcPr>
            <w:tcW w:w="833" w:type="pct"/>
          </w:tcPr>
          <w:p w14:paraId="08DEF6A7">
            <w:pPr>
              <w:jc w:val="left"/>
              <w:rPr>
                <w:rFonts w:ascii="宋体" w:hAnsi="宋体" w:cs="宋体"/>
              </w:rPr>
            </w:pPr>
            <w:r>
              <w:rPr>
                <w:rFonts w:hint="eastAsia" w:ascii="宋体" w:hAnsi="宋体" w:cs="宋体"/>
              </w:rPr>
              <w:t>1.2167</w:t>
            </w:r>
          </w:p>
        </w:tc>
        <w:tc>
          <w:tcPr>
            <w:tcW w:w="833" w:type="pct"/>
          </w:tcPr>
          <w:p w14:paraId="3E8D3C83">
            <w:pPr>
              <w:jc w:val="left"/>
              <w:rPr>
                <w:rFonts w:ascii="宋体" w:hAnsi="宋体" w:cs="宋体"/>
              </w:rPr>
            </w:pPr>
            <w:r>
              <w:rPr>
                <w:rFonts w:hint="eastAsia" w:ascii="宋体" w:hAnsi="宋体" w:cs="宋体"/>
              </w:rPr>
              <w:t>1.2763</w:t>
            </w:r>
          </w:p>
        </w:tc>
      </w:tr>
    </w:tbl>
    <w:p w14:paraId="0B16758D">
      <w:pPr>
        <w:jc w:val="left"/>
        <w:rPr>
          <w:rFonts w:ascii="宋体" w:hAnsi="宋体" w:cs="宋体"/>
        </w:rPr>
      </w:pPr>
      <w:r>
        <w:rPr>
          <w:rFonts w:hint="eastAsia" w:ascii="宋体" w:hAnsi="宋体" w:cs="宋体"/>
        </w:rPr>
        <w:t>【例】某人将100万元存入银行，年利率4%，半年计息一次，按照复利计算，求5年后的本利和。</w:t>
      </w:r>
    </w:p>
    <w:p w14:paraId="22E1C272">
      <w:pPr>
        <w:jc w:val="left"/>
        <w:rPr>
          <w:rFonts w:ascii="宋体" w:hAnsi="宋体" w:cs="宋体"/>
        </w:rPr>
      </w:pPr>
      <w:r>
        <w:rPr>
          <w:rFonts w:hint="eastAsia" w:ascii="宋体" w:hAnsi="宋体" w:cs="宋体"/>
          <w:color w:val="FF0000"/>
        </w:rPr>
        <w:t>答案：</w:t>
      </w:r>
      <w:r>
        <w:rPr>
          <w:rFonts w:hint="eastAsia" w:ascii="宋体" w:hAnsi="宋体" w:cs="宋体"/>
        </w:rPr>
        <w:t>本例中，一个计息期为半年，一年有两个计息期，所以，计息期利率＝4%/2＝2%，即i＝2%；由于5年共计有10个计息期，故n＝10。</w:t>
      </w:r>
    </w:p>
    <w:p w14:paraId="0469A8C5">
      <w:pPr>
        <w:jc w:val="left"/>
        <w:rPr>
          <w:rFonts w:ascii="宋体" w:hAnsi="宋体" w:cs="宋体"/>
        </w:rPr>
      </w:pPr>
      <w:r>
        <w:rPr>
          <w:rFonts w:hint="eastAsia" w:ascii="宋体" w:hAnsi="宋体" w:cs="宋体"/>
        </w:rPr>
        <w:t>所以：5年后的本利和F＝P×（F/P，2%，10）＝100×（F/P，2%，10）＝121.90（万元）</w:t>
      </w:r>
    </w:p>
    <w:p w14:paraId="487FCBA9">
      <w:pPr>
        <w:overflowPunct w:val="0"/>
        <w:jc w:val="left"/>
        <w:rPr>
          <w:rFonts w:ascii="宋体" w:hAnsi="宋体" w:cs="宋体"/>
          <w:color w:val="FF0000"/>
        </w:rPr>
      </w:pPr>
      <w:r>
        <w:rPr>
          <w:rFonts w:ascii="宋体" w:hAnsi="宋体" w:cs="宋体"/>
          <w:color w:val="FF0000"/>
        </w:rPr>
        <w:t>（二）复利现值</w:t>
      </w:r>
    </w:p>
    <w:p w14:paraId="031468AA">
      <w:pPr>
        <w:overflowPunct w:val="0"/>
        <w:jc w:val="left"/>
        <w:rPr>
          <w:rFonts w:ascii="宋体" w:hAnsi="宋体" w:cs="宋体"/>
        </w:rPr>
      </w:pPr>
      <w:r>
        <w:rPr>
          <w:rFonts w:ascii="宋体" w:hAnsi="宋体" w:cs="宋体"/>
        </w:rPr>
        <w:t>复利现值是指未来某一时点的特定资金按复利计算方法，折算到现在的价值。或者说是为取得将来一定本利和，现在所需要的本金。</w:t>
      </w:r>
    </w:p>
    <w:p w14:paraId="247AA4BB">
      <w:pPr>
        <w:overflowPunct w:val="0"/>
        <w:jc w:val="left"/>
        <w:rPr>
          <w:rFonts w:ascii="宋体" w:hAnsi="宋体" w:cs="宋体"/>
        </w:rPr>
      </w:pPr>
      <w:r>
        <w:rPr>
          <w:rFonts w:ascii="宋体" w:hAnsi="宋体" w:cs="宋体"/>
        </w:rPr>
        <w:t>P=F/（1＋i）</w:t>
      </w:r>
      <w:r>
        <w:rPr>
          <w:rFonts w:ascii="宋体" w:hAnsi="宋体" w:cs="宋体"/>
          <w:vertAlign w:val="superscript"/>
        </w:rPr>
        <w:t xml:space="preserve">n </w:t>
      </w:r>
      <w:r>
        <w:rPr>
          <w:rFonts w:ascii="宋体" w:hAnsi="宋体" w:cs="宋体"/>
        </w:rPr>
        <w:t>＝F×（P/F，i，n）</w:t>
      </w:r>
    </w:p>
    <w:p w14:paraId="71BDF287">
      <w:pPr>
        <w:overflowPunct w:val="0"/>
        <w:jc w:val="left"/>
        <w:rPr>
          <w:rFonts w:hint="eastAsia" w:ascii="宋体" w:hAnsi="宋体" w:cs="宋体"/>
        </w:rPr>
      </w:pPr>
      <w:r>
        <w:rPr>
          <w:rFonts w:ascii="宋体" w:hAnsi="宋体" w:cs="宋体"/>
        </w:rPr>
        <w:t>其中：</w:t>
      </w:r>
      <m:oMath>
        <m:f>
          <m:fPr>
            <m:ctrlPr>
              <w:rPr>
                <w:rFonts w:ascii="Cambria Math" w:hAnsi="Cambria Math" w:cs="宋体"/>
                <w:i/>
                <w:iCs/>
              </w:rPr>
            </m:ctrlPr>
          </m:fPr>
          <m:num>
            <m:r>
              <m:rPr>
                <m:sty m:val="p"/>
              </m:rPr>
              <w:rPr>
                <w:rFonts w:ascii="Cambria Math" w:hAnsi="Cambria Math" w:cs="宋体"/>
              </w:rPr>
              <m:t>1</m:t>
            </m:r>
            <m:ctrlPr>
              <w:rPr>
                <w:rFonts w:ascii="Cambria Math" w:hAnsi="Cambria Math" w:cs="宋体"/>
                <w:i/>
                <w:iCs/>
              </w:rPr>
            </m:ctrlPr>
          </m:num>
          <m:den>
            <m:sSup>
              <m:sSupPr>
                <m:ctrlPr>
                  <w:rPr>
                    <w:rFonts w:ascii="Cambria Math" w:hAnsi="Cambria Math" w:cs="宋体"/>
                    <w:i/>
                    <w:iCs/>
                  </w:rPr>
                </m:ctrlPr>
              </m:sSupPr>
              <m:e>
                <m:d>
                  <m:dPr>
                    <m:ctrlPr>
                      <w:rPr>
                        <w:rFonts w:ascii="Cambria Math" w:hAnsi="Cambria Math" w:cs="宋体"/>
                        <w:i/>
                        <w:iCs/>
                      </w:rPr>
                    </m:ctrlPr>
                  </m:dPr>
                  <m:e>
                    <m:r>
                      <m:rPr>
                        <m:sty m:val="p"/>
                      </m:rPr>
                      <w:rPr>
                        <w:rFonts w:ascii="Cambria Math" w:hAnsi="Cambria Math" w:cs="宋体"/>
                      </w:rPr>
                      <m:t>1+ⅈ</m:t>
                    </m:r>
                    <m:ctrlPr>
                      <w:rPr>
                        <w:rFonts w:ascii="Cambria Math" w:hAnsi="Cambria Math" w:cs="宋体"/>
                        <w:i/>
                        <w:iCs/>
                      </w:rPr>
                    </m:ctrlPr>
                  </m:e>
                </m:d>
                <m:ctrlPr>
                  <w:rPr>
                    <w:rFonts w:ascii="Cambria Math" w:hAnsi="Cambria Math" w:cs="宋体"/>
                    <w:i/>
                    <w:iCs/>
                  </w:rPr>
                </m:ctrlPr>
              </m:e>
              <m:sup>
                <m:r>
                  <m:rPr>
                    <m:sty m:val="p"/>
                  </m:rPr>
                  <w:rPr>
                    <w:rFonts w:ascii="Cambria Math" w:hAnsi="Cambria Math" w:cs="宋体"/>
                  </w:rPr>
                  <m:t>n</m:t>
                </m:r>
                <m:ctrlPr>
                  <w:rPr>
                    <w:rFonts w:ascii="Cambria Math" w:hAnsi="Cambria Math" w:cs="宋体"/>
                    <w:i/>
                    <w:iCs/>
                  </w:rPr>
                </m:ctrlPr>
              </m:sup>
            </m:sSup>
            <m:ctrlPr>
              <w:rPr>
                <w:rFonts w:ascii="Cambria Math" w:hAnsi="Cambria Math" w:cs="宋体"/>
                <w:i/>
                <w:iCs/>
              </w:rPr>
            </m:ctrlPr>
          </m:den>
        </m:f>
      </m:oMath>
      <w:r>
        <w:rPr>
          <w:rFonts w:ascii="宋体" w:hAnsi="宋体" w:cs="宋体"/>
        </w:rPr>
        <w:t xml:space="preserve"> 称为复利现值系数或1元的复利现值，记作，可查“复利现值系数表”（见本书附表二）：</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689"/>
        <w:gridCol w:w="1689"/>
        <w:gridCol w:w="1689"/>
        <w:gridCol w:w="1690"/>
        <w:gridCol w:w="1690"/>
      </w:tblGrid>
      <w:tr w14:paraId="5022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tcPr>
          <w:p w14:paraId="0B10C3EC">
            <w:pPr>
              <w:rPr>
                <w:rFonts w:ascii="宋体" w:hAnsi="宋体" w:cs="宋体"/>
              </w:rPr>
            </w:pPr>
            <w:r>
              <w:rPr>
                <w:rFonts w:hint="eastAsia" w:ascii="宋体" w:hAnsi="宋体" w:cs="宋体"/>
              </w:rPr>
              <w:t>期数</w:t>
            </w:r>
          </w:p>
        </w:tc>
        <w:tc>
          <w:tcPr>
            <w:tcW w:w="833" w:type="pct"/>
          </w:tcPr>
          <w:p w14:paraId="6FD06FE7">
            <w:pPr>
              <w:rPr>
                <w:rFonts w:ascii="宋体" w:hAnsi="宋体" w:cs="宋体"/>
              </w:rPr>
            </w:pPr>
            <w:r>
              <w:rPr>
                <w:rFonts w:hint="eastAsia" w:ascii="宋体" w:hAnsi="宋体" w:cs="宋体"/>
              </w:rPr>
              <w:t>1%</w:t>
            </w:r>
          </w:p>
        </w:tc>
        <w:tc>
          <w:tcPr>
            <w:tcW w:w="833" w:type="pct"/>
          </w:tcPr>
          <w:p w14:paraId="35739508">
            <w:pPr>
              <w:rPr>
                <w:rFonts w:ascii="宋体" w:hAnsi="宋体" w:cs="宋体"/>
              </w:rPr>
            </w:pPr>
            <w:r>
              <w:rPr>
                <w:rFonts w:hint="eastAsia" w:ascii="宋体" w:hAnsi="宋体" w:cs="宋体"/>
              </w:rPr>
              <w:t>2%</w:t>
            </w:r>
          </w:p>
        </w:tc>
        <w:tc>
          <w:tcPr>
            <w:tcW w:w="833" w:type="pct"/>
          </w:tcPr>
          <w:p w14:paraId="2FC28DA2">
            <w:pPr>
              <w:rPr>
                <w:rFonts w:ascii="宋体" w:hAnsi="宋体" w:cs="宋体"/>
              </w:rPr>
            </w:pPr>
            <w:r>
              <w:rPr>
                <w:rFonts w:hint="eastAsia" w:ascii="宋体" w:hAnsi="宋体" w:cs="宋体"/>
              </w:rPr>
              <w:t>3%</w:t>
            </w:r>
          </w:p>
        </w:tc>
        <w:tc>
          <w:tcPr>
            <w:tcW w:w="833" w:type="pct"/>
          </w:tcPr>
          <w:p w14:paraId="25810891">
            <w:pPr>
              <w:rPr>
                <w:rFonts w:ascii="宋体" w:hAnsi="宋体" w:cs="宋体"/>
              </w:rPr>
            </w:pPr>
            <w:r>
              <w:rPr>
                <w:rFonts w:hint="eastAsia" w:ascii="宋体" w:hAnsi="宋体" w:cs="宋体"/>
              </w:rPr>
              <w:t>4%</w:t>
            </w:r>
          </w:p>
        </w:tc>
        <w:tc>
          <w:tcPr>
            <w:tcW w:w="833" w:type="pct"/>
          </w:tcPr>
          <w:p w14:paraId="54FCA264">
            <w:pPr>
              <w:rPr>
                <w:rFonts w:ascii="宋体" w:hAnsi="宋体" w:cs="宋体"/>
              </w:rPr>
            </w:pPr>
            <w:r>
              <w:rPr>
                <w:rFonts w:hint="eastAsia" w:ascii="宋体" w:hAnsi="宋体" w:cs="宋体"/>
              </w:rPr>
              <w:t>5%</w:t>
            </w:r>
          </w:p>
        </w:tc>
      </w:tr>
      <w:tr w14:paraId="7F55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43D03D84">
            <w:pPr>
              <w:rPr>
                <w:rFonts w:ascii="宋体" w:hAnsi="宋体" w:cs="宋体"/>
              </w:rPr>
            </w:pPr>
            <w:r>
              <w:rPr>
                <w:rFonts w:hint="eastAsia" w:ascii="宋体" w:hAnsi="宋体" w:cs="宋体"/>
              </w:rPr>
              <w:t>1</w:t>
            </w:r>
          </w:p>
        </w:tc>
        <w:tc>
          <w:tcPr>
            <w:tcW w:w="833" w:type="pct"/>
          </w:tcPr>
          <w:p w14:paraId="0CE7BFCF">
            <w:pPr>
              <w:rPr>
                <w:rFonts w:ascii="宋体" w:hAnsi="宋体" w:cs="宋体"/>
              </w:rPr>
            </w:pPr>
            <w:r>
              <w:rPr>
                <w:rFonts w:hint="eastAsia" w:ascii="宋体" w:hAnsi="宋体" w:cs="宋体"/>
              </w:rPr>
              <w:t>0.9901</w:t>
            </w:r>
          </w:p>
        </w:tc>
        <w:tc>
          <w:tcPr>
            <w:tcW w:w="833" w:type="pct"/>
          </w:tcPr>
          <w:p w14:paraId="5825F849">
            <w:pPr>
              <w:rPr>
                <w:rFonts w:ascii="宋体" w:hAnsi="宋体" w:cs="宋体"/>
              </w:rPr>
            </w:pPr>
            <w:r>
              <w:rPr>
                <w:rFonts w:hint="eastAsia" w:ascii="宋体" w:hAnsi="宋体" w:cs="宋体"/>
              </w:rPr>
              <w:t>0.9804</w:t>
            </w:r>
          </w:p>
        </w:tc>
        <w:tc>
          <w:tcPr>
            <w:tcW w:w="833" w:type="pct"/>
          </w:tcPr>
          <w:p w14:paraId="10DBC556">
            <w:pPr>
              <w:rPr>
                <w:rFonts w:ascii="宋体" w:hAnsi="宋体" w:cs="宋体"/>
              </w:rPr>
            </w:pPr>
            <w:r>
              <w:rPr>
                <w:rFonts w:hint="eastAsia" w:ascii="宋体" w:hAnsi="宋体" w:cs="宋体"/>
              </w:rPr>
              <w:t>0.9709</w:t>
            </w:r>
          </w:p>
        </w:tc>
        <w:tc>
          <w:tcPr>
            <w:tcW w:w="833" w:type="pct"/>
          </w:tcPr>
          <w:p w14:paraId="126FE50F">
            <w:pPr>
              <w:rPr>
                <w:rFonts w:ascii="宋体" w:hAnsi="宋体" w:cs="宋体"/>
              </w:rPr>
            </w:pPr>
            <w:r>
              <w:rPr>
                <w:rFonts w:hint="eastAsia" w:ascii="宋体" w:hAnsi="宋体" w:cs="宋体"/>
              </w:rPr>
              <w:t>0.9615</w:t>
            </w:r>
          </w:p>
        </w:tc>
        <w:tc>
          <w:tcPr>
            <w:tcW w:w="833" w:type="pct"/>
          </w:tcPr>
          <w:p w14:paraId="181E4725">
            <w:pPr>
              <w:rPr>
                <w:rFonts w:ascii="宋体" w:hAnsi="宋体" w:cs="宋体"/>
              </w:rPr>
            </w:pPr>
            <w:r>
              <w:rPr>
                <w:rFonts w:hint="eastAsia" w:ascii="宋体" w:hAnsi="宋体" w:cs="宋体"/>
              </w:rPr>
              <w:t>0.9524</w:t>
            </w:r>
          </w:p>
        </w:tc>
      </w:tr>
      <w:tr w14:paraId="6F4A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3ECB6196">
            <w:pPr>
              <w:rPr>
                <w:rFonts w:ascii="宋体" w:hAnsi="宋体" w:cs="宋体"/>
              </w:rPr>
            </w:pPr>
            <w:r>
              <w:rPr>
                <w:rFonts w:hint="eastAsia" w:ascii="宋体" w:hAnsi="宋体" w:cs="宋体"/>
              </w:rPr>
              <w:t>2</w:t>
            </w:r>
          </w:p>
        </w:tc>
        <w:tc>
          <w:tcPr>
            <w:tcW w:w="833" w:type="pct"/>
          </w:tcPr>
          <w:p w14:paraId="717AAD9A">
            <w:pPr>
              <w:rPr>
                <w:rFonts w:ascii="宋体" w:hAnsi="宋体" w:cs="宋体"/>
              </w:rPr>
            </w:pPr>
            <w:r>
              <w:rPr>
                <w:rFonts w:hint="eastAsia" w:ascii="宋体" w:hAnsi="宋体" w:cs="宋体"/>
              </w:rPr>
              <w:t>0.9803</w:t>
            </w:r>
          </w:p>
        </w:tc>
        <w:tc>
          <w:tcPr>
            <w:tcW w:w="833" w:type="pct"/>
          </w:tcPr>
          <w:p w14:paraId="6C31DA2E">
            <w:pPr>
              <w:rPr>
                <w:rFonts w:ascii="宋体" w:hAnsi="宋体" w:cs="宋体"/>
              </w:rPr>
            </w:pPr>
            <w:r>
              <w:rPr>
                <w:rFonts w:hint="eastAsia" w:ascii="宋体" w:hAnsi="宋体" w:cs="宋体"/>
              </w:rPr>
              <w:t>0.9612</w:t>
            </w:r>
          </w:p>
        </w:tc>
        <w:tc>
          <w:tcPr>
            <w:tcW w:w="833" w:type="pct"/>
          </w:tcPr>
          <w:p w14:paraId="0D237E7E">
            <w:pPr>
              <w:rPr>
                <w:rFonts w:ascii="宋体" w:hAnsi="宋体" w:cs="宋体"/>
              </w:rPr>
            </w:pPr>
            <w:r>
              <w:rPr>
                <w:rFonts w:hint="eastAsia" w:ascii="宋体" w:hAnsi="宋体" w:cs="宋体"/>
              </w:rPr>
              <w:t>0.9426</w:t>
            </w:r>
          </w:p>
        </w:tc>
        <w:tc>
          <w:tcPr>
            <w:tcW w:w="833" w:type="pct"/>
          </w:tcPr>
          <w:p w14:paraId="322762BD">
            <w:pPr>
              <w:rPr>
                <w:rFonts w:ascii="宋体" w:hAnsi="宋体" w:cs="宋体"/>
              </w:rPr>
            </w:pPr>
            <w:r>
              <w:rPr>
                <w:rFonts w:hint="eastAsia" w:ascii="宋体" w:hAnsi="宋体" w:cs="宋体"/>
              </w:rPr>
              <w:t>0.9246</w:t>
            </w:r>
          </w:p>
        </w:tc>
        <w:tc>
          <w:tcPr>
            <w:tcW w:w="833" w:type="pct"/>
          </w:tcPr>
          <w:p w14:paraId="5879BBBD">
            <w:pPr>
              <w:rPr>
                <w:rFonts w:ascii="宋体" w:hAnsi="宋体" w:cs="宋体"/>
              </w:rPr>
            </w:pPr>
            <w:r>
              <w:rPr>
                <w:rFonts w:hint="eastAsia" w:ascii="宋体" w:hAnsi="宋体" w:cs="宋体"/>
              </w:rPr>
              <w:t>0.907</w:t>
            </w:r>
          </w:p>
        </w:tc>
      </w:tr>
      <w:tr w14:paraId="6E7A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6C5CFFD4">
            <w:pPr>
              <w:rPr>
                <w:rFonts w:ascii="宋体" w:hAnsi="宋体" w:cs="宋体"/>
              </w:rPr>
            </w:pPr>
            <w:r>
              <w:rPr>
                <w:rFonts w:hint="eastAsia" w:ascii="宋体" w:hAnsi="宋体" w:cs="宋体"/>
              </w:rPr>
              <w:t>3</w:t>
            </w:r>
          </w:p>
        </w:tc>
        <w:tc>
          <w:tcPr>
            <w:tcW w:w="833" w:type="pct"/>
          </w:tcPr>
          <w:p w14:paraId="1C02D443">
            <w:pPr>
              <w:rPr>
                <w:rFonts w:ascii="宋体" w:hAnsi="宋体" w:cs="宋体"/>
              </w:rPr>
            </w:pPr>
            <w:r>
              <w:rPr>
                <w:rFonts w:hint="eastAsia" w:ascii="宋体" w:hAnsi="宋体" w:cs="宋体"/>
              </w:rPr>
              <w:t>0.9706</w:t>
            </w:r>
          </w:p>
        </w:tc>
        <w:tc>
          <w:tcPr>
            <w:tcW w:w="833" w:type="pct"/>
          </w:tcPr>
          <w:p w14:paraId="224EC3CB">
            <w:pPr>
              <w:rPr>
                <w:rFonts w:ascii="宋体" w:hAnsi="宋体" w:cs="宋体"/>
              </w:rPr>
            </w:pPr>
            <w:r>
              <w:rPr>
                <w:rFonts w:hint="eastAsia" w:ascii="宋体" w:hAnsi="宋体" w:cs="宋体"/>
              </w:rPr>
              <w:t>0.9423</w:t>
            </w:r>
          </w:p>
        </w:tc>
        <w:tc>
          <w:tcPr>
            <w:tcW w:w="833" w:type="pct"/>
          </w:tcPr>
          <w:p w14:paraId="69665A97">
            <w:pPr>
              <w:rPr>
                <w:rFonts w:ascii="宋体" w:hAnsi="宋体" w:cs="宋体"/>
              </w:rPr>
            </w:pPr>
            <w:r>
              <w:rPr>
                <w:rFonts w:hint="eastAsia" w:ascii="宋体" w:hAnsi="宋体" w:cs="宋体"/>
              </w:rPr>
              <w:t>0.9151</w:t>
            </w:r>
          </w:p>
        </w:tc>
        <w:tc>
          <w:tcPr>
            <w:tcW w:w="833" w:type="pct"/>
          </w:tcPr>
          <w:p w14:paraId="050ECEFE">
            <w:pPr>
              <w:rPr>
                <w:rFonts w:ascii="宋体" w:hAnsi="宋体" w:cs="宋体"/>
              </w:rPr>
            </w:pPr>
            <w:r>
              <w:rPr>
                <w:rFonts w:hint="eastAsia" w:ascii="宋体" w:hAnsi="宋体" w:cs="宋体"/>
              </w:rPr>
              <w:t>0.889</w:t>
            </w:r>
          </w:p>
        </w:tc>
        <w:tc>
          <w:tcPr>
            <w:tcW w:w="833" w:type="pct"/>
          </w:tcPr>
          <w:p w14:paraId="547B6763">
            <w:pPr>
              <w:rPr>
                <w:rFonts w:ascii="宋体" w:hAnsi="宋体" w:cs="宋体"/>
              </w:rPr>
            </w:pPr>
            <w:r>
              <w:rPr>
                <w:rFonts w:hint="eastAsia" w:ascii="宋体" w:hAnsi="宋体" w:cs="宋体"/>
              </w:rPr>
              <w:t>0.8638</w:t>
            </w:r>
          </w:p>
        </w:tc>
      </w:tr>
      <w:tr w14:paraId="30C1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4CB766D8">
            <w:pPr>
              <w:rPr>
                <w:rFonts w:ascii="宋体" w:hAnsi="宋体" w:cs="宋体"/>
              </w:rPr>
            </w:pPr>
            <w:r>
              <w:rPr>
                <w:rFonts w:hint="eastAsia" w:ascii="宋体" w:hAnsi="宋体" w:cs="宋体"/>
              </w:rPr>
              <w:t>4</w:t>
            </w:r>
          </w:p>
        </w:tc>
        <w:tc>
          <w:tcPr>
            <w:tcW w:w="833" w:type="pct"/>
          </w:tcPr>
          <w:p w14:paraId="1090AB03">
            <w:pPr>
              <w:rPr>
                <w:rFonts w:ascii="宋体" w:hAnsi="宋体" w:cs="宋体"/>
              </w:rPr>
            </w:pPr>
            <w:r>
              <w:rPr>
                <w:rFonts w:hint="eastAsia" w:ascii="宋体" w:hAnsi="宋体" w:cs="宋体"/>
              </w:rPr>
              <w:t>0.961</w:t>
            </w:r>
          </w:p>
        </w:tc>
        <w:tc>
          <w:tcPr>
            <w:tcW w:w="833" w:type="pct"/>
          </w:tcPr>
          <w:p w14:paraId="3461670F">
            <w:pPr>
              <w:rPr>
                <w:rFonts w:ascii="宋体" w:hAnsi="宋体" w:cs="宋体"/>
              </w:rPr>
            </w:pPr>
            <w:r>
              <w:rPr>
                <w:rFonts w:hint="eastAsia" w:ascii="宋体" w:hAnsi="宋体" w:cs="宋体"/>
              </w:rPr>
              <w:t>0.9238</w:t>
            </w:r>
          </w:p>
        </w:tc>
        <w:tc>
          <w:tcPr>
            <w:tcW w:w="833" w:type="pct"/>
          </w:tcPr>
          <w:p w14:paraId="33774C12">
            <w:pPr>
              <w:rPr>
                <w:rFonts w:ascii="宋体" w:hAnsi="宋体" w:cs="宋体"/>
              </w:rPr>
            </w:pPr>
            <w:r>
              <w:rPr>
                <w:rFonts w:hint="eastAsia" w:ascii="宋体" w:hAnsi="宋体" w:cs="宋体"/>
              </w:rPr>
              <w:t>0.8885</w:t>
            </w:r>
          </w:p>
        </w:tc>
        <w:tc>
          <w:tcPr>
            <w:tcW w:w="833" w:type="pct"/>
          </w:tcPr>
          <w:p w14:paraId="48F8304A">
            <w:pPr>
              <w:rPr>
                <w:rFonts w:ascii="宋体" w:hAnsi="宋体" w:cs="宋体"/>
              </w:rPr>
            </w:pPr>
            <w:r>
              <w:rPr>
                <w:rFonts w:hint="eastAsia" w:ascii="宋体" w:hAnsi="宋体" w:cs="宋体"/>
              </w:rPr>
              <w:t>0.8548</w:t>
            </w:r>
          </w:p>
        </w:tc>
        <w:tc>
          <w:tcPr>
            <w:tcW w:w="833" w:type="pct"/>
          </w:tcPr>
          <w:p w14:paraId="1448333D">
            <w:pPr>
              <w:rPr>
                <w:rFonts w:ascii="宋体" w:hAnsi="宋体" w:cs="宋体"/>
              </w:rPr>
            </w:pPr>
            <w:r>
              <w:rPr>
                <w:rFonts w:hint="eastAsia" w:ascii="宋体" w:hAnsi="宋体" w:cs="宋体"/>
              </w:rPr>
              <w:t>0.8227</w:t>
            </w:r>
          </w:p>
        </w:tc>
      </w:tr>
      <w:tr w14:paraId="7348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7DF27751">
            <w:pPr>
              <w:rPr>
                <w:rFonts w:ascii="宋体" w:hAnsi="宋体" w:cs="宋体"/>
              </w:rPr>
            </w:pPr>
            <w:r>
              <w:rPr>
                <w:rFonts w:hint="eastAsia" w:ascii="宋体" w:hAnsi="宋体" w:cs="宋体"/>
              </w:rPr>
              <w:t>5</w:t>
            </w:r>
          </w:p>
        </w:tc>
        <w:tc>
          <w:tcPr>
            <w:tcW w:w="833" w:type="pct"/>
          </w:tcPr>
          <w:p w14:paraId="2A8079DF">
            <w:pPr>
              <w:rPr>
                <w:rFonts w:ascii="宋体" w:hAnsi="宋体" w:cs="宋体"/>
              </w:rPr>
            </w:pPr>
            <w:r>
              <w:rPr>
                <w:rFonts w:hint="eastAsia" w:ascii="宋体" w:hAnsi="宋体" w:cs="宋体"/>
              </w:rPr>
              <w:t>0.9515</w:t>
            </w:r>
          </w:p>
        </w:tc>
        <w:tc>
          <w:tcPr>
            <w:tcW w:w="833" w:type="pct"/>
          </w:tcPr>
          <w:p w14:paraId="12C4F3D7">
            <w:pPr>
              <w:rPr>
                <w:rFonts w:ascii="宋体" w:hAnsi="宋体" w:cs="宋体"/>
              </w:rPr>
            </w:pPr>
            <w:r>
              <w:rPr>
                <w:rFonts w:hint="eastAsia" w:ascii="宋体" w:hAnsi="宋体" w:cs="宋体"/>
              </w:rPr>
              <w:t>0.9057</w:t>
            </w:r>
          </w:p>
        </w:tc>
        <w:tc>
          <w:tcPr>
            <w:tcW w:w="833" w:type="pct"/>
          </w:tcPr>
          <w:p w14:paraId="0AFFCEB8">
            <w:pPr>
              <w:rPr>
                <w:rFonts w:ascii="宋体" w:hAnsi="宋体" w:cs="宋体"/>
              </w:rPr>
            </w:pPr>
            <w:r>
              <w:rPr>
                <w:rFonts w:hint="eastAsia" w:ascii="宋体" w:hAnsi="宋体" w:cs="宋体"/>
              </w:rPr>
              <w:t>0.8626</w:t>
            </w:r>
          </w:p>
        </w:tc>
        <w:tc>
          <w:tcPr>
            <w:tcW w:w="833" w:type="pct"/>
          </w:tcPr>
          <w:p w14:paraId="016224AA">
            <w:pPr>
              <w:rPr>
                <w:rFonts w:ascii="宋体" w:hAnsi="宋体" w:cs="宋体"/>
              </w:rPr>
            </w:pPr>
            <w:r>
              <w:rPr>
                <w:rFonts w:hint="eastAsia" w:ascii="宋体" w:hAnsi="宋体" w:cs="宋体"/>
              </w:rPr>
              <w:t>0.8219</w:t>
            </w:r>
          </w:p>
        </w:tc>
        <w:tc>
          <w:tcPr>
            <w:tcW w:w="833" w:type="pct"/>
          </w:tcPr>
          <w:p w14:paraId="71309981">
            <w:pPr>
              <w:rPr>
                <w:rFonts w:ascii="宋体" w:hAnsi="宋体" w:cs="宋体"/>
              </w:rPr>
            </w:pPr>
            <w:r>
              <w:rPr>
                <w:rFonts w:hint="eastAsia" w:ascii="宋体" w:hAnsi="宋体" w:cs="宋体"/>
              </w:rPr>
              <w:t>0.7835</w:t>
            </w:r>
          </w:p>
        </w:tc>
      </w:tr>
    </w:tbl>
    <w:p w14:paraId="68AE6D47">
      <w:pPr>
        <w:jc w:val="left"/>
        <w:rPr>
          <w:rFonts w:ascii="宋体" w:hAnsi="宋体" w:cs="宋体"/>
        </w:rPr>
      </w:pPr>
      <w:r>
        <w:rPr>
          <w:rFonts w:hint="eastAsia" w:ascii="宋体" w:hAnsi="宋体" w:cs="宋体"/>
          <w:color w:val="FF0000"/>
        </w:rPr>
        <w:t>【例】</w:t>
      </w:r>
      <w:r>
        <w:rPr>
          <w:rFonts w:hint="eastAsia" w:ascii="宋体" w:hAnsi="宋体" w:cs="宋体"/>
        </w:rPr>
        <w:t>某人拟在5年后获得本利和100万元。假设存款年利率为4%，按照复利计息，他现在应存入多少元？已知：（P/F，4%，5）=0.8219</w:t>
      </w:r>
    </w:p>
    <w:p w14:paraId="1DD7A7E5">
      <w:pPr>
        <w:jc w:val="left"/>
        <w:rPr>
          <w:rFonts w:ascii="宋体" w:hAnsi="宋体" w:cs="宋体"/>
          <w:color w:val="FF0000"/>
        </w:rPr>
      </w:pPr>
      <w:r>
        <w:rPr>
          <w:rFonts w:hint="eastAsia" w:ascii="宋体" w:hAnsi="宋体" w:cs="宋体"/>
          <w:color w:val="FF0000"/>
        </w:rPr>
        <w:t>答案：</w:t>
      </w:r>
    </w:p>
    <w:p w14:paraId="2EE3C3EC">
      <w:pPr>
        <w:jc w:val="left"/>
        <w:rPr>
          <w:rFonts w:ascii="宋体" w:hAnsi="宋体" w:cs="宋体"/>
        </w:rPr>
      </w:pPr>
      <w:r>
        <w:rPr>
          <w:rFonts w:hint="eastAsia" w:ascii="宋体" w:hAnsi="宋体" w:cs="宋体"/>
        </w:rPr>
        <w:t>P＝F×（P/F，i，n）＝100×（P/F，4%，5）＝100×0.8219＝82.19（万元）</w:t>
      </w:r>
    </w:p>
    <w:p w14:paraId="1F31B318">
      <w:pPr>
        <w:jc w:val="left"/>
        <w:rPr>
          <w:rFonts w:ascii="宋体" w:hAnsi="宋体" w:cs="宋体"/>
          <w:color w:val="FF0000"/>
        </w:rPr>
      </w:pPr>
      <w:r>
        <w:rPr>
          <w:rFonts w:hint="eastAsia" w:ascii="宋体" w:hAnsi="宋体" w:cs="宋体"/>
          <w:color w:val="FF0000"/>
        </w:rPr>
        <w:t>复利总结：</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3915"/>
        <w:gridCol w:w="4776"/>
      </w:tblGrid>
      <w:tr w14:paraId="61C2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54EED17D">
            <w:pPr>
              <w:jc w:val="left"/>
              <w:rPr>
                <w:rFonts w:ascii="宋体" w:hAnsi="宋体" w:cs="宋体"/>
              </w:rPr>
            </w:pPr>
          </w:p>
        </w:tc>
        <w:tc>
          <w:tcPr>
            <w:tcW w:w="1931" w:type="pct"/>
          </w:tcPr>
          <w:p w14:paraId="25E409AC">
            <w:pPr>
              <w:jc w:val="left"/>
              <w:rPr>
                <w:rFonts w:ascii="宋体" w:hAnsi="宋体" w:cs="宋体"/>
              </w:rPr>
            </w:pPr>
            <w:r>
              <w:rPr>
                <w:rFonts w:hint="eastAsia" w:ascii="宋体" w:hAnsi="宋体" w:cs="宋体"/>
              </w:rPr>
              <w:t>公式</w:t>
            </w:r>
          </w:p>
        </w:tc>
        <w:tc>
          <w:tcPr>
            <w:tcW w:w="2356" w:type="pct"/>
          </w:tcPr>
          <w:p w14:paraId="16B0CEBC">
            <w:pPr>
              <w:jc w:val="left"/>
              <w:rPr>
                <w:rFonts w:ascii="宋体" w:hAnsi="宋体" w:cs="宋体"/>
              </w:rPr>
            </w:pPr>
            <w:r>
              <w:rPr>
                <w:rFonts w:hint="eastAsia" w:ascii="宋体" w:hAnsi="宋体" w:cs="宋体"/>
              </w:rPr>
              <w:t>特殊事项</w:t>
            </w:r>
          </w:p>
        </w:tc>
      </w:tr>
      <w:tr w14:paraId="18FD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7518CE94">
            <w:pPr>
              <w:jc w:val="left"/>
              <w:rPr>
                <w:rFonts w:ascii="宋体" w:hAnsi="宋体" w:cs="宋体"/>
              </w:rPr>
            </w:pPr>
            <w:r>
              <w:rPr>
                <w:rFonts w:hint="eastAsia" w:ascii="宋体" w:hAnsi="宋体" w:cs="宋体"/>
              </w:rPr>
              <w:t>复利终值</w:t>
            </w:r>
          </w:p>
        </w:tc>
        <w:tc>
          <w:tcPr>
            <w:tcW w:w="1931" w:type="pct"/>
          </w:tcPr>
          <w:p w14:paraId="52F87BB5">
            <w:pPr>
              <w:jc w:val="left"/>
              <w:rPr>
                <w:rFonts w:hint="eastAsia" w:ascii="宋体" w:hAnsi="宋体" w:cs="宋体"/>
              </w:rPr>
            </w:pPr>
            <w:r>
              <w:rPr>
                <w:rFonts w:ascii="宋体" w:hAnsi="宋体" w:cs="宋体"/>
              </w:rPr>
              <w:t>F＝P×（1＋i）</w:t>
            </w:r>
            <w:r>
              <w:rPr>
                <w:rFonts w:ascii="宋体" w:hAnsi="宋体" w:cs="宋体"/>
                <w:vertAlign w:val="superscript"/>
              </w:rPr>
              <w:t>n</w:t>
            </w:r>
            <w:r>
              <w:rPr>
                <w:rFonts w:ascii="宋体" w:hAnsi="宋体" w:cs="宋体"/>
              </w:rPr>
              <w:t>＝P×（F/P，i，n）</w:t>
            </w:r>
          </w:p>
        </w:tc>
        <w:tc>
          <w:tcPr>
            <w:tcW w:w="2356" w:type="pct"/>
            <w:vMerge w:val="restart"/>
          </w:tcPr>
          <w:p w14:paraId="1CB79EF6">
            <w:pPr>
              <w:jc w:val="left"/>
              <w:rPr>
                <w:rFonts w:hint="eastAsia" w:ascii="宋体" w:hAnsi="宋体" w:cs="宋体"/>
              </w:rPr>
            </w:pPr>
            <w:r>
              <w:rPr>
                <w:rFonts w:ascii="宋体" w:hAnsi="宋体" w:cs="宋体"/>
                <w:color w:val="FF0000"/>
              </w:rPr>
              <w:t xml:space="preserve">（1）复利终值和复利现值互为逆运算； </w:t>
            </w:r>
            <w:r>
              <w:rPr>
                <w:rFonts w:ascii="宋体" w:hAnsi="宋体" w:cs="宋体"/>
                <w:color w:val="FF0000"/>
              </w:rPr>
              <w:br w:type="textWrapping"/>
            </w:r>
            <w:r>
              <w:rPr>
                <w:rFonts w:ascii="宋体" w:hAnsi="宋体" w:cs="宋体"/>
                <w:color w:val="FF0000"/>
              </w:rPr>
              <w:t>（2）复利终值系数（1＋i）</w:t>
            </w:r>
            <w:r>
              <w:rPr>
                <w:rFonts w:ascii="宋体" w:hAnsi="宋体" w:cs="宋体"/>
                <w:color w:val="FF0000"/>
                <w:vertAlign w:val="superscript"/>
              </w:rPr>
              <w:t>n</w:t>
            </w:r>
            <w:r>
              <w:rPr>
                <w:rFonts w:ascii="宋体" w:hAnsi="宋体" w:cs="宋体"/>
                <w:color w:val="FF0000"/>
              </w:rPr>
              <w:t>和复利现值系数1/（1＋i）</w:t>
            </w:r>
            <w:r>
              <w:rPr>
                <w:rFonts w:ascii="宋体" w:hAnsi="宋体" w:cs="宋体"/>
                <w:color w:val="FF0000"/>
                <w:vertAlign w:val="superscript"/>
              </w:rPr>
              <w:t>n</w:t>
            </w:r>
            <w:r>
              <w:rPr>
                <w:rFonts w:ascii="宋体" w:hAnsi="宋体" w:cs="宋体"/>
                <w:color w:val="FF0000"/>
              </w:rPr>
              <w:t>互为倒数。</w:t>
            </w:r>
          </w:p>
        </w:tc>
      </w:tr>
      <w:tr w14:paraId="5A61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50FE96C4">
            <w:pPr>
              <w:jc w:val="left"/>
              <w:rPr>
                <w:rFonts w:ascii="宋体" w:hAnsi="宋体" w:cs="宋体"/>
              </w:rPr>
            </w:pPr>
            <w:r>
              <w:rPr>
                <w:rFonts w:hint="eastAsia" w:ascii="宋体" w:hAnsi="宋体" w:cs="宋体"/>
              </w:rPr>
              <w:t>复利现值</w:t>
            </w:r>
          </w:p>
        </w:tc>
        <w:tc>
          <w:tcPr>
            <w:tcW w:w="1931" w:type="pct"/>
          </w:tcPr>
          <w:p w14:paraId="7F9B02FA">
            <w:pPr>
              <w:jc w:val="left"/>
              <w:rPr>
                <w:rFonts w:hint="eastAsia" w:ascii="宋体" w:hAnsi="宋体" w:cs="宋体"/>
              </w:rPr>
            </w:pPr>
            <w:r>
              <w:rPr>
                <w:rFonts w:ascii="宋体" w:hAnsi="宋体" w:cs="宋体"/>
              </w:rPr>
              <w:t>P=F/（1＋i）</w:t>
            </w:r>
            <w:r>
              <w:rPr>
                <w:rFonts w:ascii="宋体" w:hAnsi="宋体" w:cs="宋体"/>
                <w:vertAlign w:val="superscript"/>
              </w:rPr>
              <w:t xml:space="preserve">n </w:t>
            </w:r>
            <w:r>
              <w:rPr>
                <w:rFonts w:ascii="宋体" w:hAnsi="宋体" w:cs="宋体"/>
              </w:rPr>
              <w:t>＝F×（P/F，i，n）</w:t>
            </w:r>
          </w:p>
        </w:tc>
        <w:tc>
          <w:tcPr>
            <w:tcW w:w="2356" w:type="pct"/>
            <w:vMerge w:val="continue"/>
          </w:tcPr>
          <w:p w14:paraId="551D404C">
            <w:pPr>
              <w:jc w:val="left"/>
              <w:rPr>
                <w:rFonts w:ascii="宋体" w:hAnsi="宋体" w:cs="宋体"/>
              </w:rPr>
            </w:pPr>
          </w:p>
        </w:tc>
      </w:tr>
    </w:tbl>
    <w:p w14:paraId="639B0C19">
      <w:pPr>
        <w:jc w:val="left"/>
        <w:rPr>
          <w:rFonts w:ascii="宋体" w:hAnsi="宋体" w:cs="宋体"/>
        </w:rPr>
      </w:pPr>
    </w:p>
    <w:p w14:paraId="3CA345FD">
      <w:pPr>
        <w:jc w:val="left"/>
        <w:rPr>
          <w:rFonts w:ascii="宋体" w:hAnsi="宋体" w:cs="宋体"/>
        </w:rPr>
      </w:pPr>
      <w:r>
        <w:rPr>
          <w:rFonts w:hint="eastAsia" w:ascii="宋体" w:hAnsi="宋体" w:cs="宋体"/>
        </w:rPr>
        <w:t>【单选题】（2020年）（P/F，i，9）与（P/F，i，10）分别表示 9 年期和 10 年期的复利现值系数，关于二者的数量关系，下列表达式正确的是（  ）。</w:t>
      </w:r>
    </w:p>
    <w:p w14:paraId="6263CF42">
      <w:pPr>
        <w:jc w:val="left"/>
        <w:rPr>
          <w:rFonts w:ascii="宋体" w:hAnsi="宋体" w:cs="宋体"/>
        </w:rPr>
      </w:pPr>
      <w:r>
        <w:rPr>
          <w:rFonts w:hint="eastAsia" w:ascii="宋体" w:hAnsi="宋体" w:cs="宋体"/>
        </w:rPr>
        <w:t xml:space="preserve">A.（P/F，i，10）＝（P/F，i，9）－i           </w:t>
      </w:r>
    </w:p>
    <w:p w14:paraId="15D2EB68">
      <w:pPr>
        <w:jc w:val="left"/>
        <w:rPr>
          <w:rFonts w:ascii="宋体" w:hAnsi="宋体" w:cs="宋体"/>
        </w:rPr>
      </w:pPr>
      <w:r>
        <w:rPr>
          <w:rFonts w:hint="eastAsia" w:ascii="宋体" w:hAnsi="宋体" w:cs="宋体"/>
        </w:rPr>
        <w:t xml:space="preserve">B.（P/F，i，9）＝（P/F，i，10）×（1＋i） </w:t>
      </w:r>
    </w:p>
    <w:p w14:paraId="0528727D">
      <w:pPr>
        <w:jc w:val="left"/>
        <w:rPr>
          <w:rFonts w:ascii="宋体" w:hAnsi="宋体" w:cs="宋体"/>
        </w:rPr>
      </w:pPr>
      <w:r>
        <w:rPr>
          <w:rFonts w:hint="eastAsia" w:ascii="宋体" w:hAnsi="宋体" w:cs="宋体"/>
        </w:rPr>
        <w:t xml:space="preserve">C.（P/F，i，10）＝（P/F，i，9）×（1＋i）    </w:t>
      </w:r>
    </w:p>
    <w:p w14:paraId="54359CA4">
      <w:pPr>
        <w:jc w:val="left"/>
        <w:rPr>
          <w:rFonts w:ascii="宋体" w:hAnsi="宋体" w:cs="宋体"/>
        </w:rPr>
      </w:pPr>
      <w:r>
        <w:rPr>
          <w:rFonts w:hint="eastAsia" w:ascii="宋体" w:hAnsi="宋体" w:cs="宋体"/>
        </w:rPr>
        <w:t>D.（P/F，i，10）＝（P/F，i，9）＋i</w:t>
      </w:r>
    </w:p>
    <w:p w14:paraId="1CFA68BE">
      <w:pPr>
        <w:jc w:val="left"/>
        <w:rPr>
          <w:rFonts w:ascii="宋体" w:hAnsi="宋体" w:cs="宋体"/>
        </w:rPr>
      </w:pPr>
      <w:r>
        <w:rPr>
          <w:rFonts w:ascii="宋体" w:hAnsi="宋体" w:cs="宋体"/>
        </w:rPr>
        <w:t>答案：B</w:t>
      </w:r>
    </w:p>
    <w:p w14:paraId="2EFF991C">
      <w:pPr>
        <w:jc w:val="left"/>
        <w:rPr>
          <w:rFonts w:ascii="宋体" w:hAnsi="宋体" w:cs="宋体"/>
        </w:rPr>
      </w:pPr>
      <w:r>
        <w:rPr>
          <w:rFonts w:ascii="宋体" w:hAnsi="宋体" w:cs="宋体"/>
        </w:rPr>
        <w:t>解析：根据复利现值系数的定义式可知：（P/F，i，10）＝1/（1＋i）</w:t>
      </w:r>
      <w:r>
        <w:rPr>
          <w:rFonts w:ascii="宋体" w:hAnsi="宋体" w:cs="宋体"/>
          <w:vertAlign w:val="superscript"/>
        </w:rPr>
        <w:t>10</w:t>
      </w:r>
    </w:p>
    <w:p w14:paraId="3F0E503B">
      <w:pPr>
        <w:jc w:val="left"/>
        <w:rPr>
          <w:rFonts w:ascii="宋体" w:hAnsi="宋体" w:cs="宋体"/>
        </w:rPr>
      </w:pPr>
      <w:r>
        <w:rPr>
          <w:rFonts w:ascii="宋体" w:hAnsi="宋体" w:cs="宋体"/>
        </w:rPr>
        <w:t>（P/F，i，9）＝1/（1＋i）</w:t>
      </w:r>
      <w:r>
        <w:rPr>
          <w:rFonts w:ascii="宋体" w:hAnsi="宋体" w:cs="宋体"/>
          <w:vertAlign w:val="superscript"/>
        </w:rPr>
        <w:t>9</w:t>
      </w:r>
      <w:r>
        <w:rPr>
          <w:rFonts w:ascii="宋体" w:hAnsi="宋体" w:cs="宋体"/>
        </w:rPr>
        <w:t xml:space="preserve">                  </w:t>
      </w:r>
    </w:p>
    <w:p w14:paraId="657CBA0F">
      <w:pPr>
        <w:jc w:val="left"/>
        <w:rPr>
          <w:rFonts w:ascii="宋体" w:hAnsi="宋体" w:cs="宋体"/>
        </w:rPr>
      </w:pPr>
      <w:r>
        <w:rPr>
          <w:rFonts w:ascii="宋体" w:hAnsi="宋体" w:cs="宋体"/>
        </w:rPr>
        <w:t xml:space="preserve"> 1/（1＋i）</w:t>
      </w:r>
      <w:r>
        <w:rPr>
          <w:rFonts w:ascii="宋体" w:hAnsi="宋体" w:cs="宋体"/>
          <w:vertAlign w:val="superscript"/>
        </w:rPr>
        <w:t>9</w:t>
      </w:r>
      <w:r>
        <w:rPr>
          <w:rFonts w:ascii="宋体" w:hAnsi="宋体" w:cs="宋体"/>
        </w:rPr>
        <w:t>＝1/（1＋i）10×（1＋i）</w:t>
      </w:r>
    </w:p>
    <w:p w14:paraId="6DBF1F7F">
      <w:pPr>
        <w:jc w:val="left"/>
        <w:rPr>
          <w:rFonts w:hint="eastAsia" w:ascii="宋体" w:hAnsi="宋体" w:cs="宋体"/>
        </w:rPr>
      </w:pPr>
      <w:r>
        <w:rPr>
          <w:rFonts w:ascii="宋体" w:hAnsi="宋体" w:cs="宋体"/>
        </w:rPr>
        <w:t>所以得出（P/F，i，9）＝（P/F，i，10）×（1＋i），选项 B 是答案。</w:t>
      </w:r>
    </w:p>
    <w:p w14:paraId="7C0D24A7">
      <w:pPr>
        <w:overflowPunct w:val="0"/>
        <w:jc w:val="center"/>
        <w:rPr>
          <w:rFonts w:ascii="宋体" w:hAnsi="宋体" w:cs="宋体"/>
          <w:b/>
          <w:bCs/>
        </w:rPr>
      </w:pPr>
      <w:r>
        <w:rPr>
          <w:rFonts w:hint="eastAsia" w:ascii="宋体" w:hAnsi="宋体" w:cs="宋体"/>
          <w:b/>
          <w:bCs/>
        </w:rPr>
        <w:t>第一节  货币时间价值</w:t>
      </w:r>
    </w:p>
    <w:p w14:paraId="487ED5CC">
      <w:pPr>
        <w:jc w:val="left"/>
        <w:rPr>
          <w:rFonts w:ascii="宋体" w:hAnsi="宋体" w:cs="宋体"/>
          <w:color w:val="FF0000"/>
        </w:rPr>
      </w:pPr>
      <w:r>
        <w:rPr>
          <w:rFonts w:hint="eastAsia" w:ascii="宋体" w:hAnsi="宋体" w:cs="宋体"/>
          <w:color w:val="FF0000"/>
        </w:rPr>
        <w:t>【知识点4】年金现值和年金终值</w:t>
      </w:r>
    </w:p>
    <w:p w14:paraId="544FDA5A">
      <w:pPr>
        <w:jc w:val="left"/>
        <w:rPr>
          <w:rFonts w:ascii="宋体" w:hAnsi="宋体" w:cs="宋体"/>
        </w:rPr>
      </w:pPr>
      <w:r>
        <w:rPr>
          <w:rFonts w:hint="eastAsia" w:ascii="宋体" w:hAnsi="宋体" w:cs="宋体"/>
        </w:rPr>
        <w:t>年金，是指间隔期相等的系列等额收付款项。例如发放养老金，等额本息贷款等，在年金中间隔期间可以不是一年，例如每季末等额支付的债务利息也是年金。年金包括普通年金、预付年金、递延年金、永续年金等形式。</w:t>
      </w:r>
    </w:p>
    <w:p w14:paraId="4C67F558">
      <w:pPr>
        <w:jc w:val="left"/>
        <w:rPr>
          <w:rFonts w:ascii="宋体" w:hAnsi="宋体" w:cs="宋体"/>
        </w:rPr>
      </w:pPr>
      <w:r>
        <w:rPr>
          <w:rFonts w:ascii="宋体" w:hAnsi="宋体" w:cs="宋体"/>
        </w:rPr>
        <w:drawing>
          <wp:inline distT="0" distB="0" distL="0" distR="0">
            <wp:extent cx="5998210" cy="2112645"/>
            <wp:effectExtent l="0" t="0" r="2540" b="0"/>
            <wp:docPr id="939726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26341" name="图片 1"/>
                    <pic:cNvPicPr>
                      <a:picLocks noChangeAspect="1"/>
                    </pic:cNvPicPr>
                  </pic:nvPicPr>
                  <pic:blipFill>
                    <a:blip r:embed="rId9">
                      <a:extLst>
                        <a:ext uri="{BEBA8EAE-BF5A-486C-A8C5-ECC9F3942E4B}">
                          <a14:imgProps xmlns:a14="http://schemas.microsoft.com/office/drawing/2010/main">
                            <a14:imgLayer r:embed="rId10">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6002040" cy="2114204"/>
                    </a:xfrm>
                    <a:prstGeom prst="rect">
                      <a:avLst/>
                    </a:prstGeom>
                  </pic:spPr>
                </pic:pic>
              </a:graphicData>
            </a:graphic>
          </wp:inline>
        </w:drawing>
      </w:r>
    </w:p>
    <w:p w14:paraId="5A2A83FE">
      <w:pPr>
        <w:jc w:val="left"/>
        <w:rPr>
          <w:rFonts w:ascii="宋体" w:hAnsi="宋体" w:cs="宋体"/>
          <w:color w:val="FF0000"/>
        </w:rPr>
      </w:pPr>
      <w:r>
        <w:rPr>
          <w:rFonts w:hint="eastAsia" w:ascii="宋体" w:hAnsi="宋体" w:cs="宋体"/>
          <w:color w:val="FF0000"/>
        </w:rPr>
        <w:t>【记忆方法】</w:t>
      </w:r>
    </w:p>
    <w:p w14:paraId="51BB2D8B">
      <w:pPr>
        <w:jc w:val="left"/>
        <w:rPr>
          <w:rFonts w:ascii="宋体" w:hAnsi="宋体" w:cs="宋体"/>
          <w:color w:val="FF0000"/>
        </w:rPr>
      </w:pPr>
      <w:r>
        <w:rPr>
          <w:rFonts w:hint="eastAsia" w:ascii="宋体" w:hAnsi="宋体" w:cs="宋体"/>
          <w:color w:val="FF0000"/>
        </w:rPr>
        <w:t>年金：</w:t>
      </w:r>
    </w:p>
    <w:p w14:paraId="7613AAE5">
      <w:pPr>
        <w:jc w:val="left"/>
        <w:rPr>
          <w:rFonts w:ascii="宋体" w:hAnsi="宋体" w:cs="宋体"/>
        </w:rPr>
      </w:pPr>
      <w:r>
        <w:rPr>
          <w:rFonts w:hint="eastAsia" w:ascii="宋体" w:hAnsi="宋体" w:cs="宋体"/>
        </w:rPr>
        <w:t xml:space="preserve">头看头、尾看尾；现值0时点，终值最后一期。 </w:t>
      </w:r>
    </w:p>
    <w:p w14:paraId="7563C0E0">
      <w:pPr>
        <w:jc w:val="left"/>
        <w:rPr>
          <w:rFonts w:ascii="宋体" w:hAnsi="宋体" w:cs="宋体"/>
          <w:color w:val="FF0000"/>
        </w:rPr>
      </w:pPr>
      <w:r>
        <w:rPr>
          <w:rFonts w:hint="eastAsia" w:ascii="宋体" w:hAnsi="宋体" w:cs="宋体"/>
          <w:color w:val="FF0000"/>
        </w:rPr>
        <w:t>普通年金：</w:t>
      </w:r>
    </w:p>
    <w:p w14:paraId="3B360E98">
      <w:pPr>
        <w:jc w:val="left"/>
        <w:rPr>
          <w:rFonts w:ascii="宋体" w:hAnsi="宋体" w:cs="宋体"/>
        </w:rPr>
      </w:pPr>
      <w:r>
        <w:rPr>
          <w:rFonts w:hint="eastAsia" w:ascii="宋体" w:hAnsi="宋体" w:cs="宋体"/>
        </w:rPr>
        <w:t>现值：第一次发生额与现值间隔1期；</w:t>
      </w:r>
    </w:p>
    <w:p w14:paraId="16AEC86B">
      <w:pPr>
        <w:jc w:val="left"/>
        <w:rPr>
          <w:rFonts w:ascii="宋体" w:hAnsi="宋体" w:cs="宋体"/>
        </w:rPr>
      </w:pPr>
      <w:r>
        <w:rPr>
          <w:rFonts w:hint="eastAsia" w:ascii="宋体" w:hAnsi="宋体" w:cs="宋体"/>
        </w:rPr>
        <w:t>终值：最后一期有最后一次发生额；</w:t>
      </w:r>
    </w:p>
    <w:p w14:paraId="705CBAEC">
      <w:pPr>
        <w:jc w:val="left"/>
        <w:rPr>
          <w:rFonts w:ascii="宋体" w:hAnsi="宋体" w:cs="宋体"/>
        </w:rPr>
      </w:pPr>
      <w:r>
        <w:rPr>
          <w:rFonts w:hint="eastAsia" w:ascii="宋体" w:hAnsi="宋体" w:cs="宋体"/>
        </w:rPr>
        <w:t>期间时间匹配。</w:t>
      </w:r>
    </w:p>
    <w:p w14:paraId="28669ECE">
      <w:pPr>
        <w:jc w:val="left"/>
        <w:rPr>
          <w:rFonts w:ascii="宋体" w:hAnsi="宋体" w:cs="宋体"/>
          <w:color w:val="FF0000"/>
        </w:rPr>
      </w:pPr>
      <w:r>
        <w:rPr>
          <w:rFonts w:hint="eastAsia" w:ascii="宋体" w:hAnsi="宋体" w:cs="宋体"/>
          <w:color w:val="FF0000"/>
        </w:rPr>
        <w:t>1.普通年金</w:t>
      </w:r>
    </w:p>
    <w:p w14:paraId="4F4CDB74">
      <w:pPr>
        <w:jc w:val="left"/>
        <w:rPr>
          <w:rFonts w:ascii="宋体" w:hAnsi="宋体" w:cs="宋体"/>
          <w:color w:val="FF0000"/>
        </w:rPr>
      </w:pPr>
      <w:r>
        <w:rPr>
          <w:rFonts w:hint="eastAsia" w:ascii="宋体" w:hAnsi="宋体" w:cs="宋体"/>
          <w:color w:val="FF0000"/>
        </w:rPr>
        <w:t>（1）普通年金现值</w:t>
      </w:r>
    </w:p>
    <w:p w14:paraId="55B11933">
      <w:pPr>
        <w:jc w:val="left"/>
        <w:rPr>
          <w:rFonts w:ascii="宋体" w:hAnsi="宋体" w:cs="宋体"/>
        </w:rPr>
      </w:pPr>
      <w:r>
        <w:rPr>
          <w:rFonts w:hint="eastAsia" w:ascii="宋体" w:hAnsi="宋体" w:cs="宋体"/>
        </w:rPr>
        <w:t>普通年金现值等于每一个年金A的复利现值求和。</w:t>
      </w:r>
    </w:p>
    <w:p w14:paraId="60DA4F50">
      <w:pPr>
        <w:jc w:val="left"/>
        <w:rPr>
          <w:rFonts w:hint="eastAsia" w:ascii="宋体" w:hAnsi="宋体" w:cs="宋体"/>
        </w:rPr>
      </w:pPr>
      <w:r>
        <w:rPr>
          <w:rFonts w:ascii="宋体" w:hAnsi="宋体" w:cs="宋体"/>
        </w:rPr>
        <w:drawing>
          <wp:inline distT="0" distB="0" distL="0" distR="0">
            <wp:extent cx="4511040" cy="1468755"/>
            <wp:effectExtent l="0" t="0" r="0" b="17780"/>
            <wp:docPr id="11424877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87750" name="图片 2"/>
                    <pic:cNvPicPr>
                      <a:picLocks noChangeAspect="1"/>
                    </pic:cNvPicPr>
                  </pic:nvPicPr>
                  <pic:blipFill>
                    <a:blip r:embed="rId11" cstate="print">
                      <a:extLst>
                        <a:ext uri="{BEBA8EAE-BF5A-486C-A8C5-ECC9F3942E4B}">
                          <a14:imgProps xmlns:a14="http://schemas.microsoft.com/office/drawing/2010/main">
                            <a14:imgLayer r:embed="rId12">
                              <a14:imgEffect>
                                <a14:brightnessContrast bright="-47000"/>
                              </a14:imgEffect>
                            </a14:imgLayer>
                          </a14:imgProps>
                        </a:ext>
                        <a:ext uri="{28A0092B-C50C-407E-A947-70E740481C1C}">
                          <a14:useLocalDpi xmlns:a14="http://schemas.microsoft.com/office/drawing/2010/main" val="0"/>
                        </a:ext>
                      </a:extLst>
                    </a:blip>
                    <a:stretch>
                      <a:fillRect/>
                    </a:stretch>
                  </pic:blipFill>
                  <pic:spPr>
                    <a:xfrm>
                      <a:off x="0" y="0"/>
                      <a:ext cx="4550363" cy="1481780"/>
                    </a:xfrm>
                    <a:prstGeom prst="rect">
                      <a:avLst/>
                    </a:prstGeom>
                  </pic:spPr>
                </pic:pic>
              </a:graphicData>
            </a:graphic>
          </wp:inline>
        </w:drawing>
      </w:r>
    </w:p>
    <w:p w14:paraId="60D39930">
      <w:pPr>
        <w:jc w:val="left"/>
        <w:rPr>
          <w:rFonts w:ascii="宋体" w:hAnsi="宋体" w:cs="宋体"/>
        </w:rPr>
      </w:pPr>
      <w:r>
        <w:rPr>
          <w:rFonts w:hint="eastAsia" w:ascii="宋体" w:hAnsi="宋体" w:cs="宋体"/>
        </w:rPr>
        <w:t xml:space="preserve">P=A* </w:t>
      </w:r>
      <w:r>
        <w:rPr>
          <w:rFonts w:hint="eastAsia" w:ascii="宋体" w:hAnsi="宋体" w:cs="宋体"/>
        </w:rPr>
        <w:drawing>
          <wp:inline distT="0" distB="0" distL="114300" distR="114300">
            <wp:extent cx="699135" cy="388620"/>
            <wp:effectExtent l="0" t="0" r="571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rcRect l="35735" t="-1436"/>
                    <a:stretch>
                      <a:fillRect/>
                    </a:stretch>
                  </pic:blipFill>
                  <pic:spPr>
                    <a:xfrm>
                      <a:off x="0" y="0"/>
                      <a:ext cx="711986" cy="395729"/>
                    </a:xfrm>
                    <a:prstGeom prst="rect">
                      <a:avLst/>
                    </a:prstGeom>
                    <a:noFill/>
                    <a:ln>
                      <a:noFill/>
                    </a:ln>
                  </pic:spPr>
                </pic:pic>
              </a:graphicData>
            </a:graphic>
          </wp:inline>
        </w:drawing>
      </w:r>
      <w:r>
        <w:rPr>
          <w:rFonts w:hint="eastAsia" w:ascii="宋体" w:hAnsi="宋体" w:cs="宋体"/>
        </w:rPr>
        <w:t xml:space="preserve"> = A*（P/A，i，n）</w:t>
      </w:r>
    </w:p>
    <w:p w14:paraId="1B5005CD">
      <w:pPr>
        <w:jc w:val="left"/>
        <w:rPr>
          <w:rFonts w:hint="eastAsia" w:ascii="宋体" w:hAnsi="宋体" w:cs="宋体"/>
        </w:rPr>
      </w:pPr>
      <w:r>
        <w:rPr>
          <w:rFonts w:hint="eastAsia" w:ascii="宋体" w:hAnsi="宋体" w:cs="宋体"/>
        </w:rPr>
        <w:t>其中：</w:t>
      </w:r>
      <w:r>
        <w:rPr>
          <w:rFonts w:hint="eastAsia" w:ascii="宋体" w:hAnsi="宋体" w:cs="宋体"/>
        </w:rPr>
        <w:drawing>
          <wp:inline distT="0" distB="0" distL="114300" distR="114300">
            <wp:extent cx="854075" cy="496570"/>
            <wp:effectExtent l="0" t="0" r="3175" b="1778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4"/>
                    <a:stretch>
                      <a:fillRect/>
                    </a:stretch>
                  </pic:blipFill>
                  <pic:spPr>
                    <a:xfrm>
                      <a:off x="0" y="0"/>
                      <a:ext cx="854075" cy="496570"/>
                    </a:xfrm>
                    <a:prstGeom prst="rect">
                      <a:avLst/>
                    </a:prstGeom>
                    <a:noFill/>
                    <a:ln>
                      <a:noFill/>
                    </a:ln>
                  </pic:spPr>
                </pic:pic>
              </a:graphicData>
            </a:graphic>
          </wp:inline>
        </w:drawing>
      </w:r>
      <w:r>
        <w:rPr>
          <w:rFonts w:hint="eastAsia" w:ascii="宋体" w:hAnsi="宋体" w:cs="宋体"/>
        </w:rPr>
        <w:t>被称为年金现值系数或1元年金的现值，用符号（P/A，i，n）表示，可查“年金现值系数表”（见本书附表四）：</w:t>
      </w:r>
    </w:p>
    <w:tbl>
      <w:tblPr>
        <w:tblStyle w:val="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920"/>
        <w:gridCol w:w="920"/>
        <w:gridCol w:w="921"/>
        <w:gridCol w:w="921"/>
        <w:gridCol w:w="921"/>
        <w:gridCol w:w="921"/>
        <w:gridCol w:w="921"/>
        <w:gridCol w:w="921"/>
        <w:gridCol w:w="921"/>
        <w:gridCol w:w="921"/>
      </w:tblGrid>
      <w:tr w14:paraId="2884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6C22F151">
            <w:pPr>
              <w:rPr>
                <w:rFonts w:ascii="宋体" w:hAnsi="宋体" w:cs="宋体"/>
              </w:rPr>
            </w:pPr>
            <w:r>
              <w:rPr>
                <w:rFonts w:hint="eastAsia" w:ascii="宋体" w:hAnsi="宋体" w:cs="宋体"/>
              </w:rPr>
              <w:t>期数</w:t>
            </w:r>
          </w:p>
        </w:tc>
        <w:tc>
          <w:tcPr>
            <w:tcW w:w="454" w:type="pct"/>
          </w:tcPr>
          <w:p w14:paraId="6B33E818">
            <w:pPr>
              <w:rPr>
                <w:rFonts w:ascii="宋体" w:hAnsi="宋体" w:cs="宋体"/>
              </w:rPr>
            </w:pPr>
            <w:r>
              <w:rPr>
                <w:rFonts w:hint="eastAsia" w:ascii="宋体" w:hAnsi="宋体" w:cs="宋体"/>
              </w:rPr>
              <w:t>1%</w:t>
            </w:r>
          </w:p>
        </w:tc>
        <w:tc>
          <w:tcPr>
            <w:tcW w:w="454" w:type="pct"/>
          </w:tcPr>
          <w:p w14:paraId="51D5D70C">
            <w:pPr>
              <w:rPr>
                <w:rFonts w:ascii="宋体" w:hAnsi="宋体" w:cs="宋体"/>
              </w:rPr>
            </w:pPr>
            <w:r>
              <w:rPr>
                <w:rFonts w:hint="eastAsia" w:ascii="宋体" w:hAnsi="宋体" w:cs="宋体"/>
              </w:rPr>
              <w:t>2%</w:t>
            </w:r>
          </w:p>
        </w:tc>
        <w:tc>
          <w:tcPr>
            <w:tcW w:w="454" w:type="pct"/>
          </w:tcPr>
          <w:p w14:paraId="27DBC134">
            <w:pPr>
              <w:rPr>
                <w:rFonts w:ascii="宋体" w:hAnsi="宋体" w:cs="宋体"/>
              </w:rPr>
            </w:pPr>
            <w:r>
              <w:rPr>
                <w:rFonts w:hint="eastAsia" w:ascii="宋体" w:hAnsi="宋体" w:cs="宋体"/>
              </w:rPr>
              <w:t>3%</w:t>
            </w:r>
          </w:p>
        </w:tc>
        <w:tc>
          <w:tcPr>
            <w:tcW w:w="454" w:type="pct"/>
          </w:tcPr>
          <w:p w14:paraId="4C33EFF5">
            <w:pPr>
              <w:rPr>
                <w:rFonts w:ascii="宋体" w:hAnsi="宋体" w:cs="宋体"/>
              </w:rPr>
            </w:pPr>
            <w:r>
              <w:rPr>
                <w:rFonts w:hint="eastAsia" w:ascii="宋体" w:hAnsi="宋体" w:cs="宋体"/>
              </w:rPr>
              <w:t>4%</w:t>
            </w:r>
          </w:p>
        </w:tc>
        <w:tc>
          <w:tcPr>
            <w:tcW w:w="454" w:type="pct"/>
          </w:tcPr>
          <w:p w14:paraId="0FF1A97A">
            <w:pPr>
              <w:rPr>
                <w:rFonts w:ascii="宋体" w:hAnsi="宋体" w:cs="宋体"/>
              </w:rPr>
            </w:pPr>
            <w:r>
              <w:rPr>
                <w:rFonts w:hint="eastAsia" w:ascii="宋体" w:hAnsi="宋体" w:cs="宋体"/>
              </w:rPr>
              <w:t>5%</w:t>
            </w:r>
          </w:p>
        </w:tc>
        <w:tc>
          <w:tcPr>
            <w:tcW w:w="454" w:type="pct"/>
          </w:tcPr>
          <w:p w14:paraId="7037117F">
            <w:pPr>
              <w:rPr>
                <w:rFonts w:ascii="宋体" w:hAnsi="宋体" w:cs="宋体"/>
              </w:rPr>
            </w:pPr>
            <w:r>
              <w:rPr>
                <w:rFonts w:hint="eastAsia" w:ascii="宋体" w:hAnsi="宋体" w:cs="宋体"/>
              </w:rPr>
              <w:t>6%</w:t>
            </w:r>
          </w:p>
        </w:tc>
        <w:tc>
          <w:tcPr>
            <w:tcW w:w="454" w:type="pct"/>
          </w:tcPr>
          <w:p w14:paraId="5A0D30EC">
            <w:pPr>
              <w:rPr>
                <w:rFonts w:ascii="宋体" w:hAnsi="宋体" w:cs="宋体"/>
              </w:rPr>
            </w:pPr>
            <w:r>
              <w:rPr>
                <w:rFonts w:hint="eastAsia" w:ascii="宋体" w:hAnsi="宋体" w:cs="宋体"/>
              </w:rPr>
              <w:t>7%</w:t>
            </w:r>
          </w:p>
        </w:tc>
        <w:tc>
          <w:tcPr>
            <w:tcW w:w="454" w:type="pct"/>
          </w:tcPr>
          <w:p w14:paraId="3814B011">
            <w:pPr>
              <w:rPr>
                <w:rFonts w:ascii="宋体" w:hAnsi="宋体" w:cs="宋体"/>
              </w:rPr>
            </w:pPr>
            <w:r>
              <w:rPr>
                <w:rFonts w:hint="eastAsia" w:ascii="宋体" w:hAnsi="宋体" w:cs="宋体"/>
              </w:rPr>
              <w:t>8%</w:t>
            </w:r>
          </w:p>
        </w:tc>
        <w:tc>
          <w:tcPr>
            <w:tcW w:w="454" w:type="pct"/>
          </w:tcPr>
          <w:p w14:paraId="62A3734C">
            <w:pPr>
              <w:rPr>
                <w:rFonts w:ascii="宋体" w:hAnsi="宋体" w:cs="宋体"/>
              </w:rPr>
            </w:pPr>
            <w:r>
              <w:rPr>
                <w:rFonts w:hint="eastAsia" w:ascii="宋体" w:hAnsi="宋体" w:cs="宋体"/>
              </w:rPr>
              <w:t>9%</w:t>
            </w:r>
          </w:p>
        </w:tc>
        <w:tc>
          <w:tcPr>
            <w:tcW w:w="454" w:type="pct"/>
          </w:tcPr>
          <w:p w14:paraId="692D4F81">
            <w:pPr>
              <w:rPr>
                <w:rFonts w:ascii="宋体" w:hAnsi="宋体" w:cs="宋体"/>
              </w:rPr>
            </w:pPr>
            <w:r>
              <w:rPr>
                <w:rFonts w:hint="eastAsia" w:ascii="宋体" w:hAnsi="宋体" w:cs="宋体"/>
              </w:rPr>
              <w:t>10%</w:t>
            </w:r>
          </w:p>
        </w:tc>
      </w:tr>
      <w:tr w14:paraId="2359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041AF3FC">
            <w:pPr>
              <w:rPr>
                <w:rFonts w:ascii="宋体" w:hAnsi="宋体" w:cs="宋体"/>
              </w:rPr>
            </w:pPr>
            <w:r>
              <w:rPr>
                <w:rFonts w:hint="eastAsia" w:ascii="宋体" w:hAnsi="宋体" w:cs="宋体"/>
              </w:rPr>
              <w:t>1</w:t>
            </w:r>
          </w:p>
        </w:tc>
        <w:tc>
          <w:tcPr>
            <w:tcW w:w="454" w:type="pct"/>
          </w:tcPr>
          <w:p w14:paraId="2256C790">
            <w:pPr>
              <w:rPr>
                <w:rFonts w:ascii="宋体" w:hAnsi="宋体" w:cs="宋体"/>
              </w:rPr>
            </w:pPr>
            <w:r>
              <w:rPr>
                <w:rFonts w:hint="eastAsia" w:ascii="宋体" w:hAnsi="宋体" w:cs="宋体"/>
              </w:rPr>
              <w:t>0.9901</w:t>
            </w:r>
          </w:p>
        </w:tc>
        <w:tc>
          <w:tcPr>
            <w:tcW w:w="454" w:type="pct"/>
          </w:tcPr>
          <w:p w14:paraId="6236FB1A">
            <w:pPr>
              <w:rPr>
                <w:rFonts w:ascii="宋体" w:hAnsi="宋体" w:cs="宋体"/>
              </w:rPr>
            </w:pPr>
            <w:r>
              <w:rPr>
                <w:rFonts w:hint="eastAsia" w:ascii="宋体" w:hAnsi="宋体" w:cs="宋体"/>
              </w:rPr>
              <w:t>0.9804</w:t>
            </w:r>
          </w:p>
        </w:tc>
        <w:tc>
          <w:tcPr>
            <w:tcW w:w="454" w:type="pct"/>
          </w:tcPr>
          <w:p w14:paraId="7663E1AE">
            <w:pPr>
              <w:rPr>
                <w:rFonts w:ascii="宋体" w:hAnsi="宋体" w:cs="宋体"/>
              </w:rPr>
            </w:pPr>
            <w:r>
              <w:rPr>
                <w:rFonts w:hint="eastAsia" w:ascii="宋体" w:hAnsi="宋体" w:cs="宋体"/>
              </w:rPr>
              <w:t>0.9709</w:t>
            </w:r>
          </w:p>
        </w:tc>
        <w:tc>
          <w:tcPr>
            <w:tcW w:w="454" w:type="pct"/>
          </w:tcPr>
          <w:p w14:paraId="16177F71">
            <w:pPr>
              <w:rPr>
                <w:rFonts w:ascii="宋体" w:hAnsi="宋体" w:cs="宋体"/>
              </w:rPr>
            </w:pPr>
            <w:r>
              <w:rPr>
                <w:rFonts w:hint="eastAsia" w:ascii="宋体" w:hAnsi="宋体" w:cs="宋体"/>
              </w:rPr>
              <w:t>0.9615</w:t>
            </w:r>
          </w:p>
        </w:tc>
        <w:tc>
          <w:tcPr>
            <w:tcW w:w="454" w:type="pct"/>
          </w:tcPr>
          <w:p w14:paraId="588AA694">
            <w:pPr>
              <w:rPr>
                <w:rFonts w:ascii="宋体" w:hAnsi="宋体" w:cs="宋体"/>
              </w:rPr>
            </w:pPr>
            <w:r>
              <w:rPr>
                <w:rFonts w:hint="eastAsia" w:ascii="宋体" w:hAnsi="宋体" w:cs="宋体"/>
              </w:rPr>
              <w:t>0.9524</w:t>
            </w:r>
          </w:p>
        </w:tc>
        <w:tc>
          <w:tcPr>
            <w:tcW w:w="454" w:type="pct"/>
          </w:tcPr>
          <w:p w14:paraId="78A9876C">
            <w:pPr>
              <w:rPr>
                <w:rFonts w:ascii="宋体" w:hAnsi="宋体" w:cs="宋体"/>
              </w:rPr>
            </w:pPr>
            <w:r>
              <w:rPr>
                <w:rFonts w:hint="eastAsia" w:ascii="宋体" w:hAnsi="宋体" w:cs="宋体"/>
              </w:rPr>
              <w:t>0.9434</w:t>
            </w:r>
          </w:p>
        </w:tc>
        <w:tc>
          <w:tcPr>
            <w:tcW w:w="454" w:type="pct"/>
          </w:tcPr>
          <w:p w14:paraId="2FB1BB8E">
            <w:pPr>
              <w:rPr>
                <w:rFonts w:ascii="宋体" w:hAnsi="宋体" w:cs="宋体"/>
              </w:rPr>
            </w:pPr>
            <w:r>
              <w:rPr>
                <w:rFonts w:hint="eastAsia" w:ascii="宋体" w:hAnsi="宋体" w:cs="宋体"/>
              </w:rPr>
              <w:t>0.9346</w:t>
            </w:r>
          </w:p>
        </w:tc>
        <w:tc>
          <w:tcPr>
            <w:tcW w:w="454" w:type="pct"/>
          </w:tcPr>
          <w:p w14:paraId="7D51A7FB">
            <w:pPr>
              <w:rPr>
                <w:rFonts w:ascii="宋体" w:hAnsi="宋体" w:cs="宋体"/>
              </w:rPr>
            </w:pPr>
            <w:r>
              <w:rPr>
                <w:rFonts w:hint="eastAsia" w:ascii="宋体" w:hAnsi="宋体" w:cs="宋体"/>
              </w:rPr>
              <w:t>0.9259</w:t>
            </w:r>
          </w:p>
        </w:tc>
        <w:tc>
          <w:tcPr>
            <w:tcW w:w="454" w:type="pct"/>
          </w:tcPr>
          <w:p w14:paraId="1C0CE1A2">
            <w:pPr>
              <w:rPr>
                <w:rFonts w:ascii="宋体" w:hAnsi="宋体" w:cs="宋体"/>
              </w:rPr>
            </w:pPr>
            <w:r>
              <w:rPr>
                <w:rFonts w:hint="eastAsia" w:ascii="宋体" w:hAnsi="宋体" w:cs="宋体"/>
              </w:rPr>
              <w:t>0.9174</w:t>
            </w:r>
          </w:p>
        </w:tc>
        <w:tc>
          <w:tcPr>
            <w:tcW w:w="454" w:type="pct"/>
          </w:tcPr>
          <w:p w14:paraId="2DE026FC">
            <w:pPr>
              <w:rPr>
                <w:rFonts w:ascii="宋体" w:hAnsi="宋体" w:cs="宋体"/>
              </w:rPr>
            </w:pPr>
            <w:r>
              <w:rPr>
                <w:rFonts w:hint="eastAsia" w:ascii="宋体" w:hAnsi="宋体" w:cs="宋体"/>
              </w:rPr>
              <w:t>0.9091</w:t>
            </w:r>
          </w:p>
        </w:tc>
      </w:tr>
      <w:tr w14:paraId="2D81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3817DEA4">
            <w:pPr>
              <w:rPr>
                <w:rFonts w:ascii="宋体" w:hAnsi="宋体" w:cs="宋体"/>
              </w:rPr>
            </w:pPr>
            <w:r>
              <w:rPr>
                <w:rFonts w:hint="eastAsia" w:ascii="宋体" w:hAnsi="宋体" w:cs="宋体"/>
              </w:rPr>
              <w:t>2</w:t>
            </w:r>
          </w:p>
        </w:tc>
        <w:tc>
          <w:tcPr>
            <w:tcW w:w="454" w:type="pct"/>
          </w:tcPr>
          <w:p w14:paraId="7BF53EE9">
            <w:pPr>
              <w:rPr>
                <w:rFonts w:ascii="宋体" w:hAnsi="宋体" w:cs="宋体"/>
              </w:rPr>
            </w:pPr>
            <w:r>
              <w:rPr>
                <w:rFonts w:hint="eastAsia" w:ascii="宋体" w:hAnsi="宋体" w:cs="宋体"/>
              </w:rPr>
              <w:t>1.9704</w:t>
            </w:r>
          </w:p>
        </w:tc>
        <w:tc>
          <w:tcPr>
            <w:tcW w:w="454" w:type="pct"/>
          </w:tcPr>
          <w:p w14:paraId="2042A00E">
            <w:pPr>
              <w:rPr>
                <w:rFonts w:ascii="宋体" w:hAnsi="宋体" w:cs="宋体"/>
              </w:rPr>
            </w:pPr>
            <w:r>
              <w:rPr>
                <w:rFonts w:hint="eastAsia" w:ascii="宋体" w:hAnsi="宋体" w:cs="宋体"/>
              </w:rPr>
              <w:t>1.9416</w:t>
            </w:r>
          </w:p>
        </w:tc>
        <w:tc>
          <w:tcPr>
            <w:tcW w:w="454" w:type="pct"/>
          </w:tcPr>
          <w:p w14:paraId="535BD900">
            <w:pPr>
              <w:rPr>
                <w:rFonts w:ascii="宋体" w:hAnsi="宋体" w:cs="宋体"/>
              </w:rPr>
            </w:pPr>
            <w:r>
              <w:rPr>
                <w:rFonts w:hint="eastAsia" w:ascii="宋体" w:hAnsi="宋体" w:cs="宋体"/>
              </w:rPr>
              <w:t>1.9135</w:t>
            </w:r>
          </w:p>
        </w:tc>
        <w:tc>
          <w:tcPr>
            <w:tcW w:w="454" w:type="pct"/>
          </w:tcPr>
          <w:p w14:paraId="2A72ADA3">
            <w:pPr>
              <w:rPr>
                <w:rFonts w:ascii="宋体" w:hAnsi="宋体" w:cs="宋体"/>
              </w:rPr>
            </w:pPr>
            <w:r>
              <w:rPr>
                <w:rFonts w:hint="eastAsia" w:ascii="宋体" w:hAnsi="宋体" w:cs="宋体"/>
              </w:rPr>
              <w:t>1.8861</w:t>
            </w:r>
          </w:p>
        </w:tc>
        <w:tc>
          <w:tcPr>
            <w:tcW w:w="454" w:type="pct"/>
          </w:tcPr>
          <w:p w14:paraId="5EB4C9EB">
            <w:pPr>
              <w:rPr>
                <w:rFonts w:ascii="宋体" w:hAnsi="宋体" w:cs="宋体"/>
              </w:rPr>
            </w:pPr>
            <w:r>
              <w:rPr>
                <w:rFonts w:hint="eastAsia" w:ascii="宋体" w:hAnsi="宋体" w:cs="宋体"/>
              </w:rPr>
              <w:t>1.8594</w:t>
            </w:r>
          </w:p>
        </w:tc>
        <w:tc>
          <w:tcPr>
            <w:tcW w:w="454" w:type="pct"/>
          </w:tcPr>
          <w:p w14:paraId="4CF1E29B">
            <w:pPr>
              <w:rPr>
                <w:rFonts w:ascii="宋体" w:hAnsi="宋体" w:cs="宋体"/>
              </w:rPr>
            </w:pPr>
            <w:r>
              <w:rPr>
                <w:rFonts w:hint="eastAsia" w:ascii="宋体" w:hAnsi="宋体" w:cs="宋体"/>
              </w:rPr>
              <w:t>1.8334</w:t>
            </w:r>
          </w:p>
        </w:tc>
        <w:tc>
          <w:tcPr>
            <w:tcW w:w="454" w:type="pct"/>
          </w:tcPr>
          <w:p w14:paraId="185F0D51">
            <w:pPr>
              <w:rPr>
                <w:rFonts w:ascii="宋体" w:hAnsi="宋体" w:cs="宋体"/>
              </w:rPr>
            </w:pPr>
            <w:r>
              <w:rPr>
                <w:rFonts w:hint="eastAsia" w:ascii="宋体" w:hAnsi="宋体" w:cs="宋体"/>
              </w:rPr>
              <w:t>1.808</w:t>
            </w:r>
          </w:p>
        </w:tc>
        <w:tc>
          <w:tcPr>
            <w:tcW w:w="454" w:type="pct"/>
          </w:tcPr>
          <w:p w14:paraId="4C84E088">
            <w:pPr>
              <w:rPr>
                <w:rFonts w:ascii="宋体" w:hAnsi="宋体" w:cs="宋体"/>
              </w:rPr>
            </w:pPr>
            <w:r>
              <w:rPr>
                <w:rFonts w:hint="eastAsia" w:ascii="宋体" w:hAnsi="宋体" w:cs="宋体"/>
              </w:rPr>
              <w:t>1.7833</w:t>
            </w:r>
          </w:p>
        </w:tc>
        <w:tc>
          <w:tcPr>
            <w:tcW w:w="454" w:type="pct"/>
          </w:tcPr>
          <w:p w14:paraId="458297EE">
            <w:pPr>
              <w:rPr>
                <w:rFonts w:ascii="宋体" w:hAnsi="宋体" w:cs="宋体"/>
              </w:rPr>
            </w:pPr>
            <w:r>
              <w:rPr>
                <w:rFonts w:hint="eastAsia" w:ascii="宋体" w:hAnsi="宋体" w:cs="宋体"/>
              </w:rPr>
              <w:t>1.7591</w:t>
            </w:r>
          </w:p>
        </w:tc>
        <w:tc>
          <w:tcPr>
            <w:tcW w:w="454" w:type="pct"/>
          </w:tcPr>
          <w:p w14:paraId="3FF044D8">
            <w:pPr>
              <w:rPr>
                <w:rFonts w:ascii="宋体" w:hAnsi="宋体" w:cs="宋体"/>
              </w:rPr>
            </w:pPr>
            <w:r>
              <w:rPr>
                <w:rFonts w:hint="eastAsia" w:ascii="宋体" w:hAnsi="宋体" w:cs="宋体"/>
              </w:rPr>
              <w:t>1.7355</w:t>
            </w:r>
          </w:p>
        </w:tc>
      </w:tr>
      <w:tr w14:paraId="7476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2BAD9337">
            <w:pPr>
              <w:rPr>
                <w:rFonts w:ascii="宋体" w:hAnsi="宋体" w:cs="宋体"/>
              </w:rPr>
            </w:pPr>
            <w:r>
              <w:rPr>
                <w:rFonts w:hint="eastAsia" w:ascii="宋体" w:hAnsi="宋体" w:cs="宋体"/>
              </w:rPr>
              <w:t>3</w:t>
            </w:r>
          </w:p>
        </w:tc>
        <w:tc>
          <w:tcPr>
            <w:tcW w:w="454" w:type="pct"/>
          </w:tcPr>
          <w:p w14:paraId="4CA5C80E">
            <w:pPr>
              <w:rPr>
                <w:rFonts w:ascii="宋体" w:hAnsi="宋体" w:cs="宋体"/>
              </w:rPr>
            </w:pPr>
            <w:r>
              <w:rPr>
                <w:rFonts w:hint="eastAsia" w:ascii="宋体" w:hAnsi="宋体" w:cs="宋体"/>
              </w:rPr>
              <w:t>2.941</w:t>
            </w:r>
          </w:p>
        </w:tc>
        <w:tc>
          <w:tcPr>
            <w:tcW w:w="454" w:type="pct"/>
          </w:tcPr>
          <w:p w14:paraId="114823A0">
            <w:pPr>
              <w:rPr>
                <w:rFonts w:ascii="宋体" w:hAnsi="宋体" w:cs="宋体"/>
              </w:rPr>
            </w:pPr>
            <w:r>
              <w:rPr>
                <w:rFonts w:hint="eastAsia" w:ascii="宋体" w:hAnsi="宋体" w:cs="宋体"/>
              </w:rPr>
              <w:t>2.8839</w:t>
            </w:r>
          </w:p>
        </w:tc>
        <w:tc>
          <w:tcPr>
            <w:tcW w:w="454" w:type="pct"/>
          </w:tcPr>
          <w:p w14:paraId="66E05C47">
            <w:pPr>
              <w:rPr>
                <w:rFonts w:ascii="宋体" w:hAnsi="宋体" w:cs="宋体"/>
              </w:rPr>
            </w:pPr>
            <w:r>
              <w:rPr>
                <w:rFonts w:hint="eastAsia" w:ascii="宋体" w:hAnsi="宋体" w:cs="宋体"/>
              </w:rPr>
              <w:t>2.8286</w:t>
            </w:r>
          </w:p>
        </w:tc>
        <w:tc>
          <w:tcPr>
            <w:tcW w:w="454" w:type="pct"/>
          </w:tcPr>
          <w:p w14:paraId="6557E16E">
            <w:pPr>
              <w:rPr>
                <w:rFonts w:ascii="宋体" w:hAnsi="宋体" w:cs="宋体"/>
              </w:rPr>
            </w:pPr>
            <w:r>
              <w:rPr>
                <w:rFonts w:hint="eastAsia" w:ascii="宋体" w:hAnsi="宋体" w:cs="宋体"/>
              </w:rPr>
              <w:t>2.7751</w:t>
            </w:r>
          </w:p>
        </w:tc>
        <w:tc>
          <w:tcPr>
            <w:tcW w:w="454" w:type="pct"/>
          </w:tcPr>
          <w:p w14:paraId="2467ABCC">
            <w:pPr>
              <w:rPr>
                <w:rFonts w:ascii="宋体" w:hAnsi="宋体" w:cs="宋体"/>
              </w:rPr>
            </w:pPr>
            <w:r>
              <w:rPr>
                <w:rFonts w:hint="eastAsia" w:ascii="宋体" w:hAnsi="宋体" w:cs="宋体"/>
              </w:rPr>
              <w:t>2.7232</w:t>
            </w:r>
          </w:p>
        </w:tc>
        <w:tc>
          <w:tcPr>
            <w:tcW w:w="454" w:type="pct"/>
          </w:tcPr>
          <w:p w14:paraId="2BCECC5F">
            <w:pPr>
              <w:rPr>
                <w:rFonts w:ascii="宋体" w:hAnsi="宋体" w:cs="宋体"/>
              </w:rPr>
            </w:pPr>
            <w:r>
              <w:rPr>
                <w:rFonts w:hint="eastAsia" w:ascii="宋体" w:hAnsi="宋体" w:cs="宋体"/>
              </w:rPr>
              <w:t>2.673</w:t>
            </w:r>
          </w:p>
        </w:tc>
        <w:tc>
          <w:tcPr>
            <w:tcW w:w="454" w:type="pct"/>
          </w:tcPr>
          <w:p w14:paraId="0E57AFBA">
            <w:pPr>
              <w:rPr>
                <w:rFonts w:ascii="宋体" w:hAnsi="宋体" w:cs="宋体"/>
              </w:rPr>
            </w:pPr>
            <w:r>
              <w:rPr>
                <w:rFonts w:hint="eastAsia" w:ascii="宋体" w:hAnsi="宋体" w:cs="宋体"/>
              </w:rPr>
              <w:t>2.6243</w:t>
            </w:r>
          </w:p>
        </w:tc>
        <w:tc>
          <w:tcPr>
            <w:tcW w:w="454" w:type="pct"/>
          </w:tcPr>
          <w:p w14:paraId="32C5D105">
            <w:pPr>
              <w:rPr>
                <w:rFonts w:ascii="宋体" w:hAnsi="宋体" w:cs="宋体"/>
              </w:rPr>
            </w:pPr>
            <w:r>
              <w:rPr>
                <w:rFonts w:hint="eastAsia" w:ascii="宋体" w:hAnsi="宋体" w:cs="宋体"/>
              </w:rPr>
              <w:t>2.5771</w:t>
            </w:r>
          </w:p>
        </w:tc>
        <w:tc>
          <w:tcPr>
            <w:tcW w:w="454" w:type="pct"/>
          </w:tcPr>
          <w:p w14:paraId="0DA4E637">
            <w:pPr>
              <w:rPr>
                <w:rFonts w:ascii="宋体" w:hAnsi="宋体" w:cs="宋体"/>
              </w:rPr>
            </w:pPr>
            <w:r>
              <w:rPr>
                <w:rFonts w:hint="eastAsia" w:ascii="宋体" w:hAnsi="宋体" w:cs="宋体"/>
              </w:rPr>
              <w:t>2.5313</w:t>
            </w:r>
          </w:p>
        </w:tc>
        <w:tc>
          <w:tcPr>
            <w:tcW w:w="454" w:type="pct"/>
          </w:tcPr>
          <w:p w14:paraId="04C4019C">
            <w:pPr>
              <w:rPr>
                <w:rFonts w:ascii="宋体" w:hAnsi="宋体" w:cs="宋体"/>
              </w:rPr>
            </w:pPr>
            <w:r>
              <w:rPr>
                <w:rFonts w:hint="eastAsia" w:ascii="宋体" w:hAnsi="宋体" w:cs="宋体"/>
              </w:rPr>
              <w:t>2.4869</w:t>
            </w:r>
          </w:p>
        </w:tc>
      </w:tr>
      <w:tr w14:paraId="0F0F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686E6CAE">
            <w:pPr>
              <w:rPr>
                <w:rFonts w:ascii="宋体" w:hAnsi="宋体" w:cs="宋体"/>
              </w:rPr>
            </w:pPr>
            <w:r>
              <w:rPr>
                <w:rFonts w:hint="eastAsia" w:ascii="宋体" w:hAnsi="宋体" w:cs="宋体"/>
              </w:rPr>
              <w:t>4</w:t>
            </w:r>
          </w:p>
        </w:tc>
        <w:tc>
          <w:tcPr>
            <w:tcW w:w="454" w:type="pct"/>
          </w:tcPr>
          <w:p w14:paraId="6AADA74A">
            <w:pPr>
              <w:rPr>
                <w:rFonts w:ascii="宋体" w:hAnsi="宋体" w:cs="宋体"/>
              </w:rPr>
            </w:pPr>
            <w:r>
              <w:rPr>
                <w:rFonts w:hint="eastAsia" w:ascii="宋体" w:hAnsi="宋体" w:cs="宋体"/>
              </w:rPr>
              <w:t>3.902</w:t>
            </w:r>
          </w:p>
        </w:tc>
        <w:tc>
          <w:tcPr>
            <w:tcW w:w="454" w:type="pct"/>
          </w:tcPr>
          <w:p w14:paraId="34316AA1">
            <w:pPr>
              <w:rPr>
                <w:rFonts w:ascii="宋体" w:hAnsi="宋体" w:cs="宋体"/>
              </w:rPr>
            </w:pPr>
            <w:r>
              <w:rPr>
                <w:rFonts w:hint="eastAsia" w:ascii="宋体" w:hAnsi="宋体" w:cs="宋体"/>
              </w:rPr>
              <w:t>3.8077</w:t>
            </w:r>
          </w:p>
        </w:tc>
        <w:tc>
          <w:tcPr>
            <w:tcW w:w="454" w:type="pct"/>
          </w:tcPr>
          <w:p w14:paraId="24DE913E">
            <w:pPr>
              <w:rPr>
                <w:rFonts w:ascii="宋体" w:hAnsi="宋体" w:cs="宋体"/>
              </w:rPr>
            </w:pPr>
            <w:r>
              <w:rPr>
                <w:rFonts w:hint="eastAsia" w:ascii="宋体" w:hAnsi="宋体" w:cs="宋体"/>
              </w:rPr>
              <w:t>3.7171</w:t>
            </w:r>
          </w:p>
        </w:tc>
        <w:tc>
          <w:tcPr>
            <w:tcW w:w="454" w:type="pct"/>
          </w:tcPr>
          <w:p w14:paraId="6CA34F39">
            <w:pPr>
              <w:rPr>
                <w:rFonts w:ascii="宋体" w:hAnsi="宋体" w:cs="宋体"/>
              </w:rPr>
            </w:pPr>
            <w:r>
              <w:rPr>
                <w:rFonts w:hint="eastAsia" w:ascii="宋体" w:hAnsi="宋体" w:cs="宋体"/>
              </w:rPr>
              <w:t>3.6299</w:t>
            </w:r>
          </w:p>
        </w:tc>
        <w:tc>
          <w:tcPr>
            <w:tcW w:w="454" w:type="pct"/>
          </w:tcPr>
          <w:p w14:paraId="52547296">
            <w:pPr>
              <w:rPr>
                <w:rFonts w:ascii="宋体" w:hAnsi="宋体" w:cs="宋体"/>
              </w:rPr>
            </w:pPr>
            <w:r>
              <w:rPr>
                <w:rFonts w:hint="eastAsia" w:ascii="宋体" w:hAnsi="宋体" w:cs="宋体"/>
              </w:rPr>
              <w:t>3.546</w:t>
            </w:r>
          </w:p>
        </w:tc>
        <w:tc>
          <w:tcPr>
            <w:tcW w:w="454" w:type="pct"/>
          </w:tcPr>
          <w:p w14:paraId="7D4A1853">
            <w:pPr>
              <w:rPr>
                <w:rFonts w:ascii="宋体" w:hAnsi="宋体" w:cs="宋体"/>
              </w:rPr>
            </w:pPr>
            <w:r>
              <w:rPr>
                <w:rFonts w:hint="eastAsia" w:ascii="宋体" w:hAnsi="宋体" w:cs="宋体"/>
              </w:rPr>
              <w:t>3.4651</w:t>
            </w:r>
          </w:p>
        </w:tc>
        <w:tc>
          <w:tcPr>
            <w:tcW w:w="454" w:type="pct"/>
          </w:tcPr>
          <w:p w14:paraId="55E59ABD">
            <w:pPr>
              <w:rPr>
                <w:rFonts w:ascii="宋体" w:hAnsi="宋体" w:cs="宋体"/>
              </w:rPr>
            </w:pPr>
            <w:r>
              <w:rPr>
                <w:rFonts w:hint="eastAsia" w:ascii="宋体" w:hAnsi="宋体" w:cs="宋体"/>
              </w:rPr>
              <w:t>3.3872</w:t>
            </w:r>
          </w:p>
        </w:tc>
        <w:tc>
          <w:tcPr>
            <w:tcW w:w="454" w:type="pct"/>
          </w:tcPr>
          <w:p w14:paraId="338CE2D1">
            <w:pPr>
              <w:rPr>
                <w:rFonts w:ascii="宋体" w:hAnsi="宋体" w:cs="宋体"/>
              </w:rPr>
            </w:pPr>
            <w:r>
              <w:rPr>
                <w:rFonts w:hint="eastAsia" w:ascii="宋体" w:hAnsi="宋体" w:cs="宋体"/>
              </w:rPr>
              <w:t>3.3121</w:t>
            </w:r>
          </w:p>
        </w:tc>
        <w:tc>
          <w:tcPr>
            <w:tcW w:w="454" w:type="pct"/>
          </w:tcPr>
          <w:p w14:paraId="3AF252F8">
            <w:pPr>
              <w:rPr>
                <w:rFonts w:ascii="宋体" w:hAnsi="宋体" w:cs="宋体"/>
              </w:rPr>
            </w:pPr>
            <w:r>
              <w:rPr>
                <w:rFonts w:hint="eastAsia" w:ascii="宋体" w:hAnsi="宋体" w:cs="宋体"/>
              </w:rPr>
              <w:t>3.2397</w:t>
            </w:r>
          </w:p>
        </w:tc>
        <w:tc>
          <w:tcPr>
            <w:tcW w:w="454" w:type="pct"/>
          </w:tcPr>
          <w:p w14:paraId="0D4498BD">
            <w:pPr>
              <w:rPr>
                <w:rFonts w:ascii="宋体" w:hAnsi="宋体" w:cs="宋体"/>
              </w:rPr>
            </w:pPr>
            <w:r>
              <w:rPr>
                <w:rFonts w:hint="eastAsia" w:ascii="宋体" w:hAnsi="宋体" w:cs="宋体"/>
              </w:rPr>
              <w:t>3.1699</w:t>
            </w:r>
          </w:p>
        </w:tc>
      </w:tr>
      <w:tr w14:paraId="2D37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42CC890D">
            <w:pPr>
              <w:rPr>
                <w:rFonts w:ascii="宋体" w:hAnsi="宋体" w:cs="宋体"/>
              </w:rPr>
            </w:pPr>
            <w:r>
              <w:rPr>
                <w:rFonts w:hint="eastAsia" w:ascii="宋体" w:hAnsi="宋体" w:cs="宋体"/>
              </w:rPr>
              <w:t>5</w:t>
            </w:r>
          </w:p>
        </w:tc>
        <w:tc>
          <w:tcPr>
            <w:tcW w:w="454" w:type="pct"/>
          </w:tcPr>
          <w:p w14:paraId="17001511">
            <w:pPr>
              <w:rPr>
                <w:rFonts w:ascii="宋体" w:hAnsi="宋体" w:cs="宋体"/>
              </w:rPr>
            </w:pPr>
            <w:r>
              <w:rPr>
                <w:rFonts w:hint="eastAsia" w:ascii="宋体" w:hAnsi="宋体" w:cs="宋体"/>
              </w:rPr>
              <w:t>4.8534</w:t>
            </w:r>
          </w:p>
        </w:tc>
        <w:tc>
          <w:tcPr>
            <w:tcW w:w="454" w:type="pct"/>
          </w:tcPr>
          <w:p w14:paraId="50B0D9E4">
            <w:pPr>
              <w:rPr>
                <w:rFonts w:ascii="宋体" w:hAnsi="宋体" w:cs="宋体"/>
              </w:rPr>
            </w:pPr>
            <w:r>
              <w:rPr>
                <w:rFonts w:hint="eastAsia" w:ascii="宋体" w:hAnsi="宋体" w:cs="宋体"/>
              </w:rPr>
              <w:t>4.7135</w:t>
            </w:r>
          </w:p>
        </w:tc>
        <w:tc>
          <w:tcPr>
            <w:tcW w:w="454" w:type="pct"/>
          </w:tcPr>
          <w:p w14:paraId="1B5A4913">
            <w:pPr>
              <w:rPr>
                <w:rFonts w:ascii="宋体" w:hAnsi="宋体" w:cs="宋体"/>
              </w:rPr>
            </w:pPr>
            <w:r>
              <w:rPr>
                <w:rFonts w:hint="eastAsia" w:ascii="宋体" w:hAnsi="宋体" w:cs="宋体"/>
              </w:rPr>
              <w:t>4.5797</w:t>
            </w:r>
          </w:p>
        </w:tc>
        <w:tc>
          <w:tcPr>
            <w:tcW w:w="454" w:type="pct"/>
          </w:tcPr>
          <w:p w14:paraId="6B3234AB">
            <w:pPr>
              <w:rPr>
                <w:rFonts w:ascii="宋体" w:hAnsi="宋体" w:cs="宋体"/>
              </w:rPr>
            </w:pPr>
            <w:r>
              <w:rPr>
                <w:rFonts w:hint="eastAsia" w:ascii="宋体" w:hAnsi="宋体" w:cs="宋体"/>
              </w:rPr>
              <w:t>4.4518</w:t>
            </w:r>
          </w:p>
        </w:tc>
        <w:tc>
          <w:tcPr>
            <w:tcW w:w="454" w:type="pct"/>
          </w:tcPr>
          <w:p w14:paraId="658DD8BA">
            <w:pPr>
              <w:rPr>
                <w:rFonts w:ascii="宋体" w:hAnsi="宋体" w:cs="宋体"/>
              </w:rPr>
            </w:pPr>
            <w:r>
              <w:rPr>
                <w:rFonts w:hint="eastAsia" w:ascii="宋体" w:hAnsi="宋体" w:cs="宋体"/>
              </w:rPr>
              <w:t>4.3295</w:t>
            </w:r>
          </w:p>
        </w:tc>
        <w:tc>
          <w:tcPr>
            <w:tcW w:w="454" w:type="pct"/>
          </w:tcPr>
          <w:p w14:paraId="657E816A">
            <w:pPr>
              <w:rPr>
                <w:rFonts w:ascii="宋体" w:hAnsi="宋体" w:cs="宋体"/>
              </w:rPr>
            </w:pPr>
            <w:r>
              <w:rPr>
                <w:rFonts w:hint="eastAsia" w:ascii="宋体" w:hAnsi="宋体" w:cs="宋体"/>
              </w:rPr>
              <w:t>4.2124</w:t>
            </w:r>
          </w:p>
        </w:tc>
        <w:tc>
          <w:tcPr>
            <w:tcW w:w="454" w:type="pct"/>
          </w:tcPr>
          <w:p w14:paraId="31953C96">
            <w:pPr>
              <w:rPr>
                <w:rFonts w:ascii="宋体" w:hAnsi="宋体" w:cs="宋体"/>
              </w:rPr>
            </w:pPr>
            <w:r>
              <w:rPr>
                <w:rFonts w:hint="eastAsia" w:ascii="宋体" w:hAnsi="宋体" w:cs="宋体"/>
              </w:rPr>
              <w:t>4.1002</w:t>
            </w:r>
          </w:p>
        </w:tc>
        <w:tc>
          <w:tcPr>
            <w:tcW w:w="454" w:type="pct"/>
          </w:tcPr>
          <w:p w14:paraId="6EE1DD39">
            <w:pPr>
              <w:rPr>
                <w:rFonts w:ascii="宋体" w:hAnsi="宋体" w:cs="宋体"/>
              </w:rPr>
            </w:pPr>
            <w:r>
              <w:rPr>
                <w:rFonts w:hint="eastAsia" w:ascii="宋体" w:hAnsi="宋体" w:cs="宋体"/>
              </w:rPr>
              <w:t>3.9927</w:t>
            </w:r>
          </w:p>
        </w:tc>
        <w:tc>
          <w:tcPr>
            <w:tcW w:w="454" w:type="pct"/>
          </w:tcPr>
          <w:p w14:paraId="77711487">
            <w:pPr>
              <w:rPr>
                <w:rFonts w:ascii="宋体" w:hAnsi="宋体" w:cs="宋体"/>
              </w:rPr>
            </w:pPr>
            <w:r>
              <w:rPr>
                <w:rFonts w:hint="eastAsia" w:ascii="宋体" w:hAnsi="宋体" w:cs="宋体"/>
              </w:rPr>
              <w:t>3.8897</w:t>
            </w:r>
          </w:p>
        </w:tc>
        <w:tc>
          <w:tcPr>
            <w:tcW w:w="454" w:type="pct"/>
          </w:tcPr>
          <w:p w14:paraId="30DE6801">
            <w:pPr>
              <w:rPr>
                <w:rFonts w:ascii="宋体" w:hAnsi="宋体" w:cs="宋体"/>
              </w:rPr>
            </w:pPr>
            <w:r>
              <w:rPr>
                <w:rFonts w:hint="eastAsia" w:ascii="宋体" w:hAnsi="宋体" w:cs="宋体"/>
              </w:rPr>
              <w:t>3.7908</w:t>
            </w:r>
          </w:p>
        </w:tc>
      </w:tr>
      <w:tr w14:paraId="5321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7FFCBF62">
            <w:pPr>
              <w:rPr>
                <w:rFonts w:ascii="宋体" w:hAnsi="宋体" w:cs="宋体"/>
              </w:rPr>
            </w:pPr>
            <w:r>
              <w:rPr>
                <w:rFonts w:hint="eastAsia" w:ascii="宋体" w:hAnsi="宋体" w:cs="宋体"/>
              </w:rPr>
              <w:t>6</w:t>
            </w:r>
          </w:p>
        </w:tc>
        <w:tc>
          <w:tcPr>
            <w:tcW w:w="454" w:type="pct"/>
          </w:tcPr>
          <w:p w14:paraId="1C284F08">
            <w:pPr>
              <w:rPr>
                <w:rFonts w:ascii="宋体" w:hAnsi="宋体" w:cs="宋体"/>
              </w:rPr>
            </w:pPr>
            <w:r>
              <w:rPr>
                <w:rFonts w:hint="eastAsia" w:ascii="宋体" w:hAnsi="宋体" w:cs="宋体"/>
              </w:rPr>
              <w:t>5.7955</w:t>
            </w:r>
          </w:p>
        </w:tc>
        <w:tc>
          <w:tcPr>
            <w:tcW w:w="454" w:type="pct"/>
          </w:tcPr>
          <w:p w14:paraId="78058068">
            <w:pPr>
              <w:rPr>
                <w:rFonts w:ascii="宋体" w:hAnsi="宋体" w:cs="宋体"/>
              </w:rPr>
            </w:pPr>
            <w:r>
              <w:rPr>
                <w:rFonts w:hint="eastAsia" w:ascii="宋体" w:hAnsi="宋体" w:cs="宋体"/>
              </w:rPr>
              <w:t>5.6014</w:t>
            </w:r>
          </w:p>
        </w:tc>
        <w:tc>
          <w:tcPr>
            <w:tcW w:w="454" w:type="pct"/>
          </w:tcPr>
          <w:p w14:paraId="5CF2B7B8">
            <w:pPr>
              <w:rPr>
                <w:rFonts w:ascii="宋体" w:hAnsi="宋体" w:cs="宋体"/>
              </w:rPr>
            </w:pPr>
            <w:r>
              <w:rPr>
                <w:rFonts w:hint="eastAsia" w:ascii="宋体" w:hAnsi="宋体" w:cs="宋体"/>
              </w:rPr>
              <w:t>5.4172</w:t>
            </w:r>
          </w:p>
        </w:tc>
        <w:tc>
          <w:tcPr>
            <w:tcW w:w="454" w:type="pct"/>
          </w:tcPr>
          <w:p w14:paraId="4D0A64D0">
            <w:pPr>
              <w:rPr>
                <w:rFonts w:ascii="宋体" w:hAnsi="宋体" w:cs="宋体"/>
              </w:rPr>
            </w:pPr>
            <w:r>
              <w:rPr>
                <w:rFonts w:hint="eastAsia" w:ascii="宋体" w:hAnsi="宋体" w:cs="宋体"/>
              </w:rPr>
              <w:t>5.2421</w:t>
            </w:r>
          </w:p>
        </w:tc>
        <w:tc>
          <w:tcPr>
            <w:tcW w:w="454" w:type="pct"/>
          </w:tcPr>
          <w:p w14:paraId="1695DAC8">
            <w:pPr>
              <w:rPr>
                <w:rFonts w:ascii="宋体" w:hAnsi="宋体" w:cs="宋体"/>
              </w:rPr>
            </w:pPr>
            <w:r>
              <w:rPr>
                <w:rFonts w:hint="eastAsia" w:ascii="宋体" w:hAnsi="宋体" w:cs="宋体"/>
              </w:rPr>
              <w:t>5.0757</w:t>
            </w:r>
          </w:p>
        </w:tc>
        <w:tc>
          <w:tcPr>
            <w:tcW w:w="454" w:type="pct"/>
          </w:tcPr>
          <w:p w14:paraId="2E0AFC29">
            <w:pPr>
              <w:rPr>
                <w:rFonts w:ascii="宋体" w:hAnsi="宋体" w:cs="宋体"/>
              </w:rPr>
            </w:pPr>
            <w:r>
              <w:rPr>
                <w:rFonts w:hint="eastAsia" w:ascii="宋体" w:hAnsi="宋体" w:cs="宋体"/>
              </w:rPr>
              <w:t>4.9173</w:t>
            </w:r>
          </w:p>
        </w:tc>
        <w:tc>
          <w:tcPr>
            <w:tcW w:w="454" w:type="pct"/>
          </w:tcPr>
          <w:p w14:paraId="1B5E4E26">
            <w:pPr>
              <w:rPr>
                <w:rFonts w:ascii="宋体" w:hAnsi="宋体" w:cs="宋体"/>
              </w:rPr>
            </w:pPr>
            <w:r>
              <w:rPr>
                <w:rFonts w:hint="eastAsia" w:ascii="宋体" w:hAnsi="宋体" w:cs="宋体"/>
              </w:rPr>
              <w:t>4.7665</w:t>
            </w:r>
          </w:p>
        </w:tc>
        <w:tc>
          <w:tcPr>
            <w:tcW w:w="454" w:type="pct"/>
          </w:tcPr>
          <w:p w14:paraId="47CEF9A3">
            <w:pPr>
              <w:rPr>
                <w:rFonts w:ascii="宋体" w:hAnsi="宋体" w:cs="宋体"/>
              </w:rPr>
            </w:pPr>
            <w:r>
              <w:rPr>
                <w:rFonts w:hint="eastAsia" w:ascii="宋体" w:hAnsi="宋体" w:cs="宋体"/>
              </w:rPr>
              <w:t>4.6229</w:t>
            </w:r>
          </w:p>
        </w:tc>
        <w:tc>
          <w:tcPr>
            <w:tcW w:w="454" w:type="pct"/>
          </w:tcPr>
          <w:p w14:paraId="48E8728B">
            <w:pPr>
              <w:rPr>
                <w:rFonts w:ascii="宋体" w:hAnsi="宋体" w:cs="宋体"/>
              </w:rPr>
            </w:pPr>
            <w:r>
              <w:rPr>
                <w:rFonts w:hint="eastAsia" w:ascii="宋体" w:hAnsi="宋体" w:cs="宋体"/>
              </w:rPr>
              <w:t>4.4859</w:t>
            </w:r>
          </w:p>
        </w:tc>
        <w:tc>
          <w:tcPr>
            <w:tcW w:w="454" w:type="pct"/>
          </w:tcPr>
          <w:p w14:paraId="4298C573">
            <w:pPr>
              <w:rPr>
                <w:rFonts w:ascii="宋体" w:hAnsi="宋体" w:cs="宋体"/>
              </w:rPr>
            </w:pPr>
            <w:r>
              <w:rPr>
                <w:rFonts w:hint="eastAsia" w:ascii="宋体" w:hAnsi="宋体" w:cs="宋体"/>
              </w:rPr>
              <w:t>4.3553</w:t>
            </w:r>
          </w:p>
        </w:tc>
      </w:tr>
      <w:tr w14:paraId="40CF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Pr>
          <w:p w14:paraId="5936FB64">
            <w:pPr>
              <w:rPr>
                <w:rFonts w:ascii="宋体" w:hAnsi="宋体" w:cs="宋体"/>
              </w:rPr>
            </w:pPr>
            <w:r>
              <w:rPr>
                <w:rFonts w:hint="eastAsia" w:ascii="宋体" w:hAnsi="宋体" w:cs="宋体"/>
              </w:rPr>
              <w:t>7</w:t>
            </w:r>
          </w:p>
        </w:tc>
        <w:tc>
          <w:tcPr>
            <w:tcW w:w="454" w:type="pct"/>
          </w:tcPr>
          <w:p w14:paraId="4AF848D6">
            <w:pPr>
              <w:rPr>
                <w:rFonts w:ascii="宋体" w:hAnsi="宋体" w:cs="宋体"/>
              </w:rPr>
            </w:pPr>
            <w:r>
              <w:rPr>
                <w:rFonts w:hint="eastAsia" w:ascii="宋体" w:hAnsi="宋体" w:cs="宋体"/>
              </w:rPr>
              <w:t>6.7282</w:t>
            </w:r>
          </w:p>
        </w:tc>
        <w:tc>
          <w:tcPr>
            <w:tcW w:w="454" w:type="pct"/>
          </w:tcPr>
          <w:p w14:paraId="4F20D2F7">
            <w:pPr>
              <w:rPr>
                <w:rFonts w:ascii="宋体" w:hAnsi="宋体" w:cs="宋体"/>
              </w:rPr>
            </w:pPr>
            <w:r>
              <w:rPr>
                <w:rFonts w:hint="eastAsia" w:ascii="宋体" w:hAnsi="宋体" w:cs="宋体"/>
              </w:rPr>
              <w:t>6.472</w:t>
            </w:r>
          </w:p>
        </w:tc>
        <w:tc>
          <w:tcPr>
            <w:tcW w:w="454" w:type="pct"/>
          </w:tcPr>
          <w:p w14:paraId="373A9F4F">
            <w:pPr>
              <w:rPr>
                <w:rFonts w:ascii="宋体" w:hAnsi="宋体" w:cs="宋体"/>
              </w:rPr>
            </w:pPr>
            <w:r>
              <w:rPr>
                <w:rFonts w:hint="eastAsia" w:ascii="宋体" w:hAnsi="宋体" w:cs="宋体"/>
              </w:rPr>
              <w:t>6.2303</w:t>
            </w:r>
          </w:p>
        </w:tc>
        <w:tc>
          <w:tcPr>
            <w:tcW w:w="454" w:type="pct"/>
          </w:tcPr>
          <w:p w14:paraId="474A9FD2">
            <w:pPr>
              <w:rPr>
                <w:rFonts w:ascii="宋体" w:hAnsi="宋体" w:cs="宋体"/>
              </w:rPr>
            </w:pPr>
            <w:r>
              <w:rPr>
                <w:rFonts w:hint="eastAsia" w:ascii="宋体" w:hAnsi="宋体" w:cs="宋体"/>
              </w:rPr>
              <w:t>6.0021</w:t>
            </w:r>
          </w:p>
        </w:tc>
        <w:tc>
          <w:tcPr>
            <w:tcW w:w="454" w:type="pct"/>
          </w:tcPr>
          <w:p w14:paraId="1016BB05">
            <w:pPr>
              <w:rPr>
                <w:rFonts w:ascii="宋体" w:hAnsi="宋体" w:cs="宋体"/>
              </w:rPr>
            </w:pPr>
            <w:r>
              <w:rPr>
                <w:rFonts w:hint="eastAsia" w:ascii="宋体" w:hAnsi="宋体" w:cs="宋体"/>
              </w:rPr>
              <w:t>5.7864</w:t>
            </w:r>
          </w:p>
        </w:tc>
        <w:tc>
          <w:tcPr>
            <w:tcW w:w="454" w:type="pct"/>
          </w:tcPr>
          <w:p w14:paraId="19032036">
            <w:pPr>
              <w:rPr>
                <w:rFonts w:ascii="宋体" w:hAnsi="宋体" w:cs="宋体"/>
              </w:rPr>
            </w:pPr>
            <w:r>
              <w:rPr>
                <w:rFonts w:hint="eastAsia" w:ascii="宋体" w:hAnsi="宋体" w:cs="宋体"/>
              </w:rPr>
              <w:t>5.5824</w:t>
            </w:r>
          </w:p>
        </w:tc>
        <w:tc>
          <w:tcPr>
            <w:tcW w:w="454" w:type="pct"/>
          </w:tcPr>
          <w:p w14:paraId="2082FC37">
            <w:pPr>
              <w:rPr>
                <w:rFonts w:ascii="宋体" w:hAnsi="宋体" w:cs="宋体"/>
              </w:rPr>
            </w:pPr>
            <w:r>
              <w:rPr>
                <w:rFonts w:hint="eastAsia" w:ascii="宋体" w:hAnsi="宋体" w:cs="宋体"/>
              </w:rPr>
              <w:t>5.3893</w:t>
            </w:r>
          </w:p>
        </w:tc>
        <w:tc>
          <w:tcPr>
            <w:tcW w:w="454" w:type="pct"/>
          </w:tcPr>
          <w:p w14:paraId="7B31FA63">
            <w:pPr>
              <w:rPr>
                <w:rFonts w:ascii="宋体" w:hAnsi="宋体" w:cs="宋体"/>
              </w:rPr>
            </w:pPr>
            <w:r>
              <w:rPr>
                <w:rFonts w:hint="eastAsia" w:ascii="宋体" w:hAnsi="宋体" w:cs="宋体"/>
              </w:rPr>
              <w:t>5.2064</w:t>
            </w:r>
          </w:p>
        </w:tc>
        <w:tc>
          <w:tcPr>
            <w:tcW w:w="454" w:type="pct"/>
          </w:tcPr>
          <w:p w14:paraId="263D897B">
            <w:pPr>
              <w:rPr>
                <w:rFonts w:ascii="宋体" w:hAnsi="宋体" w:cs="宋体"/>
              </w:rPr>
            </w:pPr>
            <w:r>
              <w:rPr>
                <w:rFonts w:hint="eastAsia" w:ascii="宋体" w:hAnsi="宋体" w:cs="宋体"/>
              </w:rPr>
              <w:t>5.033</w:t>
            </w:r>
          </w:p>
        </w:tc>
        <w:tc>
          <w:tcPr>
            <w:tcW w:w="454" w:type="pct"/>
          </w:tcPr>
          <w:p w14:paraId="15B1BD61">
            <w:pPr>
              <w:rPr>
                <w:rFonts w:ascii="宋体" w:hAnsi="宋体" w:cs="宋体"/>
              </w:rPr>
            </w:pPr>
            <w:r>
              <w:rPr>
                <w:rFonts w:hint="eastAsia" w:ascii="宋体" w:hAnsi="宋体" w:cs="宋体"/>
              </w:rPr>
              <w:t>4.8684</w:t>
            </w:r>
          </w:p>
        </w:tc>
      </w:tr>
    </w:tbl>
    <w:p w14:paraId="0E17753D">
      <w:pPr>
        <w:jc w:val="left"/>
        <w:rPr>
          <w:rFonts w:ascii="宋体" w:hAnsi="宋体" w:cs="宋体"/>
          <w:color w:val="FF0000"/>
        </w:rPr>
      </w:pPr>
      <w:r>
        <w:rPr>
          <w:rFonts w:hint="eastAsia" w:ascii="宋体" w:hAnsi="宋体" w:cs="宋体"/>
          <w:color w:val="FF0000"/>
        </w:rPr>
        <w:t>（2）普通年金终值</w:t>
      </w:r>
    </w:p>
    <w:p w14:paraId="3DF75984">
      <w:pPr>
        <w:jc w:val="left"/>
        <w:rPr>
          <w:rFonts w:hint="eastAsia" w:ascii="宋体" w:hAnsi="宋体" w:cs="宋体"/>
        </w:rPr>
      </w:pPr>
      <w:r>
        <w:rPr>
          <w:rFonts w:hint="eastAsia" w:ascii="宋体" w:hAnsi="宋体" w:cs="宋体"/>
        </w:rPr>
        <w:t>普通年金终值是指最后一次支付时的本利和，是每次支付的复利终值之和。</w:t>
      </w:r>
    </w:p>
    <w:p w14:paraId="48997FC2">
      <w:pPr>
        <w:jc w:val="left"/>
        <w:rPr>
          <w:rFonts w:ascii="宋体" w:hAnsi="宋体" w:cs="宋体"/>
        </w:rPr>
      </w:pPr>
      <w:r>
        <w:rPr>
          <w:rFonts w:hint="eastAsia" w:ascii="宋体" w:hAnsi="宋体" w:cs="宋体"/>
        </w:rPr>
        <w:drawing>
          <wp:inline distT="0" distB="0" distL="114300" distR="114300">
            <wp:extent cx="5207000" cy="1309370"/>
            <wp:effectExtent l="0" t="0" r="1270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extLst>
                        <a:ext uri="{BEBA8EAE-BF5A-486C-A8C5-ECC9F3942E4B}">
                          <a14:imgProps xmlns:a14="http://schemas.microsoft.com/office/drawing/2010/main">
                            <a14:imgLayer r:embed="rId16">
                              <a14:imgEffect>
                                <a14:brightnessContrast bright="-68000"/>
                              </a14:imgEffect>
                            </a14:imgLayer>
                          </a14:imgProps>
                        </a:ext>
                      </a:extLst>
                    </a:blip>
                    <a:stretch>
                      <a:fillRect/>
                    </a:stretch>
                  </pic:blipFill>
                  <pic:spPr>
                    <a:xfrm>
                      <a:off x="0" y="0"/>
                      <a:ext cx="5207000" cy="1309370"/>
                    </a:xfrm>
                    <a:prstGeom prst="rect">
                      <a:avLst/>
                    </a:prstGeom>
                    <a:noFill/>
                    <a:ln>
                      <a:noFill/>
                    </a:ln>
                  </pic:spPr>
                </pic:pic>
              </a:graphicData>
            </a:graphic>
          </wp:inline>
        </w:drawing>
      </w:r>
    </w:p>
    <w:p w14:paraId="46BD539A">
      <w:pPr>
        <w:jc w:val="left"/>
        <w:rPr>
          <w:rFonts w:ascii="宋体" w:hAnsi="宋体" w:cs="宋体"/>
        </w:rPr>
      </w:pPr>
      <w:r>
        <w:rPr>
          <w:rFonts w:hint="eastAsia" w:ascii="宋体" w:hAnsi="宋体" w:cs="宋体"/>
        </w:rPr>
        <w:drawing>
          <wp:inline distT="0" distB="0" distL="114300" distR="114300">
            <wp:extent cx="5207635" cy="257810"/>
            <wp:effectExtent l="0" t="0" r="12065" b="889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7"/>
                    <a:stretch>
                      <a:fillRect/>
                    </a:stretch>
                  </pic:blipFill>
                  <pic:spPr>
                    <a:xfrm>
                      <a:off x="0" y="0"/>
                      <a:ext cx="5207635" cy="257810"/>
                    </a:xfrm>
                    <a:prstGeom prst="rect">
                      <a:avLst/>
                    </a:prstGeom>
                    <a:noFill/>
                    <a:ln>
                      <a:noFill/>
                    </a:ln>
                  </pic:spPr>
                </pic:pic>
              </a:graphicData>
            </a:graphic>
          </wp:inline>
        </w:drawing>
      </w:r>
    </w:p>
    <w:p w14:paraId="309F0DC7">
      <w:pPr>
        <w:jc w:val="left"/>
        <w:rPr>
          <w:rFonts w:ascii="宋体" w:hAnsi="宋体" w:cs="宋体"/>
        </w:rPr>
      </w:pPr>
      <w:r>
        <w:rPr>
          <w:rFonts w:hint="eastAsia" w:ascii="宋体" w:hAnsi="宋体" w:cs="宋体"/>
        </w:rPr>
        <w:drawing>
          <wp:inline distT="0" distB="0" distL="114300" distR="114300">
            <wp:extent cx="3330575" cy="575310"/>
            <wp:effectExtent l="0" t="0" r="317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3330575" cy="575310"/>
                    </a:xfrm>
                    <a:prstGeom prst="rect">
                      <a:avLst/>
                    </a:prstGeom>
                    <a:noFill/>
                    <a:ln>
                      <a:noFill/>
                    </a:ln>
                  </pic:spPr>
                </pic:pic>
              </a:graphicData>
            </a:graphic>
          </wp:inline>
        </w:drawing>
      </w:r>
    </w:p>
    <w:p w14:paraId="2A45E081">
      <w:pPr>
        <w:jc w:val="left"/>
        <w:rPr>
          <w:rFonts w:hint="eastAsia" w:ascii="宋体" w:hAnsi="宋体" w:cs="宋体"/>
        </w:rPr>
      </w:pPr>
      <w:r>
        <w:rPr>
          <w:rFonts w:hint="eastAsia" w:ascii="宋体" w:hAnsi="宋体" w:cs="宋体"/>
        </w:rPr>
        <w:drawing>
          <wp:inline distT="0" distB="0" distL="114300" distR="114300">
            <wp:extent cx="4185285" cy="464820"/>
            <wp:effectExtent l="0" t="0" r="5715" b="1143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9"/>
                    <a:stretch>
                      <a:fillRect/>
                    </a:stretch>
                  </pic:blipFill>
                  <pic:spPr>
                    <a:xfrm>
                      <a:off x="0" y="0"/>
                      <a:ext cx="4185285" cy="464820"/>
                    </a:xfrm>
                    <a:prstGeom prst="rect">
                      <a:avLst/>
                    </a:prstGeom>
                    <a:noFill/>
                    <a:ln>
                      <a:noFill/>
                    </a:ln>
                  </pic:spPr>
                </pic:pic>
              </a:graphicData>
            </a:graphic>
          </wp:inline>
        </w:drawing>
      </w:r>
    </w:p>
    <w:p w14:paraId="0C5B0AC6">
      <w:pPr>
        <w:overflowPunct w:val="0"/>
        <w:jc w:val="center"/>
        <w:rPr>
          <w:rFonts w:ascii="宋体" w:hAnsi="宋体" w:cs="宋体"/>
          <w:b/>
          <w:bCs/>
        </w:rPr>
      </w:pPr>
      <w:r>
        <w:rPr>
          <w:rFonts w:hint="eastAsia" w:ascii="宋体" w:hAnsi="宋体" w:cs="宋体"/>
          <w:b/>
          <w:bCs/>
        </w:rPr>
        <w:t>第一节  货币时间价值</w:t>
      </w:r>
    </w:p>
    <w:p w14:paraId="33FB288A">
      <w:pPr>
        <w:jc w:val="left"/>
        <w:rPr>
          <w:rFonts w:ascii="宋体" w:hAnsi="宋体" w:cs="宋体"/>
          <w:color w:val="FF0000"/>
        </w:rPr>
      </w:pPr>
      <w:r>
        <w:rPr>
          <w:rFonts w:hint="eastAsia" w:ascii="宋体" w:hAnsi="宋体" w:cs="宋体"/>
          <w:color w:val="FF0000"/>
        </w:rPr>
        <w:t>2.预付年金</w:t>
      </w:r>
    </w:p>
    <w:p w14:paraId="6D08D037">
      <w:pPr>
        <w:jc w:val="left"/>
        <w:rPr>
          <w:rFonts w:ascii="宋体" w:hAnsi="宋体" w:cs="宋体"/>
        </w:rPr>
      </w:pPr>
      <w:r>
        <w:rPr>
          <w:rFonts w:hint="eastAsia" w:ascii="宋体" w:hAnsi="宋体" w:cs="宋体"/>
        </w:rPr>
        <w:t>预付年金是指从第一期起，在一定时期内每期期初等额收付的系列款项，又称即付年金或先付年金。</w:t>
      </w:r>
    </w:p>
    <w:p w14:paraId="4788E6CD">
      <w:pPr>
        <w:jc w:val="left"/>
        <w:rPr>
          <w:rFonts w:ascii="宋体" w:hAnsi="宋体" w:cs="宋体"/>
          <w:color w:val="FF0000"/>
        </w:rPr>
      </w:pPr>
      <w:r>
        <w:rPr>
          <w:rFonts w:hint="eastAsia" w:ascii="宋体" w:hAnsi="宋体" w:cs="宋体"/>
          <w:color w:val="FF0000"/>
        </w:rPr>
        <w:t>（1）预付年金现值</w:t>
      </w:r>
    </w:p>
    <w:p w14:paraId="3323F65A">
      <w:pPr>
        <w:jc w:val="left"/>
        <w:rPr>
          <w:rFonts w:ascii="宋体" w:hAnsi="宋体" w:cs="宋体"/>
        </w:rPr>
      </w:pPr>
      <w:r>
        <w:rPr>
          <w:rFonts w:ascii="宋体" w:hAnsi="宋体" w:cs="宋体"/>
        </w:rPr>
        <w:drawing>
          <wp:inline distT="0" distB="0" distL="0" distR="0">
            <wp:extent cx="6300470" cy="1471295"/>
            <wp:effectExtent l="0" t="0" r="5080" b="0"/>
            <wp:docPr id="13576629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62954" name="图片 1"/>
                    <pic:cNvPicPr>
                      <a:picLocks noChangeAspect="1"/>
                    </pic:cNvPicPr>
                  </pic:nvPicPr>
                  <pic:blipFill>
                    <a:blip r:embed="rId20">
                      <a:extLst>
                        <a:ext uri="{BEBA8EAE-BF5A-486C-A8C5-ECC9F3942E4B}">
                          <a14:imgProps xmlns:a14="http://schemas.microsoft.com/office/drawing/2010/main">
                            <a14:imgLayer r:embed="rId2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6300470" cy="1471295"/>
                    </a:xfrm>
                    <a:prstGeom prst="rect">
                      <a:avLst/>
                    </a:prstGeom>
                  </pic:spPr>
                </pic:pic>
              </a:graphicData>
            </a:graphic>
          </wp:inline>
        </w:drawing>
      </w:r>
    </w:p>
    <w:p w14:paraId="4063699A">
      <w:pPr>
        <w:jc w:val="left"/>
        <w:rPr>
          <w:rFonts w:ascii="宋体" w:hAnsi="宋体" w:cs="宋体"/>
          <w:color w:val="FF0000"/>
        </w:rPr>
      </w:pPr>
      <w:r>
        <w:rPr>
          <w:rFonts w:hint="eastAsia" w:ascii="宋体" w:hAnsi="宋体" w:cs="宋体"/>
          <w:color w:val="FF0000"/>
        </w:rPr>
        <w:t>P=A*（P/A，i，n）*（1+i）</w:t>
      </w:r>
    </w:p>
    <w:p w14:paraId="79FD6596">
      <w:pPr>
        <w:jc w:val="left"/>
        <w:rPr>
          <w:rFonts w:ascii="宋体" w:hAnsi="宋体" w:cs="宋体"/>
        </w:rPr>
      </w:pPr>
      <w:r>
        <w:rPr>
          <w:rFonts w:hint="eastAsia" w:ascii="宋体" w:hAnsi="宋体" w:cs="宋体"/>
          <w:color w:val="FF0000"/>
        </w:rPr>
        <w:t>【例】</w:t>
      </w:r>
      <w:r>
        <w:rPr>
          <w:rFonts w:hint="eastAsia" w:ascii="宋体" w:hAnsi="宋体" w:cs="宋体"/>
        </w:rPr>
        <w:t>甲公司购买一台设备，付款方式为现在付10万元，以后每年付10万元，共计付款6次。假设利率为5%，如果打算现在一次性付款应该付多少？已知条件：（P/A，5%，6）=5.0757</w:t>
      </w:r>
    </w:p>
    <w:p w14:paraId="668D3D79">
      <w:pPr>
        <w:jc w:val="left"/>
        <w:rPr>
          <w:rFonts w:ascii="宋体" w:hAnsi="宋体" w:cs="宋体"/>
        </w:rPr>
      </w:pPr>
      <w:r>
        <w:rPr>
          <w:rFonts w:hint="eastAsia" w:ascii="宋体" w:hAnsi="宋体" w:cs="宋体"/>
          <w:color w:val="FF0000"/>
        </w:rPr>
        <w:t>答案：</w:t>
      </w:r>
      <w:r>
        <w:rPr>
          <w:rFonts w:hint="eastAsia" w:ascii="宋体" w:hAnsi="宋体" w:cs="宋体"/>
        </w:rPr>
        <w:t>　</w:t>
      </w:r>
    </w:p>
    <w:p w14:paraId="1CDCB9FA">
      <w:pPr>
        <w:jc w:val="left"/>
        <w:rPr>
          <w:rFonts w:ascii="宋体" w:hAnsi="宋体" w:cs="宋体"/>
        </w:rPr>
      </w:pPr>
      <w:r>
        <w:rPr>
          <w:rFonts w:hint="eastAsia" w:ascii="宋体" w:hAnsi="宋体" w:cs="宋体"/>
        </w:rPr>
        <w:t>P＝A×（P/A，i，n）×（1＋i）＝10×（P/A，5%，6）×（1＋5%）＝10×5.0757×1.05＝53.29（万元）</w:t>
      </w:r>
    </w:p>
    <w:p w14:paraId="08578013">
      <w:pPr>
        <w:jc w:val="left"/>
        <w:rPr>
          <w:rFonts w:ascii="宋体" w:hAnsi="宋体" w:cs="宋体"/>
        </w:rPr>
      </w:pPr>
      <w:r>
        <w:rPr>
          <w:rFonts w:hint="eastAsia" w:ascii="宋体" w:hAnsi="宋体" w:cs="宋体"/>
        </w:rPr>
        <w:t>即如果打算现在一次性付款应该付53.29万元。</w:t>
      </w:r>
    </w:p>
    <w:p w14:paraId="0840A44B">
      <w:pPr>
        <w:jc w:val="left"/>
        <w:rPr>
          <w:rFonts w:ascii="宋体" w:hAnsi="宋体" w:cs="宋体"/>
        </w:rPr>
      </w:pPr>
    </w:p>
    <w:p w14:paraId="53EE8A53">
      <w:pPr>
        <w:jc w:val="left"/>
        <w:rPr>
          <w:rFonts w:ascii="宋体" w:hAnsi="宋体" w:cs="宋体"/>
        </w:rPr>
      </w:pPr>
      <w:r>
        <w:rPr>
          <w:rFonts w:hint="eastAsia" w:ascii="宋体" w:hAnsi="宋体" w:cs="宋体"/>
        </w:rPr>
        <w:t>【单选题】（2023年）已知（P/A，8%，5）=3.9927，（P/A，8%6）=4.6229，（P/A，8%，7）=5.2064，则6年期、折现率为8%的预付年金现值系数是（  ）。</w:t>
      </w:r>
    </w:p>
    <w:p w14:paraId="4A1AA897">
      <w:pPr>
        <w:jc w:val="left"/>
        <w:rPr>
          <w:rFonts w:ascii="宋体" w:hAnsi="宋体" w:cs="宋体"/>
        </w:rPr>
      </w:pPr>
      <w:r>
        <w:rPr>
          <w:rFonts w:hint="eastAsia" w:ascii="宋体" w:hAnsi="宋体" w:cs="宋体"/>
        </w:rPr>
        <w:t xml:space="preserve">A.2.9927    B.4.206    </w:t>
      </w:r>
    </w:p>
    <w:p w14:paraId="068CBF2B">
      <w:pPr>
        <w:jc w:val="left"/>
        <w:rPr>
          <w:rFonts w:ascii="宋体" w:hAnsi="宋体" w:cs="宋体"/>
        </w:rPr>
      </w:pPr>
      <w:r>
        <w:rPr>
          <w:rFonts w:hint="eastAsia" w:ascii="宋体" w:hAnsi="宋体" w:cs="宋体"/>
        </w:rPr>
        <w:t>C.4.9927    D.4.1235</w:t>
      </w:r>
    </w:p>
    <w:p w14:paraId="347FA3B9">
      <w:pPr>
        <w:jc w:val="left"/>
        <w:rPr>
          <w:rFonts w:ascii="宋体" w:hAnsi="宋体" w:cs="宋体"/>
        </w:rPr>
      </w:pPr>
      <w:r>
        <w:rPr>
          <w:rFonts w:hint="eastAsia" w:ascii="宋体" w:hAnsi="宋体" w:cs="宋体"/>
        </w:rPr>
        <w:t>答案：C</w:t>
      </w:r>
    </w:p>
    <w:p w14:paraId="4D0F697C">
      <w:pPr>
        <w:jc w:val="left"/>
        <w:rPr>
          <w:rFonts w:ascii="宋体" w:hAnsi="宋体" w:cs="宋体"/>
        </w:rPr>
      </w:pPr>
      <w:r>
        <w:rPr>
          <w:rFonts w:hint="eastAsia" w:ascii="宋体" w:hAnsi="宋体" w:cs="宋体"/>
        </w:rPr>
        <w:t>解析：预付年金现值系数等于普通年金现值系数系数加1、期数减1。6年期、折现率为 8%的预付年金现值系数（P/A，8%，6-1）+1=（P/A，8%5）+1=3.9927+1=4.9927。</w:t>
      </w:r>
    </w:p>
    <w:p w14:paraId="3A5CBB21">
      <w:pPr>
        <w:jc w:val="left"/>
        <w:rPr>
          <w:rFonts w:ascii="宋体" w:hAnsi="宋体" w:cs="宋体"/>
        </w:rPr>
      </w:pPr>
    </w:p>
    <w:p w14:paraId="209A92A1">
      <w:pPr>
        <w:jc w:val="left"/>
        <w:rPr>
          <w:rFonts w:ascii="宋体" w:hAnsi="宋体" w:cs="宋体"/>
        </w:rPr>
      </w:pPr>
      <w:r>
        <w:rPr>
          <w:rFonts w:hint="eastAsia" w:ascii="宋体" w:hAnsi="宋体" w:cs="宋体"/>
        </w:rPr>
        <w:t>（2）预付年金终值</w:t>
      </w:r>
    </w:p>
    <w:p w14:paraId="183E2579">
      <w:pPr>
        <w:jc w:val="left"/>
        <w:rPr>
          <w:rFonts w:ascii="宋体" w:hAnsi="宋体" w:cs="宋体"/>
        </w:rPr>
      </w:pPr>
      <w:r>
        <w:rPr>
          <w:rFonts w:hint="eastAsia" w:ascii="宋体" w:hAnsi="宋体" w:cs="宋体"/>
        </w:rPr>
        <w:drawing>
          <wp:inline distT="0" distB="0" distL="114300" distR="114300">
            <wp:extent cx="5207000" cy="1074420"/>
            <wp:effectExtent l="0" t="0" r="12700"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2"/>
                    <a:stretch>
                      <a:fillRect/>
                    </a:stretch>
                  </pic:blipFill>
                  <pic:spPr>
                    <a:xfrm>
                      <a:off x="0" y="0"/>
                      <a:ext cx="5207000" cy="1074420"/>
                    </a:xfrm>
                    <a:prstGeom prst="rect">
                      <a:avLst/>
                    </a:prstGeom>
                    <a:noFill/>
                    <a:ln>
                      <a:noFill/>
                    </a:ln>
                  </pic:spPr>
                </pic:pic>
              </a:graphicData>
            </a:graphic>
          </wp:inline>
        </w:drawing>
      </w:r>
    </w:p>
    <w:p w14:paraId="234B903C">
      <w:pPr>
        <w:jc w:val="left"/>
        <w:rPr>
          <w:rFonts w:hint="eastAsia" w:ascii="宋体" w:hAnsi="宋体" w:cs="宋体"/>
          <w:color w:val="FF0000"/>
        </w:rPr>
      </w:pPr>
      <w:r>
        <w:rPr>
          <w:rFonts w:hint="eastAsia" w:ascii="宋体" w:hAnsi="宋体" w:cs="宋体"/>
          <w:color w:val="FF0000"/>
        </w:rPr>
        <w:t>F=A×（F/A，i，n）×（1+i）</w:t>
      </w:r>
    </w:p>
    <w:p w14:paraId="78F0BE8F">
      <w:pPr>
        <w:overflowPunct w:val="0"/>
        <w:jc w:val="center"/>
        <w:rPr>
          <w:rFonts w:ascii="宋体" w:hAnsi="宋体" w:cs="宋体"/>
          <w:b/>
          <w:bCs/>
        </w:rPr>
      </w:pPr>
      <w:r>
        <w:rPr>
          <w:rFonts w:hint="eastAsia" w:ascii="宋体" w:hAnsi="宋体" w:cs="宋体"/>
          <w:b/>
          <w:bCs/>
        </w:rPr>
        <w:t>第一节  货币时间价值</w:t>
      </w:r>
    </w:p>
    <w:p w14:paraId="7546912F">
      <w:pPr>
        <w:jc w:val="left"/>
        <w:rPr>
          <w:rFonts w:ascii="宋体" w:hAnsi="宋体" w:cs="宋体"/>
          <w:color w:val="FF0000"/>
        </w:rPr>
      </w:pPr>
      <w:r>
        <w:rPr>
          <w:rFonts w:hint="eastAsia" w:ascii="宋体" w:hAnsi="宋体" w:cs="宋体"/>
          <w:color w:val="FF0000"/>
        </w:rPr>
        <w:t>3.递延年金</w:t>
      </w:r>
    </w:p>
    <w:p w14:paraId="6BB0BCA0">
      <w:pPr>
        <w:jc w:val="left"/>
        <w:rPr>
          <w:rFonts w:ascii="宋体" w:hAnsi="宋体" w:cs="宋体"/>
        </w:rPr>
      </w:pPr>
      <w:r>
        <w:rPr>
          <w:rFonts w:hint="eastAsia" w:ascii="宋体" w:hAnsi="宋体" w:cs="宋体"/>
        </w:rPr>
        <w:t>递延年金是由普通年金递延形成的，递延的期数称为递延期，一般用m表示递延期。</w:t>
      </w:r>
    </w:p>
    <w:p w14:paraId="5ACD12C9">
      <w:pPr>
        <w:jc w:val="left"/>
        <w:rPr>
          <w:rFonts w:hint="eastAsia" w:ascii="宋体" w:hAnsi="宋体" w:cs="宋体"/>
          <w:color w:val="FF0000"/>
        </w:rPr>
      </w:pPr>
      <w:r>
        <w:rPr>
          <w:rFonts w:hint="eastAsia" w:ascii="宋体" w:hAnsi="宋体" w:cs="宋体"/>
          <w:color w:val="FF0000"/>
        </w:rPr>
        <w:t>（1）递延年金现值</w:t>
      </w:r>
    </w:p>
    <w:p w14:paraId="4ECBBBA9">
      <w:pPr>
        <w:jc w:val="left"/>
        <w:rPr>
          <w:rFonts w:ascii="宋体" w:hAnsi="宋体" w:cs="宋体"/>
        </w:rPr>
      </w:pPr>
      <w:r>
        <w:rPr>
          <w:rFonts w:hint="eastAsia" w:ascii="宋体" w:hAnsi="宋体" w:cs="宋体"/>
        </w:rPr>
        <w:drawing>
          <wp:inline distT="0" distB="0" distL="114300" distR="114300">
            <wp:extent cx="4595495" cy="1236980"/>
            <wp:effectExtent l="0" t="0" r="14605" b="12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4621984" cy="1244554"/>
                    </a:xfrm>
                    <a:prstGeom prst="rect">
                      <a:avLst/>
                    </a:prstGeom>
                    <a:noFill/>
                    <a:ln>
                      <a:noFill/>
                    </a:ln>
                  </pic:spPr>
                </pic:pic>
              </a:graphicData>
            </a:graphic>
          </wp:inline>
        </w:drawing>
      </w:r>
    </w:p>
    <w:p w14:paraId="63CD4A16">
      <w:pPr>
        <w:jc w:val="left"/>
        <w:rPr>
          <w:rFonts w:ascii="宋体" w:hAnsi="宋体" w:cs="宋体"/>
        </w:rPr>
      </w:pPr>
      <w:r>
        <w:rPr>
          <w:rFonts w:hint="eastAsia" w:ascii="宋体" w:hAnsi="宋体" w:cs="宋体"/>
        </w:rPr>
        <w:t>方法一：先普通年金现值，再复利现值</w:t>
      </w:r>
    </w:p>
    <w:p w14:paraId="1277ADDD">
      <w:pPr>
        <w:jc w:val="left"/>
        <w:rPr>
          <w:rFonts w:hint="eastAsia" w:ascii="宋体" w:hAnsi="宋体" w:cs="宋体"/>
        </w:rPr>
      </w:pPr>
      <w:r>
        <w:rPr>
          <w:rFonts w:hint="eastAsia" w:ascii="宋体" w:hAnsi="宋体" w:cs="宋体"/>
        </w:rPr>
        <w:t xml:space="preserve"> P=A×（P/A，i ， n）×（P/F，i ，m）</w:t>
      </w:r>
    </w:p>
    <w:p w14:paraId="1AA9F428">
      <w:pPr>
        <w:jc w:val="left"/>
        <w:rPr>
          <w:rFonts w:ascii="宋体" w:hAnsi="宋体" w:cs="宋体"/>
        </w:rPr>
      </w:pPr>
      <w:r>
        <w:rPr>
          <w:rFonts w:hint="eastAsia" w:ascii="宋体" w:hAnsi="宋体" w:cs="宋体"/>
        </w:rPr>
        <w:drawing>
          <wp:inline distT="0" distB="0" distL="114300" distR="114300">
            <wp:extent cx="4595495" cy="1276350"/>
            <wp:effectExtent l="0" t="0" r="1460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4627921" cy="1285597"/>
                    </a:xfrm>
                    <a:prstGeom prst="rect">
                      <a:avLst/>
                    </a:prstGeom>
                    <a:noFill/>
                    <a:ln>
                      <a:noFill/>
                    </a:ln>
                  </pic:spPr>
                </pic:pic>
              </a:graphicData>
            </a:graphic>
          </wp:inline>
        </w:drawing>
      </w:r>
    </w:p>
    <w:p w14:paraId="1B4E3AFD">
      <w:pPr>
        <w:jc w:val="left"/>
        <w:rPr>
          <w:rFonts w:ascii="宋体" w:hAnsi="宋体" w:cs="宋体"/>
        </w:rPr>
      </w:pPr>
      <w:r>
        <w:rPr>
          <w:rFonts w:hint="eastAsia" w:ascii="宋体" w:hAnsi="宋体" w:cs="宋体"/>
        </w:rPr>
        <w:t>方法二：先求出m+n期年金现值，再扣除m期的年金现值</w:t>
      </w:r>
    </w:p>
    <w:p w14:paraId="30EE48C5">
      <w:pPr>
        <w:jc w:val="left"/>
        <w:rPr>
          <w:rFonts w:ascii="宋体" w:hAnsi="宋体" w:cs="宋体"/>
        </w:rPr>
      </w:pPr>
      <w:r>
        <w:rPr>
          <w:rFonts w:hint="eastAsia" w:ascii="宋体" w:hAnsi="宋体" w:cs="宋体"/>
        </w:rPr>
        <w:t>P=A×[（P/A，i ，m + n）-（P/A，i ， m）]</w:t>
      </w:r>
    </w:p>
    <w:p w14:paraId="6EA1C7A2">
      <w:pPr>
        <w:jc w:val="left"/>
        <w:rPr>
          <w:rFonts w:hint="eastAsia" w:ascii="宋体" w:hAnsi="宋体" w:cs="宋体"/>
        </w:rPr>
      </w:pPr>
      <w:r>
        <w:rPr>
          <w:rFonts w:hint="eastAsia" w:ascii="宋体" w:hAnsi="宋体" w:cs="宋体"/>
        </w:rPr>
        <w:drawing>
          <wp:inline distT="0" distB="0" distL="114300" distR="114300">
            <wp:extent cx="5207000" cy="1325880"/>
            <wp:effectExtent l="0" t="0" r="1270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tretch>
                      <a:fillRect/>
                    </a:stretch>
                  </pic:blipFill>
                  <pic:spPr>
                    <a:xfrm>
                      <a:off x="0" y="0"/>
                      <a:ext cx="5207000" cy="1325880"/>
                    </a:xfrm>
                    <a:prstGeom prst="rect">
                      <a:avLst/>
                    </a:prstGeom>
                    <a:noFill/>
                    <a:ln>
                      <a:noFill/>
                    </a:ln>
                  </pic:spPr>
                </pic:pic>
              </a:graphicData>
            </a:graphic>
          </wp:inline>
        </w:drawing>
      </w:r>
    </w:p>
    <w:p w14:paraId="48A1962E">
      <w:pPr>
        <w:jc w:val="left"/>
        <w:rPr>
          <w:rFonts w:ascii="宋体" w:hAnsi="宋体" w:cs="宋体"/>
        </w:rPr>
      </w:pPr>
      <w:r>
        <w:rPr>
          <w:rFonts w:hint="eastAsia" w:ascii="宋体" w:hAnsi="宋体" w:cs="宋体"/>
        </w:rPr>
        <w:t>方法三：先求年金终值，后复利现值</w:t>
      </w:r>
    </w:p>
    <w:p w14:paraId="5ABBD2C8">
      <w:pPr>
        <w:jc w:val="left"/>
        <w:rPr>
          <w:rFonts w:ascii="宋体" w:hAnsi="宋体" w:cs="宋体"/>
        </w:rPr>
      </w:pPr>
      <w:r>
        <w:rPr>
          <w:rFonts w:hint="eastAsia" w:ascii="宋体" w:hAnsi="宋体" w:cs="宋体"/>
        </w:rPr>
        <w:t>P=A*（F/A， i， n）*（P/F， i， m+n）</w:t>
      </w:r>
    </w:p>
    <w:p w14:paraId="169CB624">
      <w:pPr>
        <w:jc w:val="left"/>
        <w:rPr>
          <w:rFonts w:ascii="宋体" w:hAnsi="宋体" w:cs="宋体"/>
        </w:rPr>
      </w:pPr>
      <w:r>
        <w:rPr>
          <w:rFonts w:hint="eastAsia" w:ascii="宋体" w:hAnsi="宋体" w:cs="宋体"/>
        </w:rPr>
        <w:t>【例】某递延年金从第4期开始，每期期末支付10万元，共计支付6次，假设利率为4%，相当于现在一次性支付的金额是多少？</w:t>
      </w:r>
    </w:p>
    <w:p w14:paraId="1D2F16D6">
      <w:pPr>
        <w:jc w:val="left"/>
        <w:rPr>
          <w:rFonts w:ascii="宋体" w:hAnsi="宋体" w:cs="宋体"/>
          <w:color w:val="FF0000"/>
        </w:rPr>
      </w:pPr>
      <w:r>
        <w:rPr>
          <w:rFonts w:hint="eastAsia" w:ascii="宋体" w:hAnsi="宋体" w:cs="宋体"/>
          <w:color w:val="FF0000"/>
        </w:rPr>
        <w:t>答案：</w:t>
      </w:r>
    </w:p>
    <w:p w14:paraId="605AA41C">
      <w:pPr>
        <w:jc w:val="left"/>
        <w:rPr>
          <w:rFonts w:ascii="宋体" w:hAnsi="宋体" w:cs="宋体"/>
        </w:rPr>
      </w:pPr>
      <w:r>
        <w:rPr>
          <w:rFonts w:hint="eastAsia" w:ascii="宋体" w:hAnsi="宋体" w:cs="宋体"/>
        </w:rPr>
        <w:t>本例中，由于第一次支付发生在第4期期末，即m＋1＝4，所以，递延期m＝3；由于连续支付6次，因此，n＝6。</w:t>
      </w:r>
      <w:r>
        <w:rPr>
          <w:rFonts w:hint="eastAsia" w:ascii="宋体" w:hAnsi="宋体" w:cs="宋体"/>
        </w:rPr>
        <w:br w:type="textWrapping"/>
      </w:r>
      <w:r>
        <w:rPr>
          <w:rFonts w:hint="eastAsia" w:ascii="宋体" w:hAnsi="宋体" w:cs="宋体"/>
        </w:rPr>
        <w:t>所以：P＝10×（P/A，4%，6）×（P/F，4%，3）＝10×5.2421 ×0.8890＝46.60（万元），即相当于现在一次性支付的金额是46.60万元。</w:t>
      </w:r>
    </w:p>
    <w:p w14:paraId="3C99DD40">
      <w:pPr>
        <w:jc w:val="left"/>
        <w:rPr>
          <w:rFonts w:ascii="宋体" w:hAnsi="宋体" w:cs="宋体"/>
        </w:rPr>
      </w:pPr>
      <w:r>
        <w:rPr>
          <w:rFonts w:hint="eastAsia" w:ascii="宋体" w:hAnsi="宋体" w:cs="宋体"/>
        </w:rPr>
        <w:t>【例】某递延年金从第4期开始，每期期初支付10万元，共计支付6次，假设利率为4%，相当于现在一次性支付的金额是多少？</w:t>
      </w:r>
    </w:p>
    <w:p w14:paraId="001804FE">
      <w:pPr>
        <w:jc w:val="left"/>
        <w:rPr>
          <w:rFonts w:ascii="宋体" w:hAnsi="宋体" w:cs="宋体"/>
        </w:rPr>
      </w:pPr>
      <w:r>
        <w:rPr>
          <w:rFonts w:hint="eastAsia" w:ascii="宋体" w:hAnsi="宋体" w:cs="宋体"/>
          <w:color w:val="FF0000"/>
        </w:rPr>
        <w:t>答案：</w:t>
      </w:r>
      <w:r>
        <w:rPr>
          <w:rFonts w:hint="eastAsia" w:ascii="宋体" w:hAnsi="宋体" w:cs="宋体"/>
        </w:rPr>
        <w:t>本例中，由于第一次支付发生在第4期期初，第4期期初与第3期期末是同一时点，所以m＋1＝3，递延期m＝2。</w:t>
      </w:r>
    </w:p>
    <w:p w14:paraId="49727EF3">
      <w:pPr>
        <w:jc w:val="left"/>
        <w:rPr>
          <w:rFonts w:ascii="宋体" w:hAnsi="宋体" w:cs="宋体"/>
        </w:rPr>
      </w:pPr>
      <w:r>
        <w:rPr>
          <w:rFonts w:hint="eastAsia" w:ascii="宋体" w:hAnsi="宋体" w:cs="宋体"/>
        </w:rPr>
        <w:t>P＝10×（P/A，4%，6）×（P/F，4%，2）＝10×5.2421 ×0.9246＝48.47（万元）</w:t>
      </w:r>
    </w:p>
    <w:p w14:paraId="5C578762">
      <w:pPr>
        <w:jc w:val="left"/>
        <w:rPr>
          <w:rFonts w:ascii="宋体" w:hAnsi="宋体" w:cs="宋体"/>
        </w:rPr>
      </w:pPr>
    </w:p>
    <w:p w14:paraId="7218395B">
      <w:pPr>
        <w:jc w:val="left"/>
        <w:rPr>
          <w:rFonts w:ascii="宋体" w:hAnsi="宋体" w:cs="宋体"/>
        </w:rPr>
      </w:pPr>
      <w:r>
        <w:rPr>
          <w:rFonts w:hint="eastAsia" w:ascii="宋体" w:hAnsi="宋体" w:cs="宋体"/>
        </w:rPr>
        <w:t>【多选题】（2023年）某递延年金从第 4年开始，连续5 年每年年末收到现金 100 万元，假设年利率为 10%，下列计算中能正确计算出该递延年金现值的有（  ）。</w:t>
      </w:r>
    </w:p>
    <w:p w14:paraId="6F076CEB">
      <w:pPr>
        <w:jc w:val="left"/>
        <w:rPr>
          <w:rFonts w:ascii="宋体" w:hAnsi="宋体" w:cs="宋体"/>
        </w:rPr>
      </w:pPr>
      <w:r>
        <w:rPr>
          <w:rFonts w:hint="eastAsia" w:ascii="宋体" w:hAnsi="宋体" w:cs="宋体"/>
        </w:rPr>
        <w:t>A.100×[（P/A，10%，8）-（P/A，10%，4）]</w:t>
      </w:r>
    </w:p>
    <w:p w14:paraId="5EB2082F">
      <w:pPr>
        <w:jc w:val="left"/>
        <w:rPr>
          <w:rFonts w:ascii="宋体" w:hAnsi="宋体" w:cs="宋体"/>
        </w:rPr>
      </w:pPr>
      <w:r>
        <w:rPr>
          <w:rFonts w:hint="eastAsia" w:ascii="宋体" w:hAnsi="宋体" w:cs="宋体"/>
        </w:rPr>
        <w:t>B.100×[（P/A，10%，8）-（P/A，10%，3）]</w:t>
      </w:r>
    </w:p>
    <w:p w14:paraId="42077861">
      <w:pPr>
        <w:jc w:val="left"/>
        <w:rPr>
          <w:rFonts w:ascii="宋体" w:hAnsi="宋体" w:cs="宋体"/>
        </w:rPr>
      </w:pPr>
      <w:r>
        <w:rPr>
          <w:rFonts w:hint="eastAsia" w:ascii="宋体" w:hAnsi="宋体" w:cs="宋体"/>
        </w:rPr>
        <w:t>C.100×[（P/A，10%，5）×（P/A，10%，3）]</w:t>
      </w:r>
    </w:p>
    <w:p w14:paraId="7F904389">
      <w:pPr>
        <w:jc w:val="left"/>
        <w:rPr>
          <w:rFonts w:ascii="宋体" w:hAnsi="宋体" w:cs="宋体"/>
        </w:rPr>
      </w:pPr>
      <w:r>
        <w:rPr>
          <w:rFonts w:hint="eastAsia" w:ascii="宋体" w:hAnsi="宋体" w:cs="宋体"/>
        </w:rPr>
        <w:t>D.100×[（P/A，10%，5）×（P/F，10%，3）]</w:t>
      </w:r>
    </w:p>
    <w:p w14:paraId="12ACBAE7">
      <w:pPr>
        <w:jc w:val="left"/>
        <w:rPr>
          <w:rFonts w:ascii="宋体" w:hAnsi="宋体" w:cs="宋体"/>
        </w:rPr>
      </w:pPr>
      <w:r>
        <w:rPr>
          <w:rFonts w:hint="eastAsia" w:ascii="宋体" w:hAnsi="宋体" w:cs="宋体"/>
        </w:rPr>
        <w:t>答案：BD</w:t>
      </w:r>
    </w:p>
    <w:p w14:paraId="2D7C4B77">
      <w:pPr>
        <w:jc w:val="left"/>
        <w:rPr>
          <w:rFonts w:ascii="宋体" w:hAnsi="宋体" w:cs="宋体"/>
        </w:rPr>
      </w:pPr>
      <w:r>
        <w:rPr>
          <w:rFonts w:hint="eastAsia" w:ascii="宋体" w:hAnsi="宋体" w:cs="宋体"/>
        </w:rPr>
        <w:t>解析：从第4年开始，连续5年每年年末收到现金 100 万元，所以第一笔现金收支发生在第4年年末，即前3年均无现金收支，递延期为3年，选项 B、D正确。</w:t>
      </w:r>
    </w:p>
    <w:p w14:paraId="15987C61">
      <w:pPr>
        <w:jc w:val="left"/>
        <w:rPr>
          <w:rFonts w:ascii="宋体" w:hAnsi="宋体" w:cs="宋体"/>
        </w:rPr>
      </w:pPr>
    </w:p>
    <w:p w14:paraId="449DD4C0">
      <w:pPr>
        <w:jc w:val="left"/>
        <w:rPr>
          <w:rFonts w:ascii="宋体" w:hAnsi="宋体" w:cs="宋体"/>
          <w:color w:val="FF0000"/>
        </w:rPr>
      </w:pPr>
      <w:r>
        <w:rPr>
          <w:rFonts w:hint="eastAsia" w:ascii="宋体" w:hAnsi="宋体" w:cs="宋体"/>
          <w:color w:val="FF0000"/>
        </w:rPr>
        <w:t>4.永续年金现值</w:t>
      </w:r>
    </w:p>
    <w:p w14:paraId="02728322">
      <w:pPr>
        <w:jc w:val="left"/>
        <w:rPr>
          <w:rFonts w:ascii="宋体" w:hAnsi="宋体" w:cs="宋体"/>
        </w:rPr>
      </w:pPr>
      <w:r>
        <w:rPr>
          <w:rFonts w:hint="eastAsia" w:ascii="宋体" w:hAnsi="宋体" w:cs="宋体"/>
        </w:rPr>
        <w:t>永续年金是普通年金的极限形式，当普通年金的首付次数为无穷大时即为永续年金。</w:t>
      </w:r>
    </w:p>
    <w:p w14:paraId="37EE1AF0">
      <w:pPr>
        <w:jc w:val="left"/>
        <w:rPr>
          <w:rFonts w:ascii="宋体" w:hAnsi="宋体" w:cs="宋体"/>
        </w:rPr>
      </w:pPr>
      <w:r>
        <w:rPr>
          <w:rFonts w:hint="eastAsia" w:ascii="宋体" w:hAnsi="宋体" w:cs="宋体"/>
        </w:rPr>
        <w:drawing>
          <wp:inline distT="0" distB="0" distL="114300" distR="114300">
            <wp:extent cx="4126230" cy="1096010"/>
            <wp:effectExtent l="0" t="0" r="7620"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4142387" cy="1100763"/>
                    </a:xfrm>
                    <a:prstGeom prst="rect">
                      <a:avLst/>
                    </a:prstGeom>
                    <a:noFill/>
                    <a:ln>
                      <a:noFill/>
                    </a:ln>
                  </pic:spPr>
                </pic:pic>
              </a:graphicData>
            </a:graphic>
          </wp:inline>
        </w:drawing>
      </w:r>
    </w:p>
    <w:p w14:paraId="1C2BA5FF">
      <w:pPr>
        <w:jc w:val="left"/>
        <w:rPr>
          <w:rFonts w:hint="eastAsia" w:ascii="宋体" w:hAnsi="宋体" w:cs="宋体"/>
        </w:rPr>
      </w:pPr>
      <w:r>
        <w:rPr>
          <w:rFonts w:hint="eastAsia" w:ascii="宋体" w:hAnsi="宋体" w:cs="宋体"/>
        </w:rPr>
        <w:drawing>
          <wp:inline distT="0" distB="0" distL="114300" distR="114300">
            <wp:extent cx="1330960" cy="539750"/>
            <wp:effectExtent l="0" t="0" r="2540" b="1270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rcRect l="32314"/>
                    <a:stretch>
                      <a:fillRect/>
                    </a:stretch>
                  </pic:blipFill>
                  <pic:spPr>
                    <a:xfrm>
                      <a:off x="0" y="0"/>
                      <a:ext cx="1350014" cy="547291"/>
                    </a:xfrm>
                    <a:prstGeom prst="rect">
                      <a:avLst/>
                    </a:prstGeom>
                    <a:noFill/>
                    <a:ln>
                      <a:noFill/>
                    </a:ln>
                  </pic:spPr>
                </pic:pic>
              </a:graphicData>
            </a:graphic>
          </wp:inline>
        </w:drawing>
      </w:r>
      <w:r>
        <w:rPr>
          <w:rFonts w:hint="eastAsia" w:ascii="宋体" w:hAnsi="宋体" w:cs="宋体"/>
        </w:rPr>
        <w:t>n=∝ ， （1+i）-n=0，   P=A/i</w:t>
      </w:r>
    </w:p>
    <w:p w14:paraId="69029EC8">
      <w:pPr>
        <w:jc w:val="left"/>
        <w:rPr>
          <w:rFonts w:ascii="宋体" w:hAnsi="宋体" w:cs="宋体"/>
        </w:rPr>
      </w:pPr>
      <w:r>
        <w:rPr>
          <w:rFonts w:hint="eastAsia" w:ascii="宋体" w:hAnsi="宋体" w:cs="宋体"/>
        </w:rPr>
        <w:t>【例】拟建立一项永久性的奖学金，每年计划颁发10 000元奖金。若利率为5%，现在应存入多少钱？</w:t>
      </w:r>
    </w:p>
    <w:p w14:paraId="5E6D4D26">
      <w:pPr>
        <w:jc w:val="left"/>
        <w:rPr>
          <w:rFonts w:ascii="宋体" w:hAnsi="宋体" w:cs="宋体"/>
        </w:rPr>
      </w:pPr>
      <w:r>
        <w:rPr>
          <w:rFonts w:hint="eastAsia" w:ascii="宋体" w:hAnsi="宋体" w:cs="宋体"/>
          <w:color w:val="FF0000"/>
        </w:rPr>
        <w:t>答案：</w:t>
      </w:r>
      <w:r>
        <w:rPr>
          <w:rFonts w:hint="eastAsia" w:ascii="宋体" w:hAnsi="宋体" w:cs="宋体"/>
        </w:rPr>
        <w:t>P＝10 000/5%＝200 000（元）</w:t>
      </w:r>
    </w:p>
    <w:p w14:paraId="431F97FE">
      <w:pPr>
        <w:jc w:val="left"/>
        <w:rPr>
          <w:rFonts w:ascii="宋体" w:hAnsi="宋体" w:cs="宋体"/>
        </w:rPr>
      </w:pPr>
      <w:r>
        <w:rPr>
          <w:rFonts w:hint="eastAsia" w:ascii="宋体" w:hAnsi="宋体" w:cs="宋体"/>
        </w:rPr>
        <w:t>【例】某年金的收付形式为从第1期期初开始，每期支付80元，一直到永远。假设利率为5%，其现值为多少？</w:t>
      </w:r>
    </w:p>
    <w:p w14:paraId="135225D3">
      <w:pPr>
        <w:jc w:val="left"/>
        <w:rPr>
          <w:rFonts w:hint="eastAsia" w:ascii="宋体" w:hAnsi="宋体" w:cs="宋体"/>
        </w:rPr>
      </w:pPr>
      <w:r>
        <w:rPr>
          <w:rFonts w:hint="eastAsia" w:ascii="宋体" w:hAnsi="宋体" w:cs="宋体"/>
          <w:color w:val="FF0000"/>
        </w:rPr>
        <w:t>答案：</w:t>
      </w:r>
      <w:r>
        <w:rPr>
          <w:rFonts w:hint="eastAsia" w:ascii="宋体" w:hAnsi="宋体" w:cs="宋体"/>
        </w:rPr>
        <w:t>本例中第一次支付发生在第1期期初，所以，不是标准的永续年金。现值＝80＋80/5%＝1 680（元），或者现值＝80/5%×（1＋5%）＝1 680（元）。</w:t>
      </w:r>
    </w:p>
    <w:p w14:paraId="202F68BF">
      <w:pPr>
        <w:overflowPunct w:val="0"/>
        <w:jc w:val="center"/>
        <w:rPr>
          <w:rFonts w:ascii="宋体" w:hAnsi="宋体" w:cs="宋体"/>
          <w:b/>
          <w:bCs/>
        </w:rPr>
      </w:pPr>
      <w:r>
        <w:rPr>
          <w:rFonts w:hint="eastAsia" w:ascii="宋体" w:hAnsi="宋体" w:cs="宋体"/>
          <w:b/>
          <w:bCs/>
        </w:rPr>
        <w:t>第一节  货币时间价值</w:t>
      </w:r>
    </w:p>
    <w:p w14:paraId="4E5A1282">
      <w:pPr>
        <w:jc w:val="left"/>
        <w:rPr>
          <w:rFonts w:ascii="宋体" w:hAnsi="宋体" w:cs="宋体"/>
          <w:color w:val="FF0000"/>
        </w:rPr>
      </w:pPr>
      <w:r>
        <w:rPr>
          <w:rFonts w:hint="eastAsia" w:ascii="宋体" w:hAnsi="宋体" w:cs="宋体"/>
          <w:color w:val="FF0000"/>
        </w:rPr>
        <w:t>【知识点5】年偿债基金</w:t>
      </w:r>
    </w:p>
    <w:p w14:paraId="5AC3B7BA">
      <w:pPr>
        <w:jc w:val="left"/>
        <w:rPr>
          <w:rFonts w:hint="eastAsia" w:ascii="宋体" w:hAnsi="宋体" w:cs="宋体"/>
        </w:rPr>
      </w:pPr>
      <w:r>
        <w:rPr>
          <w:rFonts w:hint="eastAsia" w:ascii="宋体" w:hAnsi="宋体" w:cs="宋体"/>
        </w:rPr>
        <w:t>年偿债基金是指为了在约定的未来某一时点清偿某笔债务或积聚一定数额的资金而必须分次等额形成的存款备用金。（已知终值F，求年金A？）</w:t>
      </w:r>
    </w:p>
    <w:p w14:paraId="21A055E9">
      <w:pPr>
        <w:jc w:val="left"/>
        <w:rPr>
          <w:rFonts w:ascii="宋体" w:hAnsi="宋体" w:cs="宋体"/>
        </w:rPr>
      </w:pPr>
      <w:r>
        <w:rPr>
          <w:rFonts w:hint="eastAsia" w:ascii="宋体" w:hAnsi="宋体" w:cs="宋体"/>
        </w:rPr>
        <w:drawing>
          <wp:inline distT="0" distB="0" distL="114300" distR="114300">
            <wp:extent cx="5207000" cy="1844040"/>
            <wp:effectExtent l="0" t="0" r="12700" b="381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8"/>
                    <a:srcRect b="6654"/>
                    <a:stretch>
                      <a:fillRect/>
                    </a:stretch>
                  </pic:blipFill>
                  <pic:spPr>
                    <a:xfrm>
                      <a:off x="0" y="0"/>
                      <a:ext cx="5207000" cy="1844040"/>
                    </a:xfrm>
                    <a:prstGeom prst="rect">
                      <a:avLst/>
                    </a:prstGeom>
                    <a:noFill/>
                    <a:ln>
                      <a:noFill/>
                    </a:ln>
                  </pic:spPr>
                </pic:pic>
              </a:graphicData>
            </a:graphic>
          </wp:inline>
        </w:drawing>
      </w:r>
    </w:p>
    <w:p w14:paraId="31E9C7B7">
      <w:pPr>
        <w:jc w:val="left"/>
        <w:rPr>
          <w:rFonts w:ascii="宋体" w:hAnsi="宋体" w:cs="宋体"/>
          <w:color w:val="FF0000"/>
        </w:rPr>
      </w:pPr>
      <w:r>
        <w:rPr>
          <w:rFonts w:hint="eastAsia" w:ascii="宋体" w:hAnsi="宋体" w:cs="宋体"/>
        </w:rPr>
        <w:t>其中：</w:t>
      </w:r>
      <w:r>
        <w:rPr>
          <w:rFonts w:hint="eastAsia" w:ascii="宋体" w:hAnsi="宋体" w:cs="宋体"/>
        </w:rPr>
        <w:drawing>
          <wp:inline distT="0" distB="0" distL="114300" distR="114300">
            <wp:extent cx="962660" cy="577850"/>
            <wp:effectExtent l="0" t="0" r="8890"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9"/>
                    <a:stretch>
                      <a:fillRect/>
                    </a:stretch>
                  </pic:blipFill>
                  <pic:spPr>
                    <a:xfrm>
                      <a:off x="0" y="0"/>
                      <a:ext cx="962660" cy="577850"/>
                    </a:xfrm>
                    <a:prstGeom prst="rect">
                      <a:avLst/>
                    </a:prstGeom>
                    <a:noFill/>
                    <a:ln>
                      <a:noFill/>
                    </a:ln>
                  </pic:spPr>
                </pic:pic>
              </a:graphicData>
            </a:graphic>
          </wp:inline>
        </w:drawing>
      </w:r>
      <w:r>
        <w:rPr>
          <w:rFonts w:hint="eastAsia" w:ascii="宋体" w:hAnsi="宋体" w:cs="宋体"/>
          <w:color w:val="FF0000"/>
        </w:rPr>
        <w:t>称为偿债基金系数或1元偿债基金，记作，可查“年金终值系数表”，然后求其倒数求得。即：偿债基金系数是年金终值系数的倒数。</w:t>
      </w:r>
    </w:p>
    <w:p w14:paraId="0F785451">
      <w:pPr>
        <w:jc w:val="left"/>
        <w:rPr>
          <w:rFonts w:ascii="宋体" w:hAnsi="宋体" w:cs="宋体"/>
        </w:rPr>
      </w:pPr>
      <w:r>
        <w:rPr>
          <w:rFonts w:hint="eastAsia" w:ascii="宋体" w:hAnsi="宋体" w:cs="宋体"/>
        </w:rPr>
        <w:t>【例】某家长计划10年后一次性取出50万元，作为孩子的出国费用。假设银行存款年利率为5%，复利计息，该家长计划1年后开始存款，每年存一次，每次存款数额相同，共计存款10次。假设每次存款的数额为A万元，则有：</w:t>
      </w:r>
    </w:p>
    <w:p w14:paraId="68888793">
      <w:pPr>
        <w:jc w:val="left"/>
        <w:rPr>
          <w:rFonts w:ascii="宋体" w:hAnsi="宋体" w:cs="宋体"/>
        </w:rPr>
      </w:pPr>
      <w:r>
        <w:rPr>
          <w:rFonts w:hint="eastAsia" w:ascii="宋体" w:hAnsi="宋体" w:cs="宋体"/>
        </w:rPr>
        <w:t>A×（F/A，5%，10）＝50</w:t>
      </w:r>
    </w:p>
    <w:p w14:paraId="7586C9A3">
      <w:pPr>
        <w:jc w:val="left"/>
        <w:rPr>
          <w:rFonts w:ascii="宋体" w:hAnsi="宋体" w:cs="宋体"/>
        </w:rPr>
      </w:pPr>
      <w:r>
        <w:rPr>
          <w:rFonts w:hint="eastAsia" w:ascii="宋体" w:hAnsi="宋体" w:cs="宋体"/>
        </w:rPr>
        <w:t>即：A×12.578＝50，可得：A＝3.98（万元）</w:t>
      </w:r>
    </w:p>
    <w:p w14:paraId="76A5BCB8">
      <w:pPr>
        <w:jc w:val="left"/>
        <w:rPr>
          <w:rFonts w:ascii="宋体" w:hAnsi="宋体" w:cs="宋体"/>
        </w:rPr>
      </w:pPr>
    </w:p>
    <w:p w14:paraId="4F83245A">
      <w:pPr>
        <w:jc w:val="left"/>
        <w:rPr>
          <w:rFonts w:ascii="宋体" w:hAnsi="宋体" w:cs="宋体"/>
        </w:rPr>
      </w:pPr>
      <w:r>
        <w:rPr>
          <w:rFonts w:hint="eastAsia" w:ascii="宋体" w:hAnsi="宋体" w:cs="宋体"/>
        </w:rPr>
        <w:t>【单选题】（2017年）下列各项中，与普通年金终值系数互为倒数的是（  ）。</w:t>
      </w:r>
    </w:p>
    <w:p w14:paraId="29928F88">
      <w:pPr>
        <w:jc w:val="left"/>
        <w:rPr>
          <w:rFonts w:ascii="宋体" w:hAnsi="宋体" w:cs="宋体"/>
        </w:rPr>
      </w:pPr>
      <w:r>
        <w:rPr>
          <w:rFonts w:hint="eastAsia" w:ascii="宋体" w:hAnsi="宋体" w:cs="宋体"/>
        </w:rPr>
        <w:t>A.预付年金现值系数　　　              　</w:t>
      </w:r>
    </w:p>
    <w:p w14:paraId="5A173A5C">
      <w:pPr>
        <w:jc w:val="left"/>
        <w:rPr>
          <w:rFonts w:ascii="宋体" w:hAnsi="宋体" w:cs="宋体"/>
        </w:rPr>
      </w:pPr>
      <w:r>
        <w:rPr>
          <w:rFonts w:hint="eastAsia" w:ascii="宋体" w:hAnsi="宋体" w:cs="宋体"/>
        </w:rPr>
        <w:t>B.普通年金现值系数</w:t>
      </w:r>
    </w:p>
    <w:p w14:paraId="215D38DF">
      <w:pPr>
        <w:jc w:val="left"/>
        <w:rPr>
          <w:rFonts w:ascii="宋体" w:hAnsi="宋体" w:cs="宋体"/>
        </w:rPr>
      </w:pPr>
      <w:r>
        <w:rPr>
          <w:rFonts w:hint="eastAsia" w:ascii="宋体" w:hAnsi="宋体" w:cs="宋体"/>
        </w:rPr>
        <w:t>C.偿债基金系数　　　　　              　</w:t>
      </w:r>
    </w:p>
    <w:p w14:paraId="33EAD01C">
      <w:pPr>
        <w:jc w:val="left"/>
        <w:rPr>
          <w:rFonts w:ascii="宋体" w:hAnsi="宋体" w:cs="宋体"/>
        </w:rPr>
      </w:pPr>
      <w:r>
        <w:rPr>
          <w:rFonts w:hint="eastAsia" w:ascii="宋体" w:hAnsi="宋体" w:cs="宋体"/>
        </w:rPr>
        <w:t>D.资本回收系数</w:t>
      </w:r>
    </w:p>
    <w:p w14:paraId="1BCB4DEE">
      <w:pPr>
        <w:jc w:val="left"/>
        <w:rPr>
          <w:rFonts w:ascii="宋体" w:hAnsi="宋体" w:cs="宋体"/>
        </w:rPr>
      </w:pPr>
      <w:r>
        <w:rPr>
          <w:rFonts w:hint="eastAsia" w:ascii="宋体" w:hAnsi="宋体" w:cs="宋体"/>
        </w:rPr>
        <w:t>答案：C</w:t>
      </w:r>
    </w:p>
    <w:p w14:paraId="0FF71945">
      <w:pPr>
        <w:jc w:val="left"/>
        <w:rPr>
          <w:rFonts w:ascii="宋体" w:hAnsi="宋体" w:cs="宋体"/>
        </w:rPr>
      </w:pPr>
      <w:r>
        <w:rPr>
          <w:rFonts w:hint="eastAsia" w:ascii="宋体" w:hAnsi="宋体" w:cs="宋体"/>
        </w:rPr>
        <w:t>解析：与普通年金终值系数互为倒数的是偿债基金系数。</w:t>
      </w:r>
    </w:p>
    <w:p w14:paraId="2181EA47">
      <w:pPr>
        <w:jc w:val="left"/>
        <w:rPr>
          <w:rFonts w:ascii="宋体" w:hAnsi="宋体" w:cs="宋体"/>
        </w:rPr>
      </w:pPr>
    </w:p>
    <w:p w14:paraId="3B7A21B5">
      <w:pPr>
        <w:jc w:val="left"/>
        <w:rPr>
          <w:rFonts w:ascii="宋体" w:hAnsi="宋体" w:cs="宋体"/>
          <w:color w:val="FF0000"/>
        </w:rPr>
      </w:pPr>
      <w:r>
        <w:rPr>
          <w:rFonts w:hint="eastAsia" w:ascii="宋体" w:hAnsi="宋体" w:cs="宋体"/>
          <w:color w:val="FF0000"/>
        </w:rPr>
        <w:t>【知识点6】年资本回收额</w:t>
      </w:r>
    </w:p>
    <w:p w14:paraId="51974E8E">
      <w:pPr>
        <w:jc w:val="left"/>
        <w:rPr>
          <w:rFonts w:hint="eastAsia" w:ascii="宋体" w:hAnsi="宋体" w:cs="宋体"/>
        </w:rPr>
      </w:pPr>
      <w:r>
        <w:rPr>
          <w:rFonts w:hint="eastAsia" w:ascii="宋体" w:hAnsi="宋体" w:cs="宋体"/>
        </w:rPr>
        <w:t>年资本回收额是指在约定年限内等额收回初始投入资本的金额。（已知P，求A？）</w:t>
      </w:r>
    </w:p>
    <w:p w14:paraId="16A1069E">
      <w:pPr>
        <w:jc w:val="left"/>
        <w:rPr>
          <w:rFonts w:ascii="宋体" w:hAnsi="宋体" w:cs="宋体"/>
        </w:rPr>
      </w:pPr>
      <w:r>
        <w:rPr>
          <w:rFonts w:hint="eastAsia" w:ascii="宋体" w:hAnsi="宋体" w:cs="宋体"/>
        </w:rPr>
        <w:drawing>
          <wp:inline distT="0" distB="0" distL="114300" distR="114300">
            <wp:extent cx="5207000" cy="1692910"/>
            <wp:effectExtent l="0" t="0" r="12700" b="25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0"/>
                    <a:stretch>
                      <a:fillRect/>
                    </a:stretch>
                  </pic:blipFill>
                  <pic:spPr>
                    <a:xfrm>
                      <a:off x="0" y="0"/>
                      <a:ext cx="5207000" cy="1692910"/>
                    </a:xfrm>
                    <a:prstGeom prst="rect">
                      <a:avLst/>
                    </a:prstGeom>
                    <a:noFill/>
                    <a:ln>
                      <a:noFill/>
                    </a:ln>
                  </pic:spPr>
                </pic:pic>
              </a:graphicData>
            </a:graphic>
          </wp:inline>
        </w:drawing>
      </w:r>
    </w:p>
    <w:p w14:paraId="1BEA6E5A">
      <w:pPr>
        <w:jc w:val="left"/>
        <w:rPr>
          <w:rFonts w:hint="eastAsia" w:ascii="宋体" w:hAnsi="宋体" w:cs="宋体"/>
          <w:color w:val="FF0000"/>
        </w:rPr>
      </w:pPr>
      <w:r>
        <w:rPr>
          <w:rFonts w:hint="eastAsia" w:ascii="宋体" w:hAnsi="宋体" w:cs="宋体"/>
        </w:rPr>
        <w:t>其中：</w:t>
      </w:r>
      <w:r>
        <w:rPr>
          <w:rFonts w:hint="eastAsia" w:ascii="宋体" w:hAnsi="宋体" w:cs="宋体"/>
        </w:rPr>
        <w:drawing>
          <wp:inline distT="0" distB="0" distL="114300" distR="114300">
            <wp:extent cx="991235" cy="584835"/>
            <wp:effectExtent l="0" t="0" r="18415" b="57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1"/>
                    <a:stretch>
                      <a:fillRect/>
                    </a:stretch>
                  </pic:blipFill>
                  <pic:spPr>
                    <a:xfrm>
                      <a:off x="0" y="0"/>
                      <a:ext cx="991235" cy="584835"/>
                    </a:xfrm>
                    <a:prstGeom prst="rect">
                      <a:avLst/>
                    </a:prstGeom>
                    <a:noFill/>
                    <a:ln>
                      <a:noFill/>
                    </a:ln>
                  </pic:spPr>
                </pic:pic>
              </a:graphicData>
            </a:graphic>
          </wp:inline>
        </w:drawing>
      </w:r>
      <w:r>
        <w:rPr>
          <w:rFonts w:hint="eastAsia" w:ascii="宋体" w:hAnsi="宋体" w:cs="宋体"/>
        </w:rPr>
        <w:t>被称为资本回收系数或1元资本回收额，用符号（A/P，i，n）表示，可查“年金现值系数表”，然后求其倒数求得。即：</w:t>
      </w:r>
      <w:r>
        <w:rPr>
          <w:rFonts w:hint="eastAsia" w:ascii="宋体" w:hAnsi="宋体" w:cs="宋体"/>
          <w:color w:val="FF0000"/>
        </w:rPr>
        <w:t>资本回收系数是年金现值系数的倒数。</w:t>
      </w:r>
    </w:p>
    <w:p w14:paraId="4FB20E08">
      <w:pPr>
        <w:jc w:val="left"/>
        <w:rPr>
          <w:rFonts w:ascii="宋体" w:hAnsi="宋体" w:cs="宋体"/>
        </w:rPr>
      </w:pPr>
      <w:r>
        <w:rPr>
          <w:rFonts w:hint="eastAsia" w:ascii="宋体" w:hAnsi="宋体" w:cs="宋体"/>
        </w:rPr>
        <w:t>【例】某人于2018年1月25日按揭贷款买房，贷款金额为100万元，年限为10年，年利率为6%，月利率为0.5%，从2018年2月25日开始还款，每月还一次，共计还款120次，每次还款的金额相同，（P/A，0.5%，120）=90.08。假设每次还款金额为A万元，则有：</w:t>
      </w:r>
    </w:p>
    <w:p w14:paraId="091E222D">
      <w:pPr>
        <w:jc w:val="left"/>
        <w:rPr>
          <w:rFonts w:ascii="宋体" w:hAnsi="宋体" w:cs="宋体"/>
        </w:rPr>
      </w:pPr>
      <w:r>
        <w:rPr>
          <w:rFonts w:hint="eastAsia" w:ascii="宋体" w:hAnsi="宋体" w:cs="宋体"/>
        </w:rPr>
        <w:t>100＝A×（P/A，0.5%，120）</w:t>
      </w:r>
    </w:p>
    <w:p w14:paraId="12D09AE6">
      <w:pPr>
        <w:jc w:val="left"/>
        <w:rPr>
          <w:rFonts w:ascii="宋体" w:hAnsi="宋体" w:cs="宋体"/>
        </w:rPr>
      </w:pPr>
      <w:r>
        <w:rPr>
          <w:rFonts w:hint="eastAsia" w:ascii="宋体" w:hAnsi="宋体" w:cs="宋体"/>
        </w:rPr>
        <w:t>A＝100÷（P/A，0.5%，120）</w:t>
      </w:r>
    </w:p>
    <w:p w14:paraId="5844A0E7">
      <w:pPr>
        <w:jc w:val="left"/>
        <w:rPr>
          <w:rFonts w:ascii="宋体" w:hAnsi="宋体" w:cs="宋体"/>
        </w:rPr>
      </w:pPr>
      <w:r>
        <w:rPr>
          <w:rFonts w:hint="eastAsia" w:ascii="宋体" w:hAnsi="宋体" w:cs="宋体"/>
        </w:rPr>
        <w:t>A＝100÷90.08＝1.11（万元）</w:t>
      </w:r>
    </w:p>
    <w:p w14:paraId="6F9C55D0">
      <w:pPr>
        <w:jc w:val="left"/>
        <w:rPr>
          <w:rFonts w:hint="eastAsia" w:ascii="宋体" w:hAnsi="宋体" w:cs="宋体"/>
          <w:color w:val="FF0000"/>
        </w:rPr>
      </w:pPr>
      <w:r>
        <w:rPr>
          <w:rFonts w:hint="eastAsia" w:ascii="宋体" w:hAnsi="宋体" w:cs="宋体"/>
          <w:color w:val="FF0000"/>
        </w:rPr>
        <w:t>年金总结图：</w:t>
      </w:r>
    </w:p>
    <w:p w14:paraId="7D8A3F2C">
      <w:pPr>
        <w:jc w:val="left"/>
        <w:rPr>
          <w:rFonts w:hint="eastAsia" w:ascii="宋体" w:hAnsi="宋体" w:cs="宋体"/>
        </w:rPr>
      </w:pPr>
      <w:r>
        <w:rPr>
          <w:rFonts w:hint="eastAsia" w:ascii="宋体" w:hAnsi="宋体" w:cs="宋体"/>
        </w:rPr>
        <w:drawing>
          <wp:inline distT="0" distB="0" distL="114300" distR="114300">
            <wp:extent cx="5207000" cy="1945005"/>
            <wp:effectExtent l="0" t="0" r="12700"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207000" cy="1945005"/>
                    </a:xfrm>
                    <a:prstGeom prst="rect">
                      <a:avLst/>
                    </a:prstGeom>
                    <a:noFill/>
                    <a:ln>
                      <a:noFill/>
                    </a:ln>
                  </pic:spPr>
                </pic:pic>
              </a:graphicData>
            </a:graphic>
          </wp:inline>
        </w:drawing>
      </w:r>
    </w:p>
    <w:p w14:paraId="34802445">
      <w:pPr>
        <w:overflowPunct w:val="0"/>
        <w:jc w:val="center"/>
        <w:rPr>
          <w:rFonts w:ascii="宋体" w:hAnsi="宋体" w:cs="宋体"/>
          <w:b/>
          <w:bCs/>
        </w:rPr>
      </w:pPr>
      <w:r>
        <w:rPr>
          <w:rFonts w:hint="eastAsia" w:ascii="宋体" w:hAnsi="宋体" w:cs="宋体"/>
          <w:b/>
          <w:bCs/>
        </w:rPr>
        <w:t>第一节  货币时间价值</w:t>
      </w:r>
    </w:p>
    <w:p w14:paraId="1605A790">
      <w:pPr>
        <w:jc w:val="left"/>
        <w:rPr>
          <w:rFonts w:hint="eastAsia" w:ascii="宋体" w:hAnsi="宋体" w:cs="宋体"/>
          <w:color w:val="FF0000"/>
        </w:rPr>
      </w:pPr>
      <w:r>
        <w:rPr>
          <w:rFonts w:hint="eastAsia" w:ascii="宋体" w:hAnsi="宋体" w:cs="宋体"/>
          <w:color w:val="FF0000"/>
        </w:rPr>
        <w:t>【知识点7】利率的计算</w:t>
      </w:r>
    </w:p>
    <w:p w14:paraId="5DC3205A">
      <w:pPr>
        <w:jc w:val="left"/>
        <w:rPr>
          <w:rFonts w:ascii="宋体" w:hAnsi="宋体" w:cs="宋体"/>
        </w:rPr>
      </w:pPr>
      <w:r>
        <w:rPr>
          <w:rFonts w:hint="eastAsia" w:ascii="宋体" w:hAnsi="宋体" w:cs="宋体"/>
        </w:rPr>
        <w:drawing>
          <wp:inline distT="0" distB="0" distL="114300" distR="114300">
            <wp:extent cx="5207000" cy="1837690"/>
            <wp:effectExtent l="0" t="0" r="1270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3">
                      <a:extLst>
                        <a:ext uri="{BEBA8EAE-BF5A-486C-A8C5-ECC9F3942E4B}">
                          <a14:imgProps xmlns:a14="http://schemas.microsoft.com/office/drawing/2010/main">
                            <a14:imgLayer r:embed="rId34">
                              <a14:imgEffect>
                                <a14:brightnessContrast bright="-100000"/>
                              </a14:imgEffect>
                            </a14:imgLayer>
                          </a14:imgProps>
                        </a:ext>
                      </a:extLst>
                    </a:blip>
                    <a:stretch>
                      <a:fillRect/>
                    </a:stretch>
                  </pic:blipFill>
                  <pic:spPr>
                    <a:xfrm>
                      <a:off x="0" y="0"/>
                      <a:ext cx="5207000" cy="1837690"/>
                    </a:xfrm>
                    <a:prstGeom prst="rect">
                      <a:avLst/>
                    </a:prstGeom>
                    <a:noFill/>
                    <a:ln>
                      <a:noFill/>
                    </a:ln>
                  </pic:spPr>
                </pic:pic>
              </a:graphicData>
            </a:graphic>
          </wp:inline>
        </w:drawing>
      </w:r>
    </w:p>
    <w:p w14:paraId="2BD64AF2">
      <w:pPr>
        <w:jc w:val="left"/>
        <w:rPr>
          <w:rFonts w:ascii="宋体" w:hAnsi="宋体" w:cs="宋体"/>
          <w:color w:val="FF0000"/>
        </w:rPr>
      </w:pPr>
      <w:r>
        <w:rPr>
          <w:rFonts w:hint="eastAsia" w:ascii="宋体" w:hAnsi="宋体" w:cs="宋体"/>
          <w:color w:val="FF0000"/>
        </w:rPr>
        <w:t>一、 现值或终值系数的利率计算</w:t>
      </w:r>
    </w:p>
    <w:p w14:paraId="76B1859D">
      <w:pPr>
        <w:jc w:val="left"/>
        <w:rPr>
          <w:rFonts w:hint="eastAsia" w:ascii="宋体" w:hAnsi="宋体" w:cs="宋体"/>
        </w:rPr>
      </w:pPr>
      <w:r>
        <w:rPr>
          <w:rFonts w:hint="eastAsia" w:ascii="宋体" w:hAnsi="宋体" w:cs="宋体"/>
        </w:rPr>
        <w:t>已知现值或终值系数， 通过</w:t>
      </w:r>
      <w:r>
        <w:rPr>
          <w:rFonts w:hint="eastAsia" w:ascii="宋体" w:hAnsi="宋体" w:cs="宋体"/>
          <w:color w:val="FF0000"/>
        </w:rPr>
        <w:t>内插法</w:t>
      </w:r>
      <w:r>
        <w:rPr>
          <w:rFonts w:hint="eastAsia" w:ascii="宋体" w:hAnsi="宋体" w:cs="宋体"/>
        </w:rPr>
        <w:t>计算对应利率。</w:t>
      </w:r>
    </w:p>
    <w:p w14:paraId="48A3D261">
      <w:pPr>
        <w:jc w:val="left"/>
        <w:rPr>
          <w:rFonts w:ascii="宋体" w:hAnsi="宋体" w:cs="宋体"/>
        </w:rPr>
      </w:pPr>
      <w:r>
        <w:rPr>
          <w:rFonts w:hint="eastAsia" w:ascii="宋体" w:hAnsi="宋体" w:cs="宋体"/>
        </w:rPr>
        <w:drawing>
          <wp:inline distT="0" distB="0" distL="114300" distR="114300">
            <wp:extent cx="2430145" cy="857250"/>
            <wp:effectExtent l="0" t="0" r="8255"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5"/>
                    <a:stretch>
                      <a:fillRect/>
                    </a:stretch>
                  </pic:blipFill>
                  <pic:spPr>
                    <a:xfrm>
                      <a:off x="0" y="0"/>
                      <a:ext cx="2514402" cy="887413"/>
                    </a:xfrm>
                    <a:prstGeom prst="rect">
                      <a:avLst/>
                    </a:prstGeom>
                    <a:noFill/>
                    <a:ln>
                      <a:noFill/>
                    </a:ln>
                  </pic:spPr>
                </pic:pic>
              </a:graphicData>
            </a:graphic>
          </wp:inline>
        </w:drawing>
      </w:r>
    </w:p>
    <w:p w14:paraId="4A43B27B">
      <w:pPr>
        <w:jc w:val="left"/>
        <w:rPr>
          <w:rFonts w:ascii="宋体" w:hAnsi="宋体" w:cs="宋体"/>
          <w:color w:val="FF0000"/>
        </w:rPr>
      </w:pPr>
      <w:r>
        <w:rPr>
          <w:rFonts w:hint="eastAsia" w:ascii="宋体" w:hAnsi="宋体" w:cs="宋体"/>
          <w:color w:val="FF0000"/>
        </w:rPr>
        <w:t>1.现值或终值系数已知的利率计算</w:t>
      </w:r>
    </w:p>
    <w:p w14:paraId="231E5968">
      <w:pPr>
        <w:jc w:val="left"/>
        <w:rPr>
          <w:rFonts w:ascii="宋体" w:hAnsi="宋体" w:cs="宋体"/>
        </w:rPr>
      </w:pPr>
      <w:r>
        <w:rPr>
          <w:rFonts w:hint="eastAsia" w:ascii="宋体" w:hAnsi="宋体" w:cs="宋体"/>
          <w:color w:val="FF0000"/>
        </w:rPr>
        <w:t>【例2-12】</w:t>
      </w:r>
      <w:r>
        <w:rPr>
          <w:rFonts w:hint="eastAsia" w:ascii="宋体" w:hAnsi="宋体" w:cs="宋体"/>
        </w:rPr>
        <w:t>已知（P/F，i，5）＝0.7835，求i的数值。</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689"/>
        <w:gridCol w:w="1689"/>
        <w:gridCol w:w="1689"/>
        <w:gridCol w:w="1690"/>
        <w:gridCol w:w="1690"/>
      </w:tblGrid>
      <w:tr w14:paraId="484B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3" w:type="pct"/>
          </w:tcPr>
          <w:p w14:paraId="0A290FBB">
            <w:pPr>
              <w:rPr>
                <w:rFonts w:ascii="宋体" w:hAnsi="宋体" w:cs="宋体"/>
              </w:rPr>
            </w:pPr>
            <w:r>
              <w:rPr>
                <w:rFonts w:hint="eastAsia" w:ascii="宋体" w:hAnsi="宋体" w:cs="宋体"/>
              </w:rPr>
              <w:t>期数</w:t>
            </w:r>
          </w:p>
        </w:tc>
        <w:tc>
          <w:tcPr>
            <w:tcW w:w="833" w:type="pct"/>
          </w:tcPr>
          <w:p w14:paraId="2D2A1632">
            <w:pPr>
              <w:rPr>
                <w:rFonts w:ascii="宋体" w:hAnsi="宋体" w:cs="宋体"/>
              </w:rPr>
            </w:pPr>
            <w:r>
              <w:rPr>
                <w:rFonts w:hint="eastAsia" w:ascii="宋体" w:hAnsi="宋体" w:cs="宋体"/>
              </w:rPr>
              <w:t>1%</w:t>
            </w:r>
          </w:p>
        </w:tc>
        <w:tc>
          <w:tcPr>
            <w:tcW w:w="833" w:type="pct"/>
          </w:tcPr>
          <w:p w14:paraId="3F0C44FE">
            <w:pPr>
              <w:rPr>
                <w:rFonts w:ascii="宋体" w:hAnsi="宋体" w:cs="宋体"/>
              </w:rPr>
            </w:pPr>
            <w:r>
              <w:rPr>
                <w:rFonts w:hint="eastAsia" w:ascii="宋体" w:hAnsi="宋体" w:cs="宋体"/>
              </w:rPr>
              <w:t>2%</w:t>
            </w:r>
          </w:p>
        </w:tc>
        <w:tc>
          <w:tcPr>
            <w:tcW w:w="833" w:type="pct"/>
          </w:tcPr>
          <w:p w14:paraId="3BA013FC">
            <w:pPr>
              <w:rPr>
                <w:rFonts w:ascii="宋体" w:hAnsi="宋体" w:cs="宋体"/>
              </w:rPr>
            </w:pPr>
            <w:r>
              <w:rPr>
                <w:rFonts w:hint="eastAsia" w:ascii="宋体" w:hAnsi="宋体" w:cs="宋体"/>
              </w:rPr>
              <w:t>3%</w:t>
            </w:r>
          </w:p>
        </w:tc>
        <w:tc>
          <w:tcPr>
            <w:tcW w:w="833" w:type="pct"/>
          </w:tcPr>
          <w:p w14:paraId="0C2727F7">
            <w:pPr>
              <w:rPr>
                <w:rFonts w:ascii="宋体" w:hAnsi="宋体" w:cs="宋体"/>
              </w:rPr>
            </w:pPr>
            <w:r>
              <w:rPr>
                <w:rFonts w:hint="eastAsia" w:ascii="宋体" w:hAnsi="宋体" w:cs="宋体"/>
              </w:rPr>
              <w:t>4%</w:t>
            </w:r>
          </w:p>
        </w:tc>
        <w:tc>
          <w:tcPr>
            <w:tcW w:w="833" w:type="pct"/>
          </w:tcPr>
          <w:p w14:paraId="7FFA19A2">
            <w:pPr>
              <w:rPr>
                <w:rFonts w:ascii="宋体" w:hAnsi="宋体" w:cs="宋体"/>
              </w:rPr>
            </w:pPr>
            <w:r>
              <w:rPr>
                <w:rFonts w:hint="eastAsia" w:ascii="宋体" w:hAnsi="宋体" w:cs="宋体"/>
              </w:rPr>
              <w:t>5%</w:t>
            </w:r>
          </w:p>
        </w:tc>
      </w:tr>
      <w:tr w14:paraId="54F0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07497DD3">
            <w:pPr>
              <w:rPr>
                <w:rFonts w:ascii="宋体" w:hAnsi="宋体" w:cs="宋体"/>
              </w:rPr>
            </w:pPr>
            <w:r>
              <w:rPr>
                <w:rFonts w:hint="eastAsia" w:ascii="宋体" w:hAnsi="宋体" w:cs="宋体"/>
              </w:rPr>
              <w:t>1</w:t>
            </w:r>
          </w:p>
        </w:tc>
        <w:tc>
          <w:tcPr>
            <w:tcW w:w="833" w:type="pct"/>
          </w:tcPr>
          <w:p w14:paraId="43E09233">
            <w:pPr>
              <w:rPr>
                <w:rFonts w:ascii="宋体" w:hAnsi="宋体" w:cs="宋体"/>
              </w:rPr>
            </w:pPr>
            <w:r>
              <w:rPr>
                <w:rFonts w:hint="eastAsia" w:ascii="宋体" w:hAnsi="宋体" w:cs="宋体"/>
              </w:rPr>
              <w:t>0.9901</w:t>
            </w:r>
          </w:p>
        </w:tc>
        <w:tc>
          <w:tcPr>
            <w:tcW w:w="833" w:type="pct"/>
          </w:tcPr>
          <w:p w14:paraId="6ACDB7CE">
            <w:pPr>
              <w:rPr>
                <w:rFonts w:ascii="宋体" w:hAnsi="宋体" w:cs="宋体"/>
              </w:rPr>
            </w:pPr>
            <w:r>
              <w:rPr>
                <w:rFonts w:hint="eastAsia" w:ascii="宋体" w:hAnsi="宋体" w:cs="宋体"/>
              </w:rPr>
              <w:t>0.9804</w:t>
            </w:r>
          </w:p>
        </w:tc>
        <w:tc>
          <w:tcPr>
            <w:tcW w:w="833" w:type="pct"/>
          </w:tcPr>
          <w:p w14:paraId="3073A32A">
            <w:pPr>
              <w:rPr>
                <w:rFonts w:ascii="宋体" w:hAnsi="宋体" w:cs="宋体"/>
              </w:rPr>
            </w:pPr>
            <w:r>
              <w:rPr>
                <w:rFonts w:hint="eastAsia" w:ascii="宋体" w:hAnsi="宋体" w:cs="宋体"/>
              </w:rPr>
              <w:t>0.9709</w:t>
            </w:r>
          </w:p>
        </w:tc>
        <w:tc>
          <w:tcPr>
            <w:tcW w:w="833" w:type="pct"/>
          </w:tcPr>
          <w:p w14:paraId="62FDDA0A">
            <w:pPr>
              <w:rPr>
                <w:rFonts w:ascii="宋体" w:hAnsi="宋体" w:cs="宋体"/>
              </w:rPr>
            </w:pPr>
            <w:r>
              <w:rPr>
                <w:rFonts w:hint="eastAsia" w:ascii="宋体" w:hAnsi="宋体" w:cs="宋体"/>
              </w:rPr>
              <w:t>0.9615</w:t>
            </w:r>
          </w:p>
        </w:tc>
        <w:tc>
          <w:tcPr>
            <w:tcW w:w="833" w:type="pct"/>
          </w:tcPr>
          <w:p w14:paraId="1507F937">
            <w:pPr>
              <w:rPr>
                <w:rFonts w:ascii="宋体" w:hAnsi="宋体" w:cs="宋体"/>
              </w:rPr>
            </w:pPr>
            <w:r>
              <w:rPr>
                <w:rFonts w:hint="eastAsia" w:ascii="宋体" w:hAnsi="宋体" w:cs="宋体"/>
              </w:rPr>
              <w:t>0.9524</w:t>
            </w:r>
          </w:p>
        </w:tc>
      </w:tr>
      <w:tr w14:paraId="7FEE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62CD9764">
            <w:pPr>
              <w:rPr>
                <w:rFonts w:ascii="宋体" w:hAnsi="宋体" w:cs="宋体"/>
              </w:rPr>
            </w:pPr>
            <w:r>
              <w:rPr>
                <w:rFonts w:hint="eastAsia" w:ascii="宋体" w:hAnsi="宋体" w:cs="宋体"/>
              </w:rPr>
              <w:t>2</w:t>
            </w:r>
          </w:p>
        </w:tc>
        <w:tc>
          <w:tcPr>
            <w:tcW w:w="833" w:type="pct"/>
          </w:tcPr>
          <w:p w14:paraId="2494259D">
            <w:pPr>
              <w:rPr>
                <w:rFonts w:ascii="宋体" w:hAnsi="宋体" w:cs="宋体"/>
              </w:rPr>
            </w:pPr>
            <w:r>
              <w:rPr>
                <w:rFonts w:hint="eastAsia" w:ascii="宋体" w:hAnsi="宋体" w:cs="宋体"/>
              </w:rPr>
              <w:t>0.9803</w:t>
            </w:r>
          </w:p>
        </w:tc>
        <w:tc>
          <w:tcPr>
            <w:tcW w:w="833" w:type="pct"/>
          </w:tcPr>
          <w:p w14:paraId="092E558C">
            <w:pPr>
              <w:rPr>
                <w:rFonts w:ascii="宋体" w:hAnsi="宋体" w:cs="宋体"/>
              </w:rPr>
            </w:pPr>
            <w:r>
              <w:rPr>
                <w:rFonts w:hint="eastAsia" w:ascii="宋体" w:hAnsi="宋体" w:cs="宋体"/>
              </w:rPr>
              <w:t>0.9612</w:t>
            </w:r>
          </w:p>
        </w:tc>
        <w:tc>
          <w:tcPr>
            <w:tcW w:w="833" w:type="pct"/>
          </w:tcPr>
          <w:p w14:paraId="37947EA6">
            <w:pPr>
              <w:rPr>
                <w:rFonts w:ascii="宋体" w:hAnsi="宋体" w:cs="宋体"/>
              </w:rPr>
            </w:pPr>
            <w:r>
              <w:rPr>
                <w:rFonts w:hint="eastAsia" w:ascii="宋体" w:hAnsi="宋体" w:cs="宋体"/>
              </w:rPr>
              <w:t>0.9426</w:t>
            </w:r>
          </w:p>
        </w:tc>
        <w:tc>
          <w:tcPr>
            <w:tcW w:w="833" w:type="pct"/>
          </w:tcPr>
          <w:p w14:paraId="1850A07A">
            <w:pPr>
              <w:rPr>
                <w:rFonts w:ascii="宋体" w:hAnsi="宋体" w:cs="宋体"/>
              </w:rPr>
            </w:pPr>
            <w:r>
              <w:rPr>
                <w:rFonts w:hint="eastAsia" w:ascii="宋体" w:hAnsi="宋体" w:cs="宋体"/>
              </w:rPr>
              <w:t>0.9246</w:t>
            </w:r>
          </w:p>
        </w:tc>
        <w:tc>
          <w:tcPr>
            <w:tcW w:w="833" w:type="pct"/>
          </w:tcPr>
          <w:p w14:paraId="42C0BEC8">
            <w:pPr>
              <w:rPr>
                <w:rFonts w:ascii="宋体" w:hAnsi="宋体" w:cs="宋体"/>
              </w:rPr>
            </w:pPr>
            <w:r>
              <w:rPr>
                <w:rFonts w:hint="eastAsia" w:ascii="宋体" w:hAnsi="宋体" w:cs="宋体"/>
              </w:rPr>
              <w:t>0.907</w:t>
            </w:r>
          </w:p>
        </w:tc>
      </w:tr>
      <w:tr w14:paraId="0A24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7419B3F3">
            <w:pPr>
              <w:rPr>
                <w:rFonts w:ascii="宋体" w:hAnsi="宋体" w:cs="宋体"/>
              </w:rPr>
            </w:pPr>
            <w:r>
              <w:rPr>
                <w:rFonts w:hint="eastAsia" w:ascii="宋体" w:hAnsi="宋体" w:cs="宋体"/>
              </w:rPr>
              <w:t>3</w:t>
            </w:r>
          </w:p>
        </w:tc>
        <w:tc>
          <w:tcPr>
            <w:tcW w:w="833" w:type="pct"/>
          </w:tcPr>
          <w:p w14:paraId="70E85BC6">
            <w:pPr>
              <w:rPr>
                <w:rFonts w:ascii="宋体" w:hAnsi="宋体" w:cs="宋体"/>
              </w:rPr>
            </w:pPr>
            <w:r>
              <w:rPr>
                <w:rFonts w:hint="eastAsia" w:ascii="宋体" w:hAnsi="宋体" w:cs="宋体"/>
              </w:rPr>
              <w:t>0.9706</w:t>
            </w:r>
          </w:p>
        </w:tc>
        <w:tc>
          <w:tcPr>
            <w:tcW w:w="833" w:type="pct"/>
          </w:tcPr>
          <w:p w14:paraId="0E5E9439">
            <w:pPr>
              <w:rPr>
                <w:rFonts w:ascii="宋体" w:hAnsi="宋体" w:cs="宋体"/>
              </w:rPr>
            </w:pPr>
            <w:r>
              <w:rPr>
                <w:rFonts w:hint="eastAsia" w:ascii="宋体" w:hAnsi="宋体" w:cs="宋体"/>
              </w:rPr>
              <w:t>0.9423</w:t>
            </w:r>
          </w:p>
        </w:tc>
        <w:tc>
          <w:tcPr>
            <w:tcW w:w="833" w:type="pct"/>
          </w:tcPr>
          <w:p w14:paraId="621BAE6B">
            <w:pPr>
              <w:rPr>
                <w:rFonts w:ascii="宋体" w:hAnsi="宋体" w:cs="宋体"/>
              </w:rPr>
            </w:pPr>
            <w:r>
              <w:rPr>
                <w:rFonts w:hint="eastAsia" w:ascii="宋体" w:hAnsi="宋体" w:cs="宋体"/>
              </w:rPr>
              <w:t>0.9151</w:t>
            </w:r>
          </w:p>
        </w:tc>
        <w:tc>
          <w:tcPr>
            <w:tcW w:w="833" w:type="pct"/>
          </w:tcPr>
          <w:p w14:paraId="53B161F5">
            <w:pPr>
              <w:rPr>
                <w:rFonts w:ascii="宋体" w:hAnsi="宋体" w:cs="宋体"/>
              </w:rPr>
            </w:pPr>
            <w:r>
              <w:rPr>
                <w:rFonts w:hint="eastAsia" w:ascii="宋体" w:hAnsi="宋体" w:cs="宋体"/>
              </w:rPr>
              <w:t>0.889</w:t>
            </w:r>
          </w:p>
        </w:tc>
        <w:tc>
          <w:tcPr>
            <w:tcW w:w="833" w:type="pct"/>
          </w:tcPr>
          <w:p w14:paraId="7DFC4166">
            <w:pPr>
              <w:rPr>
                <w:rFonts w:ascii="宋体" w:hAnsi="宋体" w:cs="宋体"/>
              </w:rPr>
            </w:pPr>
            <w:r>
              <w:rPr>
                <w:rFonts w:hint="eastAsia" w:ascii="宋体" w:hAnsi="宋体" w:cs="宋体"/>
              </w:rPr>
              <w:t>0.8638</w:t>
            </w:r>
          </w:p>
        </w:tc>
      </w:tr>
      <w:tr w14:paraId="7545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501515D9">
            <w:pPr>
              <w:rPr>
                <w:rFonts w:ascii="宋体" w:hAnsi="宋体" w:cs="宋体"/>
              </w:rPr>
            </w:pPr>
            <w:r>
              <w:rPr>
                <w:rFonts w:hint="eastAsia" w:ascii="宋体" w:hAnsi="宋体" w:cs="宋体"/>
              </w:rPr>
              <w:t>4</w:t>
            </w:r>
          </w:p>
        </w:tc>
        <w:tc>
          <w:tcPr>
            <w:tcW w:w="833" w:type="pct"/>
          </w:tcPr>
          <w:p w14:paraId="422DC6B6">
            <w:pPr>
              <w:rPr>
                <w:rFonts w:ascii="宋体" w:hAnsi="宋体" w:cs="宋体"/>
              </w:rPr>
            </w:pPr>
            <w:r>
              <w:rPr>
                <w:rFonts w:hint="eastAsia" w:ascii="宋体" w:hAnsi="宋体" w:cs="宋体"/>
              </w:rPr>
              <w:t>0.961</w:t>
            </w:r>
          </w:p>
        </w:tc>
        <w:tc>
          <w:tcPr>
            <w:tcW w:w="833" w:type="pct"/>
          </w:tcPr>
          <w:p w14:paraId="0B4CEAA8">
            <w:pPr>
              <w:rPr>
                <w:rFonts w:ascii="宋体" w:hAnsi="宋体" w:cs="宋体"/>
              </w:rPr>
            </w:pPr>
            <w:r>
              <w:rPr>
                <w:rFonts w:hint="eastAsia" w:ascii="宋体" w:hAnsi="宋体" w:cs="宋体"/>
              </w:rPr>
              <w:t>0.9238</w:t>
            </w:r>
          </w:p>
        </w:tc>
        <w:tc>
          <w:tcPr>
            <w:tcW w:w="833" w:type="pct"/>
          </w:tcPr>
          <w:p w14:paraId="4280A601">
            <w:pPr>
              <w:rPr>
                <w:rFonts w:ascii="宋体" w:hAnsi="宋体" w:cs="宋体"/>
              </w:rPr>
            </w:pPr>
            <w:r>
              <w:rPr>
                <w:rFonts w:hint="eastAsia" w:ascii="宋体" w:hAnsi="宋体" w:cs="宋体"/>
              </w:rPr>
              <w:t>0.8885</w:t>
            </w:r>
          </w:p>
        </w:tc>
        <w:tc>
          <w:tcPr>
            <w:tcW w:w="833" w:type="pct"/>
          </w:tcPr>
          <w:p w14:paraId="19345D83">
            <w:pPr>
              <w:rPr>
                <w:rFonts w:ascii="宋体" w:hAnsi="宋体" w:cs="宋体"/>
              </w:rPr>
            </w:pPr>
            <w:r>
              <w:rPr>
                <w:rFonts w:hint="eastAsia" w:ascii="宋体" w:hAnsi="宋体" w:cs="宋体"/>
              </w:rPr>
              <w:t>0.8548</w:t>
            </w:r>
          </w:p>
        </w:tc>
        <w:tc>
          <w:tcPr>
            <w:tcW w:w="833" w:type="pct"/>
          </w:tcPr>
          <w:p w14:paraId="289191F1">
            <w:pPr>
              <w:rPr>
                <w:rFonts w:ascii="宋体" w:hAnsi="宋体" w:cs="宋体"/>
              </w:rPr>
            </w:pPr>
            <w:r>
              <w:rPr>
                <w:rFonts w:hint="eastAsia" w:ascii="宋体" w:hAnsi="宋体" w:cs="宋体"/>
              </w:rPr>
              <w:t>0.8227</w:t>
            </w:r>
          </w:p>
        </w:tc>
      </w:tr>
      <w:tr w14:paraId="18F3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07F9C588">
            <w:pPr>
              <w:rPr>
                <w:rFonts w:ascii="宋体" w:hAnsi="宋体" w:cs="宋体"/>
              </w:rPr>
            </w:pPr>
            <w:r>
              <w:rPr>
                <w:rFonts w:hint="eastAsia" w:ascii="宋体" w:hAnsi="宋体" w:cs="宋体"/>
              </w:rPr>
              <w:t>5</w:t>
            </w:r>
          </w:p>
        </w:tc>
        <w:tc>
          <w:tcPr>
            <w:tcW w:w="833" w:type="pct"/>
          </w:tcPr>
          <w:p w14:paraId="2D4DF91E">
            <w:pPr>
              <w:rPr>
                <w:rFonts w:ascii="宋体" w:hAnsi="宋体" w:cs="宋体"/>
              </w:rPr>
            </w:pPr>
            <w:r>
              <w:rPr>
                <w:rFonts w:hint="eastAsia" w:ascii="宋体" w:hAnsi="宋体" w:cs="宋体"/>
              </w:rPr>
              <w:t>0.9515</w:t>
            </w:r>
          </w:p>
        </w:tc>
        <w:tc>
          <w:tcPr>
            <w:tcW w:w="833" w:type="pct"/>
          </w:tcPr>
          <w:p w14:paraId="5D6CE83D">
            <w:pPr>
              <w:rPr>
                <w:rFonts w:ascii="宋体" w:hAnsi="宋体" w:cs="宋体"/>
              </w:rPr>
            </w:pPr>
            <w:r>
              <w:rPr>
                <w:rFonts w:hint="eastAsia" w:ascii="宋体" w:hAnsi="宋体" w:cs="宋体"/>
              </w:rPr>
              <w:t>0.9057</w:t>
            </w:r>
          </w:p>
        </w:tc>
        <w:tc>
          <w:tcPr>
            <w:tcW w:w="833" w:type="pct"/>
          </w:tcPr>
          <w:p w14:paraId="65DBF314">
            <w:pPr>
              <w:rPr>
                <w:rFonts w:ascii="宋体" w:hAnsi="宋体" w:cs="宋体"/>
              </w:rPr>
            </w:pPr>
            <w:r>
              <w:rPr>
                <w:rFonts w:hint="eastAsia" w:ascii="宋体" w:hAnsi="宋体" w:cs="宋体"/>
              </w:rPr>
              <w:t>0.8626</w:t>
            </w:r>
          </w:p>
        </w:tc>
        <w:tc>
          <w:tcPr>
            <w:tcW w:w="833" w:type="pct"/>
          </w:tcPr>
          <w:p w14:paraId="4E7026DC">
            <w:pPr>
              <w:rPr>
                <w:rFonts w:ascii="宋体" w:hAnsi="宋体" w:cs="宋体"/>
              </w:rPr>
            </w:pPr>
            <w:r>
              <w:rPr>
                <w:rFonts w:hint="eastAsia" w:ascii="宋体" w:hAnsi="宋体" w:cs="宋体"/>
              </w:rPr>
              <w:t>0.8219</w:t>
            </w:r>
          </w:p>
        </w:tc>
        <w:tc>
          <w:tcPr>
            <w:tcW w:w="833" w:type="pct"/>
          </w:tcPr>
          <w:p w14:paraId="5371CE89">
            <w:pPr>
              <w:rPr>
                <w:rFonts w:ascii="宋体" w:hAnsi="宋体" w:cs="宋体"/>
              </w:rPr>
            </w:pPr>
            <w:r>
              <w:rPr>
                <w:rFonts w:hint="eastAsia" w:ascii="宋体" w:hAnsi="宋体" w:cs="宋体"/>
              </w:rPr>
              <w:t>0.7835</w:t>
            </w:r>
          </w:p>
        </w:tc>
      </w:tr>
    </w:tbl>
    <w:p w14:paraId="73D4CC65">
      <w:pPr>
        <w:jc w:val="left"/>
        <w:rPr>
          <w:rFonts w:ascii="宋体" w:hAnsi="宋体" w:cs="宋体"/>
        </w:rPr>
      </w:pPr>
      <w:r>
        <w:rPr>
          <w:rFonts w:hint="eastAsia" w:ascii="宋体" w:hAnsi="宋体" w:cs="宋体"/>
          <w:color w:val="FF0000"/>
        </w:rPr>
        <w:t>答案：</w:t>
      </w:r>
      <w:r>
        <w:rPr>
          <w:rFonts w:hint="eastAsia" w:ascii="宋体" w:hAnsi="宋体" w:cs="宋体"/>
        </w:rPr>
        <w:t>i=5%的复利现值系数为0.7835，所以，利率＝5%。</w:t>
      </w:r>
    </w:p>
    <w:p w14:paraId="56D92A39">
      <w:pPr>
        <w:jc w:val="left"/>
        <w:rPr>
          <w:rFonts w:hint="eastAsia" w:ascii="宋体" w:hAnsi="宋体" w:cs="宋体"/>
        </w:rPr>
      </w:pPr>
      <w:r>
        <w:rPr>
          <w:rFonts w:hint="eastAsia" w:ascii="宋体" w:hAnsi="宋体" w:cs="宋体"/>
        </w:rPr>
        <w:t>【例2-13】已知（P/A，i，5）＝4.20，求i的数值。</w:t>
      </w:r>
    </w:p>
    <w:p w14:paraId="319C0F15">
      <w:pPr>
        <w:jc w:val="left"/>
        <w:rPr>
          <w:rFonts w:ascii="宋体" w:hAnsi="宋体" w:cs="宋体"/>
        </w:rPr>
      </w:pPr>
      <w:r>
        <w:rPr>
          <w:rFonts w:hint="eastAsia" w:ascii="宋体" w:hAnsi="宋体" w:cs="宋体"/>
        </w:rPr>
        <w:drawing>
          <wp:inline distT="0" distB="0" distL="114300" distR="114300">
            <wp:extent cx="5207000" cy="1841500"/>
            <wp:effectExtent l="0" t="0" r="1270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extLst>
                        <a:ext uri="{BEBA8EAE-BF5A-486C-A8C5-ECC9F3942E4B}">
                          <a14:imgProps xmlns:a14="http://schemas.microsoft.com/office/drawing/2010/main">
                            <a14:imgLayer r:embed="rId37">
                              <a14:imgEffect>
                                <a14:brightnessContrast bright="-50000"/>
                              </a14:imgEffect>
                            </a14:imgLayer>
                          </a14:imgProps>
                        </a:ext>
                      </a:extLst>
                    </a:blip>
                    <a:stretch>
                      <a:fillRect/>
                    </a:stretch>
                  </pic:blipFill>
                  <pic:spPr>
                    <a:xfrm>
                      <a:off x="0" y="0"/>
                      <a:ext cx="5207000" cy="1841500"/>
                    </a:xfrm>
                    <a:prstGeom prst="rect">
                      <a:avLst/>
                    </a:prstGeom>
                    <a:noFill/>
                    <a:ln>
                      <a:noFill/>
                    </a:ln>
                  </pic:spPr>
                </pic:pic>
              </a:graphicData>
            </a:graphic>
          </wp:inline>
        </w:drawing>
      </w:r>
    </w:p>
    <w:p w14:paraId="47A935FC">
      <w:pPr>
        <w:jc w:val="left"/>
        <w:rPr>
          <w:rFonts w:ascii="宋体" w:hAnsi="宋体" w:cs="宋体"/>
        </w:rPr>
      </w:pPr>
      <w:r>
        <w:rPr>
          <w:rFonts w:hint="eastAsia" w:ascii="宋体" w:hAnsi="宋体" w:cs="宋体"/>
          <w:color w:val="FF0000"/>
        </w:rPr>
        <w:t>答案：</w:t>
      </w:r>
      <w:r>
        <w:rPr>
          <w:rFonts w:hint="eastAsia" w:ascii="宋体" w:hAnsi="宋体" w:cs="宋体"/>
        </w:rPr>
        <w:t>查阅年金现值系数表，在期数为5的情况下，无法查到4.20这个数值，此时需要用到插值法。通过下面表格，我们可以看到，4.20介于4.2124和4.1002之间，那么我们可以知道，i应该介于6%和7%之间</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5DFD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0C8856CB">
            <w:pPr>
              <w:rPr>
                <w:rFonts w:ascii="宋体" w:hAnsi="宋体" w:cs="宋体"/>
              </w:rPr>
            </w:pPr>
            <w:r>
              <w:rPr>
                <w:rFonts w:hint="eastAsia" w:ascii="宋体" w:hAnsi="宋体" w:cs="宋体"/>
              </w:rPr>
              <w:t>利率</w:t>
            </w:r>
          </w:p>
        </w:tc>
        <w:tc>
          <w:tcPr>
            <w:tcW w:w="2500" w:type="pct"/>
          </w:tcPr>
          <w:p w14:paraId="5926E4CE">
            <w:pPr>
              <w:rPr>
                <w:rFonts w:ascii="宋体" w:hAnsi="宋体" w:cs="宋体"/>
              </w:rPr>
            </w:pPr>
            <w:r>
              <w:rPr>
                <w:rFonts w:hint="eastAsia" w:ascii="宋体" w:hAnsi="宋体" w:cs="宋体"/>
              </w:rPr>
              <w:t>计算结果</w:t>
            </w:r>
          </w:p>
        </w:tc>
      </w:tr>
      <w:tr w14:paraId="6BFD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7BABEB0">
            <w:pPr>
              <w:rPr>
                <w:rFonts w:ascii="宋体" w:hAnsi="宋体" w:cs="宋体"/>
              </w:rPr>
            </w:pPr>
            <w:r>
              <w:rPr>
                <w:rFonts w:hint="eastAsia" w:ascii="宋体" w:hAnsi="宋体" w:cs="宋体"/>
              </w:rPr>
              <w:t>i</w:t>
            </w:r>
          </w:p>
        </w:tc>
        <w:tc>
          <w:tcPr>
            <w:tcW w:w="2500" w:type="pct"/>
          </w:tcPr>
          <w:p w14:paraId="6C6BD68F">
            <w:pPr>
              <w:rPr>
                <w:rFonts w:ascii="宋体" w:hAnsi="宋体" w:cs="宋体"/>
              </w:rPr>
            </w:pPr>
            <w:r>
              <w:rPr>
                <w:rFonts w:hint="eastAsia" w:ascii="宋体" w:hAnsi="宋体" w:cs="宋体"/>
              </w:rPr>
              <w:t>4.20</w:t>
            </w:r>
          </w:p>
        </w:tc>
      </w:tr>
      <w:tr w14:paraId="15A8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2BE945A0">
            <w:pPr>
              <w:rPr>
                <w:rFonts w:ascii="宋体" w:hAnsi="宋体" w:cs="宋体"/>
              </w:rPr>
            </w:pPr>
            <w:r>
              <w:rPr>
                <w:rFonts w:hint="eastAsia" w:ascii="宋体" w:hAnsi="宋体" w:cs="宋体"/>
              </w:rPr>
              <w:t>6%</w:t>
            </w:r>
          </w:p>
        </w:tc>
        <w:tc>
          <w:tcPr>
            <w:tcW w:w="2500" w:type="pct"/>
          </w:tcPr>
          <w:p w14:paraId="1F876322">
            <w:pPr>
              <w:rPr>
                <w:rFonts w:ascii="宋体" w:hAnsi="宋体" w:cs="宋体"/>
              </w:rPr>
            </w:pPr>
            <w:r>
              <w:rPr>
                <w:rFonts w:hint="eastAsia" w:ascii="宋体" w:hAnsi="宋体" w:cs="宋体"/>
              </w:rPr>
              <w:t>4.2124</w:t>
            </w:r>
          </w:p>
        </w:tc>
      </w:tr>
      <w:tr w14:paraId="077C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43E13184">
            <w:pPr>
              <w:rPr>
                <w:rFonts w:ascii="宋体" w:hAnsi="宋体" w:cs="宋体"/>
              </w:rPr>
            </w:pPr>
            <w:r>
              <w:rPr>
                <w:rFonts w:hint="eastAsia" w:ascii="宋体" w:hAnsi="宋体" w:cs="宋体"/>
              </w:rPr>
              <w:t>7%</w:t>
            </w:r>
          </w:p>
        </w:tc>
        <w:tc>
          <w:tcPr>
            <w:tcW w:w="2500" w:type="pct"/>
          </w:tcPr>
          <w:p w14:paraId="49CCDB47">
            <w:pPr>
              <w:rPr>
                <w:rFonts w:ascii="宋体" w:hAnsi="宋体" w:cs="宋体"/>
              </w:rPr>
            </w:pPr>
            <w:r>
              <w:rPr>
                <w:rFonts w:hint="eastAsia" w:ascii="宋体" w:hAnsi="宋体" w:cs="宋体"/>
              </w:rPr>
              <w:t>4.1002</w:t>
            </w:r>
          </w:p>
        </w:tc>
      </w:tr>
    </w:tbl>
    <w:p w14:paraId="7EB739B2">
      <w:pPr>
        <w:jc w:val="left"/>
        <w:rPr>
          <w:rFonts w:hint="eastAsia" w:ascii="宋体" w:hAnsi="宋体" w:cs="宋体"/>
        </w:rPr>
      </w:pPr>
    </w:p>
    <w:p w14:paraId="5C1C5E5E">
      <w:pPr>
        <w:jc w:val="left"/>
        <w:rPr>
          <w:rFonts w:ascii="宋体" w:hAnsi="宋体" w:cs="宋体"/>
        </w:rPr>
      </w:pPr>
      <w:r>
        <w:rPr>
          <w:rFonts w:hint="eastAsia" w:ascii="宋体" w:hAnsi="宋体" w:cs="宋体"/>
        </w:rPr>
        <w:drawing>
          <wp:inline distT="0" distB="0" distL="114300" distR="114300">
            <wp:extent cx="2052955" cy="973455"/>
            <wp:effectExtent l="0" t="0" r="4445"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stretch>
                      <a:fillRect/>
                    </a:stretch>
                  </pic:blipFill>
                  <pic:spPr>
                    <a:xfrm>
                      <a:off x="0" y="0"/>
                      <a:ext cx="2062798" cy="978072"/>
                    </a:xfrm>
                    <a:prstGeom prst="rect">
                      <a:avLst/>
                    </a:prstGeom>
                    <a:noFill/>
                    <a:ln>
                      <a:noFill/>
                    </a:ln>
                  </pic:spPr>
                </pic:pic>
              </a:graphicData>
            </a:graphic>
          </wp:inline>
        </w:drawing>
      </w:r>
    </w:p>
    <w:p w14:paraId="2585B1A7">
      <w:pPr>
        <w:jc w:val="left"/>
        <w:rPr>
          <w:rFonts w:ascii="宋体" w:hAnsi="宋体" w:cs="宋体"/>
          <w:color w:val="FF0000"/>
        </w:rPr>
      </w:pPr>
      <w:r>
        <w:rPr>
          <w:rFonts w:hint="eastAsia" w:ascii="宋体" w:hAnsi="宋体" w:cs="宋体"/>
          <w:color w:val="FF0000"/>
        </w:rPr>
        <w:t>2.现值或终值系数未知的利率计算</w:t>
      </w:r>
    </w:p>
    <w:p w14:paraId="5D4ED38E">
      <w:pPr>
        <w:jc w:val="left"/>
        <w:rPr>
          <w:rFonts w:ascii="宋体" w:hAnsi="宋体" w:cs="宋体"/>
        </w:rPr>
      </w:pPr>
      <w:r>
        <w:rPr>
          <w:rFonts w:hint="eastAsia" w:ascii="宋体" w:hAnsi="宋体" w:cs="宋体"/>
          <w:color w:val="FF0000"/>
        </w:rPr>
        <w:t>【例2-13】</w:t>
      </w:r>
      <w:r>
        <w:rPr>
          <w:rFonts w:hint="eastAsia" w:ascii="宋体" w:hAnsi="宋体" w:cs="宋体"/>
        </w:rPr>
        <w:t>已知5×（P/A，i，10）＋100×（P/F，i，10）＝104，求i的数值。</w:t>
      </w:r>
    </w:p>
    <w:p w14:paraId="1F2CC6D4">
      <w:pPr>
        <w:jc w:val="left"/>
        <w:rPr>
          <w:rFonts w:ascii="宋体" w:hAnsi="宋体" w:cs="宋体"/>
        </w:rPr>
      </w:pPr>
      <w:r>
        <w:rPr>
          <w:rFonts w:hint="eastAsia" w:ascii="宋体" w:hAnsi="宋体" w:cs="宋体"/>
        </w:rPr>
        <w:t>（P/A，5%，10）=7.7217；（P/A，4%，10）=8.1109；（P/F，5%，10）=0.6139；（P/F，4%，10）=0.6756</w:t>
      </w:r>
    </w:p>
    <w:p w14:paraId="368138F4">
      <w:pPr>
        <w:jc w:val="left"/>
        <w:rPr>
          <w:rFonts w:ascii="宋体" w:hAnsi="宋体" w:cs="宋体"/>
          <w:color w:val="FF0000"/>
        </w:rPr>
      </w:pPr>
      <w:r>
        <w:rPr>
          <w:rFonts w:hint="eastAsia" w:ascii="宋体" w:hAnsi="宋体" w:cs="宋体"/>
          <w:color w:val="FF0000"/>
        </w:rPr>
        <w:t>答案：</w:t>
      </w:r>
    </w:p>
    <w:p w14:paraId="11D8D12C">
      <w:pPr>
        <w:jc w:val="left"/>
        <w:rPr>
          <w:rFonts w:ascii="宋体" w:hAnsi="宋体" w:cs="宋体"/>
        </w:rPr>
      </w:pPr>
      <w:r>
        <w:rPr>
          <w:rFonts w:hint="eastAsia" w:ascii="宋体" w:hAnsi="宋体" w:cs="宋体"/>
        </w:rPr>
        <w:t>i＝5%时，5×（P/A，i，10）＋100×（P/F，i，10）＝5×7.7217＋100×0.6139＝100</w:t>
      </w:r>
    </w:p>
    <w:p w14:paraId="6830CC53">
      <w:pPr>
        <w:jc w:val="left"/>
        <w:rPr>
          <w:rFonts w:ascii="宋体" w:hAnsi="宋体" w:cs="宋体"/>
        </w:rPr>
      </w:pPr>
      <w:r>
        <w:rPr>
          <w:rFonts w:hint="eastAsia" w:ascii="宋体" w:hAnsi="宋体" w:cs="宋体"/>
        </w:rPr>
        <w:t>i＝4%时，5×（P/A，i，10）＋100×（P/F，i，10）＝5×8.1109＋100×0.6756＝108.11</w:t>
      </w:r>
    </w:p>
    <w:p w14:paraId="11B9D846">
      <w:pPr>
        <w:jc w:val="left"/>
        <w:rPr>
          <w:rFonts w:ascii="宋体" w:hAnsi="宋体" w:cs="宋体"/>
        </w:rPr>
      </w:pPr>
      <w:r>
        <w:rPr>
          <w:rFonts w:hint="eastAsia" w:ascii="宋体" w:hAnsi="宋体" w:cs="宋体"/>
        </w:rPr>
        <w:t>（5%－i）/（5%－4%）＝（100－104）/（100－108.11）</w:t>
      </w:r>
    </w:p>
    <w:p w14:paraId="565144AA">
      <w:pPr>
        <w:jc w:val="left"/>
        <w:rPr>
          <w:rFonts w:ascii="宋体" w:hAnsi="宋体" w:cs="宋体"/>
        </w:rPr>
      </w:pPr>
      <w:r>
        <w:rPr>
          <w:rFonts w:hint="eastAsia" w:ascii="宋体" w:hAnsi="宋体" w:cs="宋体"/>
          <w:color w:val="FF0000"/>
        </w:rPr>
        <w:t>解得：</w:t>
      </w:r>
      <w:r>
        <w:rPr>
          <w:rFonts w:hint="eastAsia" w:ascii="宋体" w:hAnsi="宋体" w:cs="宋体"/>
        </w:rPr>
        <w:t>i ＝ 4.51%</w:t>
      </w:r>
    </w:p>
    <w:p w14:paraId="78FA8BBB">
      <w:pPr>
        <w:jc w:val="left"/>
        <w:rPr>
          <w:rFonts w:ascii="宋体" w:hAnsi="宋体" w:cs="宋体"/>
        </w:rPr>
      </w:pPr>
    </w:p>
    <w:p w14:paraId="3AB6CC02">
      <w:pPr>
        <w:jc w:val="left"/>
        <w:rPr>
          <w:rFonts w:ascii="宋体" w:hAnsi="宋体" w:cs="宋体"/>
        </w:rPr>
      </w:pPr>
      <w:r>
        <w:rPr>
          <w:rFonts w:hint="eastAsia" w:ascii="宋体" w:hAnsi="宋体" w:cs="宋体"/>
        </w:rPr>
        <w:t>【单选题】（2019年）某公司设立一项偿债基金项目，连续10年，每年年末存入500万元，第10年年末可以一次性获取9000万元，已知（F/A，8%，10）＝14.487，（F/A，10%，10）＝15.937，（F/A，12%，10）＝17.549，（F/A，14%，10）＝19.337，（F/A，16%，10）＝21.321，则该基金的收益率介于（  ）。</w:t>
      </w:r>
    </w:p>
    <w:p w14:paraId="68478E43">
      <w:pPr>
        <w:jc w:val="left"/>
        <w:rPr>
          <w:rFonts w:ascii="宋体" w:hAnsi="宋体" w:cs="宋体"/>
        </w:rPr>
      </w:pPr>
      <w:r>
        <w:rPr>
          <w:rFonts w:hint="eastAsia" w:ascii="宋体" w:hAnsi="宋体" w:cs="宋体"/>
        </w:rPr>
        <w:t xml:space="preserve">A.12%～14%          </w:t>
      </w:r>
    </w:p>
    <w:p w14:paraId="1F1D3E75">
      <w:pPr>
        <w:jc w:val="left"/>
        <w:rPr>
          <w:rFonts w:ascii="宋体" w:hAnsi="宋体" w:cs="宋体"/>
        </w:rPr>
      </w:pPr>
      <w:r>
        <w:rPr>
          <w:rFonts w:hint="eastAsia" w:ascii="宋体" w:hAnsi="宋体" w:cs="宋体"/>
        </w:rPr>
        <w:t xml:space="preserve">B.14%～16%           </w:t>
      </w:r>
    </w:p>
    <w:p w14:paraId="4B27B01D">
      <w:pPr>
        <w:jc w:val="left"/>
        <w:rPr>
          <w:rFonts w:ascii="宋体" w:hAnsi="宋体" w:cs="宋体"/>
        </w:rPr>
      </w:pPr>
      <w:r>
        <w:rPr>
          <w:rFonts w:hint="eastAsia" w:ascii="宋体" w:hAnsi="宋体" w:cs="宋体"/>
        </w:rPr>
        <w:t xml:space="preserve">C.10%～12%             </w:t>
      </w:r>
    </w:p>
    <w:p w14:paraId="1DDD6055">
      <w:pPr>
        <w:jc w:val="left"/>
        <w:rPr>
          <w:rFonts w:ascii="宋体" w:hAnsi="宋体" w:cs="宋体"/>
        </w:rPr>
      </w:pPr>
      <w:r>
        <w:rPr>
          <w:rFonts w:hint="eastAsia" w:ascii="宋体" w:hAnsi="宋体" w:cs="宋体"/>
        </w:rPr>
        <w:t>D.8%～10%</w:t>
      </w:r>
    </w:p>
    <w:p w14:paraId="57D9BF68">
      <w:pPr>
        <w:jc w:val="left"/>
        <w:rPr>
          <w:rFonts w:ascii="宋体" w:hAnsi="宋体" w:cs="宋体"/>
        </w:rPr>
      </w:pPr>
      <w:r>
        <w:rPr>
          <w:rFonts w:hint="eastAsia" w:ascii="宋体" w:hAnsi="宋体" w:cs="宋体"/>
        </w:rPr>
        <w:t>答案：A</w:t>
      </w:r>
    </w:p>
    <w:p w14:paraId="30A20FD7">
      <w:pPr>
        <w:jc w:val="left"/>
        <w:rPr>
          <w:rFonts w:hint="eastAsia" w:ascii="宋体" w:hAnsi="宋体" w:cs="宋体"/>
        </w:rPr>
      </w:pPr>
      <w:r>
        <w:rPr>
          <w:rFonts w:hint="eastAsia" w:ascii="宋体" w:hAnsi="宋体" w:cs="宋体"/>
        </w:rPr>
        <w:t>解析：500×（F/A，i，10）＝9000，即，（F/A，i，10）＝9000/500＝18，已知（F/A，12%，10）＝17.549，（F/A，14%，10）＝19.337，由此可知，该基金的收益率i介于12%～14%之间。该基金的收益率i可利用内插法推算如下：（i－12%）/（14%－12%）＝（18－17.549）/（19.337－17.549），即：i＝（18－17.549）/（19.337－17.549）×（14%－12%）＋12%＝12.50%。</w:t>
      </w:r>
    </w:p>
    <w:p w14:paraId="45CD26D0">
      <w:pPr>
        <w:overflowPunct w:val="0"/>
        <w:jc w:val="center"/>
        <w:rPr>
          <w:rFonts w:ascii="宋体" w:hAnsi="宋体" w:cs="宋体"/>
          <w:b/>
          <w:bCs/>
        </w:rPr>
      </w:pPr>
      <w:r>
        <w:rPr>
          <w:rFonts w:hint="eastAsia" w:ascii="宋体" w:hAnsi="宋体" w:cs="宋体"/>
          <w:b/>
          <w:bCs/>
        </w:rPr>
        <w:t>第一节  货币时间价值</w:t>
      </w:r>
    </w:p>
    <w:p w14:paraId="31393903">
      <w:pPr>
        <w:jc w:val="left"/>
        <w:rPr>
          <w:rFonts w:ascii="宋体" w:hAnsi="宋体" w:cs="宋体"/>
          <w:color w:val="FF0000"/>
        </w:rPr>
      </w:pPr>
      <w:r>
        <w:rPr>
          <w:rFonts w:hint="eastAsia" w:ascii="宋体" w:hAnsi="宋体" w:cs="宋体"/>
          <w:color w:val="FF0000"/>
        </w:rPr>
        <w:t>二、实际利率计算</w:t>
      </w:r>
    </w:p>
    <w:p w14:paraId="12ED467B">
      <w:pPr>
        <w:jc w:val="left"/>
        <w:rPr>
          <w:rFonts w:ascii="宋体" w:hAnsi="宋体" w:cs="宋体"/>
        </w:rPr>
      </w:pPr>
      <w:r>
        <w:rPr>
          <w:rFonts w:hint="eastAsia" w:ascii="宋体" w:hAnsi="宋体" w:cs="宋体"/>
        </w:rPr>
        <w:t>（1）一年多次计息时，给出的年利率为</w:t>
      </w:r>
      <w:r>
        <w:rPr>
          <w:rFonts w:hint="eastAsia" w:ascii="宋体" w:hAnsi="宋体" w:cs="宋体"/>
          <w:color w:val="FF0000"/>
        </w:rPr>
        <w:t>名义利率</w:t>
      </w:r>
      <w:r>
        <w:rPr>
          <w:rFonts w:hint="eastAsia" w:ascii="宋体" w:hAnsi="宋体" w:cs="宋体"/>
        </w:rPr>
        <w:t>，按照复利计算的年利息与本金的比值为</w:t>
      </w:r>
      <w:r>
        <w:rPr>
          <w:rFonts w:hint="eastAsia" w:ascii="宋体" w:hAnsi="宋体" w:cs="宋体"/>
          <w:color w:val="FF0000"/>
        </w:rPr>
        <w:t>实际利率。</w:t>
      </w:r>
    </w:p>
    <w:p w14:paraId="06580200">
      <w:pPr>
        <w:jc w:val="left"/>
        <w:rPr>
          <w:rFonts w:ascii="宋体" w:hAnsi="宋体" w:cs="宋体"/>
        </w:rPr>
      </w:pPr>
      <w:r>
        <w:rPr>
          <w:rFonts w:hint="eastAsia" w:ascii="宋体" w:hAnsi="宋体" w:cs="宋体"/>
          <w:color w:val="FF0000"/>
        </w:rPr>
        <w:t>【例】</w:t>
      </w:r>
      <w:r>
        <w:rPr>
          <w:rFonts w:hint="eastAsia" w:ascii="宋体" w:hAnsi="宋体" w:cs="宋体"/>
        </w:rPr>
        <w:t>假设本金为100元，年利率为10%，一年计息2次求：（1）计息期利率？ （2）一年后的本利和？（3）复利计算的年利息？（4）实际利率？</w:t>
      </w:r>
    </w:p>
    <w:p w14:paraId="4F07E0C4">
      <w:pPr>
        <w:jc w:val="left"/>
        <w:rPr>
          <w:rFonts w:ascii="宋体" w:hAnsi="宋体" w:cs="宋体"/>
          <w:color w:val="000000" w:themeColor="text1"/>
          <w14:textFill>
            <w14:solidFill>
              <w14:schemeClr w14:val="tx1"/>
            </w14:solidFill>
          </w14:textFill>
        </w:rPr>
      </w:pPr>
      <w:r>
        <w:rPr>
          <w:rFonts w:ascii="宋体" w:hAnsi="宋体" w:cs="宋体"/>
          <w:color w:val="FF0000"/>
        </w:rPr>
        <w:t>答案：</w:t>
      </w:r>
      <w:r>
        <w:rPr>
          <w:rFonts w:ascii="宋体" w:hAnsi="宋体" w:cs="宋体"/>
          <w:color w:val="000000" w:themeColor="text1"/>
          <w14:textFill>
            <w14:solidFill>
              <w14:schemeClr w14:val="tx1"/>
            </w14:solidFill>
          </w14:textFill>
        </w:rPr>
        <w:t>（1）10%/2=5%；</w:t>
      </w:r>
    </w:p>
    <w:p w14:paraId="77BD65FE">
      <w:pPr>
        <w:jc w:val="left"/>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 xml:space="preserve">  （2）100*（1+5%）</w:t>
      </w:r>
      <w:r>
        <w:rPr>
          <w:rFonts w:ascii="宋体" w:hAnsi="宋体" w:cs="宋体"/>
          <w:color w:val="000000" w:themeColor="text1"/>
          <w:vertAlign w:val="superscript"/>
          <w14:textFill>
            <w14:solidFill>
              <w14:schemeClr w14:val="tx1"/>
            </w14:solidFill>
          </w14:textFill>
        </w:rPr>
        <w:t>2</w:t>
      </w:r>
      <w:r>
        <w:rPr>
          <w:rFonts w:ascii="宋体" w:hAnsi="宋体" w:cs="宋体"/>
          <w:color w:val="000000" w:themeColor="text1"/>
          <w14:textFill>
            <w14:solidFill>
              <w14:schemeClr w14:val="tx1"/>
            </w14:solidFill>
          </w14:textFill>
        </w:rPr>
        <w:t>=110.25（元）</w:t>
      </w:r>
    </w:p>
    <w:p w14:paraId="156D150D">
      <w:pPr>
        <w:jc w:val="left"/>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 xml:space="preserve">  （3）100*（1+5%）</w:t>
      </w:r>
      <w:r>
        <w:rPr>
          <w:rFonts w:ascii="宋体" w:hAnsi="宋体" w:cs="宋体"/>
          <w:color w:val="000000" w:themeColor="text1"/>
          <w:vertAlign w:val="superscript"/>
          <w14:textFill>
            <w14:solidFill>
              <w14:schemeClr w14:val="tx1"/>
            </w14:solidFill>
          </w14:textFill>
        </w:rPr>
        <w:t>2</w:t>
      </w:r>
      <w:r>
        <w:rPr>
          <w:rFonts w:ascii="宋体" w:hAnsi="宋体" w:cs="宋体"/>
          <w:color w:val="000000" w:themeColor="text1"/>
          <w14:textFill>
            <w14:solidFill>
              <w14:schemeClr w14:val="tx1"/>
            </w14:solidFill>
          </w14:textFill>
        </w:rPr>
        <w:t>-100=10.25（元）</w:t>
      </w:r>
    </w:p>
    <w:p w14:paraId="4686A284">
      <w:pPr>
        <w:jc w:val="left"/>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 xml:space="preserve">  （4）实际利率=[100*（1+5%）</w:t>
      </w:r>
      <w:r>
        <w:rPr>
          <w:rFonts w:ascii="宋体" w:hAnsi="宋体" w:cs="宋体"/>
          <w:color w:val="000000" w:themeColor="text1"/>
          <w:vertAlign w:val="superscript"/>
          <w14:textFill>
            <w14:solidFill>
              <w14:schemeClr w14:val="tx1"/>
            </w14:solidFill>
          </w14:textFill>
        </w:rPr>
        <w:t>2</w:t>
      </w:r>
      <w:r>
        <w:rPr>
          <w:rFonts w:ascii="宋体" w:hAnsi="宋体" w:cs="宋体"/>
          <w:color w:val="000000" w:themeColor="text1"/>
          <w14:textFill>
            <w14:solidFill>
              <w14:schemeClr w14:val="tx1"/>
            </w14:solidFill>
          </w14:textFill>
        </w:rPr>
        <w:t>-100]/100=（1+5%）</w:t>
      </w:r>
      <w:r>
        <w:rPr>
          <w:rFonts w:ascii="宋体" w:hAnsi="宋体" w:cs="宋体"/>
          <w:color w:val="000000" w:themeColor="text1"/>
          <w:vertAlign w:val="superscript"/>
          <w14:textFill>
            <w14:solidFill>
              <w14:schemeClr w14:val="tx1"/>
            </w14:solidFill>
          </w14:textFill>
        </w:rPr>
        <w:t>2</w:t>
      </w:r>
      <w:r>
        <w:rPr>
          <w:rFonts w:ascii="宋体" w:hAnsi="宋体" w:cs="宋体"/>
          <w:color w:val="000000" w:themeColor="text1"/>
          <w14:textFill>
            <w14:solidFill>
              <w14:schemeClr w14:val="tx1"/>
            </w14:solidFill>
          </w14:textFill>
        </w:rPr>
        <w:t xml:space="preserve"> -1=10.25%</w:t>
      </w:r>
    </w:p>
    <w:p w14:paraId="03E7FA0F">
      <w:pPr>
        <w:jc w:val="left"/>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用公式表示如下：</w:t>
      </w:r>
    </w:p>
    <w:p w14:paraId="2ACDFB7F">
      <w:pPr>
        <w:jc w:val="left"/>
        <w:rPr>
          <w:rFonts w:ascii="宋体" w:hAnsi="宋体" w:cs="宋体"/>
          <w:color w:val="FF0000"/>
        </w:rPr>
      </w:pPr>
      <w:r>
        <w:rPr>
          <w:rFonts w:ascii="宋体" w:hAnsi="宋体" w:cs="宋体"/>
          <w:color w:val="FF0000"/>
        </w:rPr>
        <w:t>i=（1+r/m）</w:t>
      </w:r>
      <w:r>
        <w:rPr>
          <w:rFonts w:ascii="宋体" w:hAnsi="宋体" w:cs="宋体"/>
          <w:color w:val="FF0000"/>
          <w:vertAlign w:val="superscript"/>
        </w:rPr>
        <w:t>m</w:t>
      </w:r>
      <w:r>
        <w:rPr>
          <w:rFonts w:ascii="宋体" w:hAnsi="宋体" w:cs="宋体"/>
          <w:color w:val="FF0000"/>
        </w:rPr>
        <w:t>-1，i表示实际利率，r表示名义利率，m表示每年复利计息的次数。</w:t>
      </w:r>
    </w:p>
    <w:p w14:paraId="1EFBDD99">
      <w:pPr>
        <w:jc w:val="left"/>
        <w:rPr>
          <w:rFonts w:ascii="宋体" w:hAnsi="宋体" w:cs="宋体"/>
        </w:rPr>
      </w:pPr>
    </w:p>
    <w:p w14:paraId="0196452A">
      <w:pPr>
        <w:jc w:val="left"/>
        <w:rPr>
          <w:rFonts w:ascii="宋体" w:hAnsi="宋体" w:cs="宋体"/>
        </w:rPr>
      </w:pPr>
      <w:r>
        <w:rPr>
          <w:rFonts w:ascii="宋体" w:hAnsi="宋体" w:cs="宋体"/>
        </w:rPr>
        <w:t>【单选题】（2017年）某企业向金融机构借款，年名义利率为8%，按季度付息，则年实际利率为（  ）。</w:t>
      </w:r>
    </w:p>
    <w:p w14:paraId="1F930CEF">
      <w:pPr>
        <w:jc w:val="left"/>
        <w:rPr>
          <w:rFonts w:ascii="宋体" w:hAnsi="宋体" w:cs="宋体"/>
        </w:rPr>
      </w:pPr>
      <w:r>
        <w:rPr>
          <w:rFonts w:ascii="宋体" w:hAnsi="宋体" w:cs="宋体"/>
        </w:rPr>
        <w:t xml:space="preserve">A.9.6%            </w:t>
      </w:r>
    </w:p>
    <w:p w14:paraId="27CB8E98">
      <w:pPr>
        <w:jc w:val="left"/>
        <w:rPr>
          <w:rFonts w:ascii="宋体" w:hAnsi="宋体" w:cs="宋体"/>
        </w:rPr>
      </w:pPr>
      <w:r>
        <w:rPr>
          <w:rFonts w:ascii="宋体" w:hAnsi="宋体" w:cs="宋体"/>
        </w:rPr>
        <w:t xml:space="preserve">B.8.24%               </w:t>
      </w:r>
    </w:p>
    <w:p w14:paraId="4ADDBDF4">
      <w:pPr>
        <w:jc w:val="left"/>
        <w:rPr>
          <w:rFonts w:ascii="宋体" w:hAnsi="宋体" w:cs="宋体"/>
        </w:rPr>
      </w:pPr>
      <w:r>
        <w:rPr>
          <w:rFonts w:ascii="宋体" w:hAnsi="宋体" w:cs="宋体"/>
        </w:rPr>
        <w:t xml:space="preserve">C.8.00%                </w:t>
      </w:r>
    </w:p>
    <w:p w14:paraId="3C793E67">
      <w:pPr>
        <w:jc w:val="left"/>
        <w:rPr>
          <w:rFonts w:ascii="宋体" w:hAnsi="宋体" w:cs="宋体"/>
        </w:rPr>
      </w:pPr>
      <w:r>
        <w:rPr>
          <w:rFonts w:ascii="宋体" w:hAnsi="宋体" w:cs="宋体"/>
        </w:rPr>
        <w:t>D.8.32%</w:t>
      </w:r>
    </w:p>
    <w:p w14:paraId="3614AFF5">
      <w:pPr>
        <w:jc w:val="left"/>
        <w:rPr>
          <w:rFonts w:ascii="宋体" w:hAnsi="宋体" w:cs="宋体"/>
        </w:rPr>
      </w:pPr>
      <w:r>
        <w:rPr>
          <w:rFonts w:ascii="宋体" w:hAnsi="宋体" w:cs="宋体"/>
        </w:rPr>
        <w:t>答案：B</w:t>
      </w:r>
    </w:p>
    <w:p w14:paraId="467B6F16">
      <w:pPr>
        <w:jc w:val="left"/>
        <w:rPr>
          <w:rFonts w:ascii="宋体" w:hAnsi="宋体" w:cs="宋体"/>
        </w:rPr>
      </w:pPr>
      <w:r>
        <w:rPr>
          <w:rFonts w:ascii="宋体" w:hAnsi="宋体" w:cs="宋体"/>
        </w:rPr>
        <w:t>解析：年实际利率＝（1＋8%/4）</w:t>
      </w:r>
      <w:r>
        <w:rPr>
          <w:rFonts w:ascii="宋体" w:hAnsi="宋体" w:cs="宋体"/>
          <w:vertAlign w:val="superscript"/>
        </w:rPr>
        <w:t>4</w:t>
      </w:r>
      <w:r>
        <w:rPr>
          <w:rFonts w:ascii="宋体" w:hAnsi="宋体" w:cs="宋体"/>
        </w:rPr>
        <w:t>-1＝8.24%。</w:t>
      </w:r>
    </w:p>
    <w:p w14:paraId="39ACCBF3">
      <w:pPr>
        <w:jc w:val="left"/>
        <w:rPr>
          <w:rFonts w:ascii="宋体" w:hAnsi="宋体" w:cs="宋体"/>
        </w:rPr>
      </w:pPr>
    </w:p>
    <w:p w14:paraId="5E8C1A1E">
      <w:pPr>
        <w:jc w:val="left"/>
        <w:rPr>
          <w:rFonts w:ascii="宋体" w:hAnsi="宋体" w:cs="宋体"/>
        </w:rPr>
      </w:pPr>
      <w:r>
        <w:rPr>
          <w:rFonts w:ascii="宋体" w:hAnsi="宋体" w:cs="宋体"/>
        </w:rPr>
        <w:t>【单选题】（2018年）公司投资于某项长期基金，本金为5000万元，每季度可获取现金收益50万元，则其年收益率为（  ）。</w:t>
      </w:r>
    </w:p>
    <w:p w14:paraId="139B09D9">
      <w:pPr>
        <w:jc w:val="left"/>
        <w:rPr>
          <w:rFonts w:ascii="宋体" w:hAnsi="宋体" w:cs="宋体"/>
        </w:rPr>
      </w:pPr>
      <w:r>
        <w:rPr>
          <w:rFonts w:ascii="宋体" w:hAnsi="宋体" w:cs="宋体"/>
        </w:rPr>
        <w:t xml:space="preserve">A.2.01%              </w:t>
      </w:r>
    </w:p>
    <w:p w14:paraId="3ABDBC4F">
      <w:pPr>
        <w:jc w:val="left"/>
        <w:rPr>
          <w:rFonts w:ascii="宋体" w:hAnsi="宋体" w:cs="宋体"/>
        </w:rPr>
      </w:pPr>
      <w:r>
        <w:rPr>
          <w:rFonts w:ascii="宋体" w:hAnsi="宋体" w:cs="宋体"/>
        </w:rPr>
        <w:t xml:space="preserve">B.1.00%                 </w:t>
      </w:r>
    </w:p>
    <w:p w14:paraId="7B91AB04">
      <w:pPr>
        <w:jc w:val="left"/>
        <w:rPr>
          <w:rFonts w:ascii="宋体" w:hAnsi="宋体" w:cs="宋体"/>
        </w:rPr>
      </w:pPr>
      <w:r>
        <w:rPr>
          <w:rFonts w:ascii="宋体" w:hAnsi="宋体" w:cs="宋体"/>
        </w:rPr>
        <w:t xml:space="preserve">C.4.00%              </w:t>
      </w:r>
    </w:p>
    <w:p w14:paraId="0AD98B9C">
      <w:pPr>
        <w:jc w:val="left"/>
        <w:rPr>
          <w:rFonts w:ascii="宋体" w:hAnsi="宋体" w:cs="宋体"/>
        </w:rPr>
      </w:pPr>
      <w:r>
        <w:rPr>
          <w:rFonts w:ascii="宋体" w:hAnsi="宋体" w:cs="宋体"/>
        </w:rPr>
        <w:t>D.4.06%</w:t>
      </w:r>
    </w:p>
    <w:p w14:paraId="5E3E74D9">
      <w:pPr>
        <w:jc w:val="left"/>
        <w:rPr>
          <w:rFonts w:ascii="宋体" w:hAnsi="宋体" w:cs="宋体"/>
        </w:rPr>
      </w:pPr>
      <w:r>
        <w:rPr>
          <w:rFonts w:ascii="宋体" w:hAnsi="宋体" w:cs="宋体"/>
        </w:rPr>
        <w:t>答案：D</w:t>
      </w:r>
    </w:p>
    <w:p w14:paraId="30A71883">
      <w:pPr>
        <w:jc w:val="left"/>
        <w:rPr>
          <w:rFonts w:ascii="宋体" w:hAnsi="宋体" w:cs="宋体"/>
        </w:rPr>
      </w:pPr>
      <w:r>
        <w:rPr>
          <w:rFonts w:ascii="宋体" w:hAnsi="宋体" w:cs="宋体"/>
        </w:rPr>
        <w:t>解析：季度收益率＝50/5000＝1%，年收益率（实际利率）＝（1+1%）</w:t>
      </w:r>
      <w:r>
        <w:rPr>
          <w:rFonts w:ascii="宋体" w:hAnsi="宋体" w:cs="宋体"/>
          <w:vertAlign w:val="superscript"/>
        </w:rPr>
        <w:t>4</w:t>
      </w:r>
      <w:r>
        <w:rPr>
          <w:rFonts w:ascii="宋体" w:hAnsi="宋体" w:cs="宋体"/>
        </w:rPr>
        <w:t>-1＝4.06%。</w:t>
      </w:r>
    </w:p>
    <w:p w14:paraId="659AF678">
      <w:pPr>
        <w:jc w:val="left"/>
        <w:rPr>
          <w:rFonts w:ascii="宋体" w:hAnsi="宋体" w:cs="宋体"/>
        </w:rPr>
      </w:pPr>
    </w:p>
    <w:p w14:paraId="503E18D7">
      <w:pPr>
        <w:jc w:val="left"/>
        <w:rPr>
          <w:rFonts w:ascii="宋体" w:hAnsi="宋体" w:cs="宋体"/>
        </w:rPr>
      </w:pPr>
      <w:r>
        <w:rPr>
          <w:rFonts w:hint="eastAsia" w:ascii="宋体" w:hAnsi="宋体" w:cs="宋体"/>
        </w:rPr>
        <w:t>（2）通货膨胀情况下的实际利率</w:t>
      </w:r>
    </w:p>
    <w:p w14:paraId="159563CE">
      <w:pPr>
        <w:jc w:val="left"/>
        <w:rPr>
          <w:rFonts w:ascii="宋体" w:hAnsi="宋体" w:cs="宋体"/>
        </w:rPr>
      </w:pPr>
      <w:r>
        <w:rPr>
          <w:rFonts w:hint="eastAsia" w:ascii="宋体" w:hAnsi="宋体" w:cs="宋体"/>
        </w:rPr>
        <w:t>在通货膨胀情况下，央行或其他提供资金借贷的机构所公布的利率是未调整通货膨胀因素的名义利率，即名义利率包括通货膨胀率。</w:t>
      </w:r>
    </w:p>
    <w:p w14:paraId="7F546477">
      <w:pPr>
        <w:jc w:val="left"/>
        <w:rPr>
          <w:rFonts w:ascii="宋体" w:hAnsi="宋体" w:cs="宋体"/>
        </w:rPr>
      </w:pPr>
      <w:r>
        <w:rPr>
          <w:rFonts w:hint="eastAsia" w:ascii="宋体" w:hAnsi="宋体" w:cs="宋体"/>
        </w:rPr>
        <w:t>实际利率是指剔除通货膨胀后储户或投资者得到利息回报的真实利率。</w:t>
      </w:r>
    </w:p>
    <w:p w14:paraId="4DC2286D">
      <w:pPr>
        <w:jc w:val="left"/>
        <w:rPr>
          <w:rFonts w:ascii="宋体" w:hAnsi="宋体" w:cs="宋体"/>
        </w:rPr>
      </w:pPr>
    </w:p>
    <w:p w14:paraId="5385CFFE">
      <w:pPr>
        <w:jc w:val="left"/>
        <w:rPr>
          <w:rFonts w:ascii="宋体" w:hAnsi="宋体" w:cs="宋体"/>
        </w:rPr>
      </w:pPr>
      <w:r>
        <w:rPr>
          <w:rFonts w:hint="eastAsia" w:ascii="宋体" w:hAnsi="宋体" w:cs="宋体"/>
        </w:rPr>
        <w:t>【例题】本金100元，实际利率5%，通货膨胀率为2%，则考虑通货膨胀因素，</w:t>
      </w:r>
    </w:p>
    <w:p w14:paraId="71AC8E69">
      <w:pPr>
        <w:jc w:val="left"/>
        <w:rPr>
          <w:rFonts w:ascii="宋体" w:hAnsi="宋体" w:cs="宋体"/>
        </w:rPr>
      </w:pPr>
      <w:r>
        <w:rPr>
          <w:rFonts w:hint="eastAsia" w:ascii="宋体" w:hAnsi="宋体" w:cs="宋体"/>
        </w:rPr>
        <w:t>一年后的本利和=100*（1+5%）*（1+2%）=107.1（元）</w:t>
      </w:r>
    </w:p>
    <w:p w14:paraId="7FF8A096">
      <w:pPr>
        <w:jc w:val="left"/>
        <w:rPr>
          <w:rFonts w:ascii="宋体" w:hAnsi="宋体" w:cs="宋体"/>
        </w:rPr>
      </w:pPr>
      <w:r>
        <w:rPr>
          <w:rFonts w:hint="eastAsia" w:ascii="宋体" w:hAnsi="宋体" w:cs="宋体"/>
        </w:rPr>
        <w:t>年利息=100*（1+5%）*（1+2%）-100 = 7.1（元）</w:t>
      </w:r>
    </w:p>
    <w:p w14:paraId="4ED45DCF">
      <w:pPr>
        <w:jc w:val="left"/>
        <w:rPr>
          <w:rFonts w:ascii="宋体" w:hAnsi="宋体" w:cs="宋体"/>
        </w:rPr>
      </w:pPr>
      <w:r>
        <w:rPr>
          <w:rFonts w:hint="eastAsia" w:ascii="宋体" w:hAnsi="宋体" w:cs="宋体"/>
        </w:rPr>
        <w:t>名义利率=【100*（1+5%）*（1+2%）-100】/100=（1+5%）*（1+2%）-1=7.1%</w:t>
      </w:r>
    </w:p>
    <w:p w14:paraId="626C95DA">
      <w:pPr>
        <w:jc w:val="left"/>
        <w:rPr>
          <w:rFonts w:ascii="宋体" w:hAnsi="宋体" w:cs="宋体"/>
        </w:rPr>
      </w:pPr>
      <w:r>
        <w:rPr>
          <w:rFonts w:hint="eastAsia" w:ascii="宋体" w:hAnsi="宋体" w:cs="宋体"/>
        </w:rPr>
        <w:t>用公式表示名义利率和实际利率之间的关系：</w:t>
      </w:r>
    </w:p>
    <w:p w14:paraId="07158ADD">
      <w:pPr>
        <w:jc w:val="left"/>
        <w:rPr>
          <w:rFonts w:ascii="宋体" w:hAnsi="宋体" w:cs="宋体"/>
        </w:rPr>
      </w:pPr>
      <w:r>
        <w:rPr>
          <w:rFonts w:hint="eastAsia" w:ascii="宋体" w:hAnsi="宋体" w:cs="宋体"/>
        </w:rPr>
        <w:t>1+名义利率=（1+实际利率）*（1+通货膨胀率）</w:t>
      </w:r>
    </w:p>
    <w:p w14:paraId="512247BF">
      <w:pPr>
        <w:jc w:val="left"/>
        <w:rPr>
          <w:rFonts w:ascii="宋体" w:hAnsi="宋体" w:cs="宋体"/>
        </w:rPr>
      </w:pPr>
      <w:r>
        <w:rPr>
          <w:rFonts w:hint="eastAsia" w:ascii="宋体" w:hAnsi="宋体" w:cs="宋体"/>
        </w:rPr>
        <w:t>实际利率=（1+名义利率）/（1+通货膨胀率）-1</w:t>
      </w:r>
    </w:p>
    <w:p w14:paraId="2C88EEC7">
      <w:pPr>
        <w:jc w:val="left"/>
        <w:rPr>
          <w:rFonts w:ascii="宋体" w:hAnsi="宋体" w:cs="宋体"/>
          <w:color w:val="FF0000"/>
        </w:rPr>
      </w:pPr>
      <w:r>
        <w:rPr>
          <w:rFonts w:hint="eastAsia" w:ascii="宋体" w:hAnsi="宋体" w:cs="宋体"/>
        </w:rPr>
        <w:t>公式说明，如果</w:t>
      </w:r>
      <w:r>
        <w:rPr>
          <w:rFonts w:hint="eastAsia" w:ascii="宋体" w:hAnsi="宋体" w:cs="宋体"/>
          <w:color w:val="FF0000"/>
        </w:rPr>
        <w:t>通货膨胀率大于名义利率，则实际利率为负数。</w:t>
      </w:r>
    </w:p>
    <w:p w14:paraId="412B2C7F">
      <w:pPr>
        <w:jc w:val="left"/>
        <w:rPr>
          <w:rFonts w:ascii="宋体" w:hAnsi="宋体" w:cs="宋体"/>
        </w:rPr>
      </w:pPr>
    </w:p>
    <w:p w14:paraId="7DDEA454">
      <w:pPr>
        <w:jc w:val="left"/>
        <w:rPr>
          <w:rFonts w:ascii="宋体" w:hAnsi="宋体" w:cs="宋体"/>
        </w:rPr>
      </w:pPr>
      <w:r>
        <w:rPr>
          <w:rFonts w:hint="eastAsia" w:ascii="宋体" w:hAnsi="宋体" w:cs="宋体"/>
        </w:rPr>
        <w:t>【单选题】（2024年）某债券名义利率6.5%，若通货膨胀率为2.5%，实际利率为（  ）。</w:t>
      </w:r>
    </w:p>
    <w:p w14:paraId="36147802">
      <w:pPr>
        <w:jc w:val="left"/>
        <w:rPr>
          <w:rFonts w:ascii="宋体" w:hAnsi="宋体" w:cs="宋体"/>
        </w:rPr>
      </w:pPr>
      <w:r>
        <w:rPr>
          <w:rFonts w:hint="eastAsia" w:ascii="宋体" w:hAnsi="宋体" w:cs="宋体"/>
        </w:rPr>
        <w:t xml:space="preserve">A.3.9%        B.3.76%        </w:t>
      </w:r>
    </w:p>
    <w:p w14:paraId="221E026A">
      <w:pPr>
        <w:jc w:val="left"/>
        <w:rPr>
          <w:rFonts w:ascii="宋体" w:hAnsi="宋体" w:cs="宋体"/>
        </w:rPr>
      </w:pPr>
      <w:r>
        <w:rPr>
          <w:rFonts w:hint="eastAsia" w:ascii="宋体" w:hAnsi="宋体" w:cs="宋体"/>
        </w:rPr>
        <w:t>C.6.34%       D.4.28%</w:t>
      </w:r>
    </w:p>
    <w:p w14:paraId="710EEED9">
      <w:pPr>
        <w:jc w:val="left"/>
        <w:rPr>
          <w:rFonts w:ascii="宋体" w:hAnsi="宋体" w:cs="宋体"/>
        </w:rPr>
      </w:pPr>
      <w:r>
        <w:rPr>
          <w:rFonts w:hint="eastAsia" w:ascii="宋体" w:hAnsi="宋体" w:cs="宋体"/>
        </w:rPr>
        <w:t>答案：A </w:t>
      </w:r>
    </w:p>
    <w:p w14:paraId="6BC980B0">
      <w:pPr>
        <w:jc w:val="left"/>
        <w:rPr>
          <w:rFonts w:ascii="宋体" w:hAnsi="宋体" w:cs="宋体"/>
        </w:rPr>
      </w:pPr>
      <w:r>
        <w:rPr>
          <w:rFonts w:hint="eastAsia" w:ascii="宋体" w:hAnsi="宋体" w:cs="宋体"/>
        </w:rPr>
        <w:t>解析：实际利率＝（1＋名义利率）/（1＋通货膨胀率）－1=（1＋6.5%）/（1＋2.5%）－1＝3.9%。</w:t>
      </w:r>
    </w:p>
    <w:p w14:paraId="05DE46B8">
      <w:pPr>
        <w:jc w:val="left"/>
        <w:rPr>
          <w:rFonts w:ascii="宋体" w:hAnsi="宋体" w:cs="宋体"/>
        </w:rPr>
      </w:pPr>
    </w:p>
    <w:p w14:paraId="79EBB306">
      <w:pPr>
        <w:jc w:val="left"/>
        <w:rPr>
          <w:rFonts w:ascii="宋体" w:hAnsi="宋体" w:cs="宋体"/>
        </w:rPr>
      </w:pPr>
      <w:r>
        <w:rPr>
          <w:rFonts w:hint="eastAsia" w:ascii="宋体" w:hAnsi="宋体" w:cs="宋体"/>
        </w:rPr>
        <w:t>【单选题】（2023年）某商业银行一年期存款利率为2.5%，若通货膨胀率为 2%，则年实际利率为（  ）。</w:t>
      </w:r>
    </w:p>
    <w:p w14:paraId="590B2EB1">
      <w:pPr>
        <w:jc w:val="left"/>
        <w:rPr>
          <w:rFonts w:ascii="宋体" w:hAnsi="宋体" w:cs="宋体"/>
        </w:rPr>
      </w:pPr>
      <w:r>
        <w:rPr>
          <w:rFonts w:hint="eastAsia" w:ascii="宋体" w:hAnsi="宋体" w:cs="宋体"/>
        </w:rPr>
        <w:t xml:space="preserve">A.2.45%   </w:t>
      </w:r>
    </w:p>
    <w:p w14:paraId="4E4FEF81">
      <w:pPr>
        <w:jc w:val="left"/>
        <w:rPr>
          <w:rFonts w:ascii="宋体" w:hAnsi="宋体" w:cs="宋体"/>
        </w:rPr>
      </w:pPr>
      <w:r>
        <w:rPr>
          <w:rFonts w:hint="eastAsia" w:ascii="宋体" w:hAnsi="宋体" w:cs="宋体"/>
        </w:rPr>
        <w:t xml:space="preserve">B.0.49%       </w:t>
      </w:r>
    </w:p>
    <w:p w14:paraId="3FFC027B">
      <w:pPr>
        <w:jc w:val="left"/>
        <w:rPr>
          <w:rFonts w:ascii="宋体" w:hAnsi="宋体" w:cs="宋体"/>
        </w:rPr>
      </w:pPr>
      <w:r>
        <w:rPr>
          <w:rFonts w:hint="eastAsia" w:ascii="宋体" w:hAnsi="宋体" w:cs="宋体"/>
        </w:rPr>
        <w:t xml:space="preserve">C.0.45%        </w:t>
      </w:r>
    </w:p>
    <w:p w14:paraId="1AE2A22B">
      <w:pPr>
        <w:jc w:val="left"/>
        <w:rPr>
          <w:rFonts w:ascii="宋体" w:hAnsi="宋体" w:cs="宋体"/>
        </w:rPr>
      </w:pPr>
      <w:r>
        <w:rPr>
          <w:rFonts w:hint="eastAsia" w:ascii="宋体" w:hAnsi="宋体" w:cs="宋体"/>
        </w:rPr>
        <w:t>D.0.42%</w:t>
      </w:r>
    </w:p>
    <w:p w14:paraId="5DC43716">
      <w:pPr>
        <w:jc w:val="left"/>
        <w:rPr>
          <w:rFonts w:ascii="宋体" w:hAnsi="宋体" w:cs="宋体"/>
        </w:rPr>
      </w:pPr>
      <w:r>
        <w:rPr>
          <w:rFonts w:hint="eastAsia" w:ascii="宋体" w:hAnsi="宋体" w:cs="宋体"/>
        </w:rPr>
        <w:t>答案：B</w:t>
      </w:r>
    </w:p>
    <w:p w14:paraId="406AAF80">
      <w:pPr>
        <w:jc w:val="left"/>
        <w:rPr>
          <w:rFonts w:hint="eastAsia" w:ascii="宋体" w:hAnsi="宋体" w:cs="宋体"/>
        </w:rPr>
      </w:pPr>
      <w:r>
        <w:rPr>
          <w:rFonts w:hint="eastAsia" w:ascii="宋体" w:hAnsi="宋体" w:cs="宋体"/>
        </w:rPr>
        <w:t>解析：年实际利率=（1+2.5%）/（1+2%）-1=0.49%。</w:t>
      </w:r>
    </w:p>
    <w:p w14:paraId="585EB0B2">
      <w:pPr>
        <w:overflowPunct w:val="0"/>
        <w:jc w:val="center"/>
        <w:rPr>
          <w:rFonts w:hint="eastAsia" w:ascii="宋体" w:hAnsi="宋体" w:cs="宋体"/>
          <w:b/>
          <w:bCs/>
        </w:rPr>
      </w:pPr>
      <w:r>
        <w:rPr>
          <w:rFonts w:hint="eastAsia" w:ascii="宋体" w:hAnsi="宋体" w:cs="宋体"/>
          <w:b/>
          <w:bCs/>
        </w:rPr>
        <w:t>第二节  收益与风险</w:t>
      </w:r>
    </w:p>
    <w:p w14:paraId="5EF560AE">
      <w:pPr>
        <w:jc w:val="left"/>
        <w:rPr>
          <w:rFonts w:ascii="宋体" w:hAnsi="宋体" w:cs="宋体"/>
        </w:rPr>
      </w:pPr>
      <w:r>
        <w:rPr>
          <w:rFonts w:hint="eastAsia" w:ascii="宋体" w:hAnsi="宋体" w:cs="宋体"/>
        </w:rPr>
        <w:drawing>
          <wp:inline distT="0" distB="0" distL="114300" distR="114300">
            <wp:extent cx="4109085" cy="3448685"/>
            <wp:effectExtent l="0" t="0" r="5715"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a:stretch>
                      <a:fillRect/>
                    </a:stretch>
                  </pic:blipFill>
                  <pic:spPr>
                    <a:xfrm>
                      <a:off x="0" y="0"/>
                      <a:ext cx="4124268" cy="3461789"/>
                    </a:xfrm>
                    <a:prstGeom prst="rect">
                      <a:avLst/>
                    </a:prstGeom>
                    <a:noFill/>
                    <a:ln>
                      <a:noFill/>
                    </a:ln>
                  </pic:spPr>
                </pic:pic>
              </a:graphicData>
            </a:graphic>
          </wp:inline>
        </w:drawing>
      </w:r>
    </w:p>
    <w:p w14:paraId="4B23F3D3">
      <w:pPr>
        <w:jc w:val="left"/>
        <w:rPr>
          <w:rFonts w:ascii="宋体" w:hAnsi="宋体" w:cs="宋体"/>
          <w:color w:val="FF0000"/>
        </w:rPr>
      </w:pPr>
      <w:r>
        <w:rPr>
          <w:rFonts w:hint="eastAsia" w:ascii="宋体" w:hAnsi="宋体" w:cs="宋体"/>
          <w:color w:val="FF0000"/>
        </w:rPr>
        <w:t>【知识点1】资产收益与收益率</w:t>
      </w:r>
    </w:p>
    <w:p w14:paraId="4A5E6552">
      <w:pPr>
        <w:jc w:val="left"/>
        <w:rPr>
          <w:rFonts w:ascii="宋体" w:hAnsi="宋体" w:cs="宋体"/>
          <w:color w:val="FF0000"/>
        </w:rPr>
      </w:pPr>
      <w:r>
        <w:rPr>
          <w:rFonts w:hint="eastAsia" w:ascii="宋体" w:hAnsi="宋体" w:cs="宋体"/>
          <w:color w:val="FF0000"/>
        </w:rPr>
        <w:t>（一）资产收益</w:t>
      </w:r>
    </w:p>
    <w:p w14:paraId="17F87018">
      <w:pPr>
        <w:jc w:val="left"/>
        <w:rPr>
          <w:rFonts w:ascii="宋体" w:hAnsi="宋体" w:cs="宋体"/>
        </w:rPr>
      </w:pPr>
      <w:r>
        <w:rPr>
          <w:rFonts w:hint="eastAsia" w:ascii="宋体" w:hAnsi="宋体" w:cs="宋体"/>
        </w:rPr>
        <w:t>资产的收益是指资产的价值在一定时期内的增值。一般情况下有两种表述资产收益的方式。</w:t>
      </w:r>
    </w:p>
    <w:p w14:paraId="35B070F6">
      <w:pPr>
        <w:jc w:val="left"/>
        <w:rPr>
          <w:rFonts w:ascii="宋体" w:hAnsi="宋体" w:cs="宋体"/>
        </w:rPr>
      </w:pPr>
      <w:r>
        <w:rPr>
          <w:rFonts w:hint="eastAsia" w:ascii="宋体" w:hAnsi="宋体" w:cs="宋体"/>
        </w:rPr>
        <w:t>1.第一种方式是以</w:t>
      </w:r>
      <w:r>
        <w:rPr>
          <w:rFonts w:hint="eastAsia" w:ascii="宋体" w:hAnsi="宋体" w:cs="宋体"/>
          <w:color w:val="FF0000"/>
        </w:rPr>
        <w:t>金额</w:t>
      </w:r>
      <w:r>
        <w:rPr>
          <w:rFonts w:hint="eastAsia" w:ascii="宋体" w:hAnsi="宋体" w:cs="宋体"/>
        </w:rPr>
        <w:t>表示，称为资产的收益额。通常以资产价值在一定期限内的增值量来表示：一是期限内资产的现金净收入（如股利），二是期末资产的价值相对于期初价值的升值（如资本利得）。</w:t>
      </w:r>
    </w:p>
    <w:p w14:paraId="416887E9">
      <w:pPr>
        <w:jc w:val="left"/>
        <w:rPr>
          <w:rFonts w:ascii="宋体" w:hAnsi="宋体" w:cs="宋体"/>
        </w:rPr>
      </w:pPr>
      <w:r>
        <w:rPr>
          <w:rFonts w:hint="eastAsia" w:ascii="宋体" w:hAnsi="宋体" w:cs="宋体"/>
        </w:rPr>
        <w:t>2.第二种方式用百分比表示，称为资产的</w:t>
      </w:r>
      <w:r>
        <w:rPr>
          <w:rFonts w:hint="eastAsia" w:ascii="宋体" w:hAnsi="宋体" w:cs="宋体"/>
          <w:color w:val="FF0000"/>
        </w:rPr>
        <w:t>收益率或报酬率</w:t>
      </w:r>
      <w:r>
        <w:rPr>
          <w:rFonts w:hint="eastAsia" w:ascii="宋体" w:hAnsi="宋体" w:cs="宋体"/>
        </w:rPr>
        <w:t>，是资产增值量与期初资产价值的比值。</w:t>
      </w:r>
    </w:p>
    <w:p w14:paraId="62F5ABC1">
      <w:pPr>
        <w:jc w:val="left"/>
        <w:rPr>
          <w:rFonts w:ascii="宋体" w:hAnsi="宋体" w:cs="宋体"/>
        </w:rPr>
      </w:pPr>
      <w:r>
        <w:rPr>
          <w:rFonts w:hint="eastAsia" w:ascii="宋体" w:hAnsi="宋体" w:cs="宋体"/>
        </w:rPr>
        <w:t>资产的收益率＝利息（股息）收益率+资本利得收益率</w:t>
      </w:r>
    </w:p>
    <w:p w14:paraId="5FF06F4B">
      <w:pPr>
        <w:jc w:val="left"/>
        <w:rPr>
          <w:rFonts w:ascii="宋体" w:hAnsi="宋体" w:cs="宋体"/>
          <w:color w:val="FF0000"/>
        </w:rPr>
      </w:pPr>
      <w:r>
        <w:rPr>
          <w:rFonts w:hint="eastAsia" w:ascii="宋体" w:hAnsi="宋体" w:cs="宋体"/>
          <w:color w:val="FF0000"/>
        </w:rPr>
        <w:t>（二）资产收益率</w:t>
      </w:r>
    </w:p>
    <w:p w14:paraId="3744E1E0">
      <w:pPr>
        <w:jc w:val="left"/>
        <w:rPr>
          <w:rFonts w:ascii="宋体" w:hAnsi="宋体" w:cs="宋体"/>
          <w:color w:val="FF0000"/>
        </w:rPr>
      </w:pPr>
      <w:r>
        <w:rPr>
          <w:rFonts w:hint="eastAsia" w:ascii="宋体" w:hAnsi="宋体" w:cs="宋体"/>
          <w:color w:val="FF0000"/>
        </w:rPr>
        <w:t>1.实际收益率</w:t>
      </w:r>
    </w:p>
    <w:p w14:paraId="488E41D9">
      <w:pPr>
        <w:jc w:val="left"/>
        <w:rPr>
          <w:rFonts w:ascii="宋体" w:hAnsi="宋体" w:cs="宋体"/>
        </w:rPr>
      </w:pPr>
      <w:r>
        <w:rPr>
          <w:rFonts w:hint="eastAsia" w:ascii="宋体" w:hAnsi="宋体" w:cs="宋体"/>
        </w:rPr>
        <w:t>已实现的或者确定可以实现的资产收益率，也即已实现或确定可以实现的利息（股息）率与资本利得收益率之和。存在通货膨胀时，扣除通货膨胀率的影响，剩余的才是真实的收益率。</w:t>
      </w:r>
    </w:p>
    <w:p w14:paraId="1CB1B34D">
      <w:pPr>
        <w:jc w:val="left"/>
        <w:rPr>
          <w:rFonts w:ascii="宋体" w:hAnsi="宋体" w:cs="宋体"/>
          <w:color w:val="FF0000"/>
        </w:rPr>
      </w:pPr>
      <w:r>
        <w:rPr>
          <w:rFonts w:hint="eastAsia" w:ascii="宋体" w:hAnsi="宋体" w:cs="宋体"/>
          <w:color w:val="FF0000"/>
        </w:rPr>
        <w:t>2.预期收益率</w:t>
      </w:r>
    </w:p>
    <w:p w14:paraId="7FD63BEB">
      <w:pPr>
        <w:jc w:val="left"/>
        <w:rPr>
          <w:rFonts w:ascii="宋体" w:hAnsi="宋体" w:cs="宋体"/>
        </w:rPr>
      </w:pPr>
      <w:r>
        <w:rPr>
          <w:rFonts w:hint="eastAsia" w:ascii="宋体" w:hAnsi="宋体" w:cs="宋体"/>
        </w:rPr>
        <w:t>预期收益率也称为“期望收益率”，是指在不确定的条件下，预测的某资产未来可能实现的收益率。</w:t>
      </w:r>
    </w:p>
    <w:p w14:paraId="44EF2E72">
      <w:pPr>
        <w:jc w:val="left"/>
        <w:rPr>
          <w:rFonts w:ascii="宋体" w:hAnsi="宋体" w:cs="宋体"/>
          <w:color w:val="FF0000"/>
        </w:rPr>
      </w:pPr>
      <w:r>
        <w:rPr>
          <w:rFonts w:hint="eastAsia" w:ascii="宋体" w:hAnsi="宋体" w:cs="宋体"/>
          <w:color w:val="FF0000"/>
        </w:rPr>
        <w:t>3.必要收益率</w:t>
      </w:r>
    </w:p>
    <w:p w14:paraId="3503E483">
      <w:pPr>
        <w:jc w:val="left"/>
        <w:rPr>
          <w:rFonts w:ascii="宋体" w:hAnsi="宋体" w:cs="宋体"/>
        </w:rPr>
      </w:pPr>
      <w:r>
        <w:rPr>
          <w:rFonts w:hint="eastAsia" w:ascii="宋体" w:hAnsi="宋体" w:cs="宋体"/>
        </w:rPr>
        <w:t>必要收益率也称最低收益率或最低要求的收益率，表示投资者对某项资产合理要求的最低收益率。</w:t>
      </w:r>
    </w:p>
    <w:p w14:paraId="06EFEA28">
      <w:pPr>
        <w:jc w:val="left"/>
        <w:rPr>
          <w:rFonts w:ascii="宋体" w:hAnsi="宋体" w:cs="宋体"/>
        </w:rPr>
      </w:pPr>
      <w:r>
        <w:rPr>
          <w:rFonts w:hint="eastAsia" w:ascii="宋体" w:hAnsi="宋体" w:cs="宋体"/>
        </w:rPr>
        <w:t>必要收益率＝无风险收益率＋风险收益率＝纯粹利率＋通货膨胀补偿率＋风险收益率</w:t>
      </w:r>
    </w:p>
    <w:p w14:paraId="5AAEB981">
      <w:pPr>
        <w:jc w:val="left"/>
        <w:rPr>
          <w:rFonts w:ascii="宋体" w:hAnsi="宋体" w:cs="宋体"/>
        </w:rPr>
      </w:pPr>
      <w:r>
        <w:rPr>
          <w:rFonts w:hint="eastAsia" w:ascii="宋体" w:hAnsi="宋体" w:cs="宋体"/>
        </w:rPr>
        <w:t>（1）无风险收益率：也称无风险利率，是指无风险资产的收益率。它的大小由纯粹利率和通货膨胀补贴两部分组组成。纯粹利率也称资金的时间价值。通常用短期国债利率近似地代替无风险收益率。</w:t>
      </w:r>
    </w:p>
    <w:p w14:paraId="00CD59F5">
      <w:pPr>
        <w:jc w:val="left"/>
        <w:rPr>
          <w:rFonts w:hint="eastAsia" w:ascii="宋体" w:hAnsi="宋体" w:cs="宋体"/>
        </w:rPr>
      </w:pPr>
      <w:r>
        <w:rPr>
          <w:rFonts w:hint="eastAsia" w:ascii="宋体" w:hAnsi="宋体" w:cs="宋体"/>
        </w:rPr>
        <w:t>（2）风险收益率：是指某资产持有者因承担该资产的风险而要求的超过无风险收益率的额外收益。它的大小取决于两个因素：一是风险的大小；二是投资者对风险的偏好。</w:t>
      </w:r>
    </w:p>
    <w:p w14:paraId="6623169A">
      <w:pPr>
        <w:overflowPunct w:val="0"/>
        <w:jc w:val="center"/>
        <w:rPr>
          <w:rFonts w:ascii="宋体" w:hAnsi="宋体" w:cs="宋体"/>
          <w:b/>
          <w:bCs/>
        </w:rPr>
      </w:pPr>
      <w:r>
        <w:rPr>
          <w:rFonts w:hint="eastAsia" w:ascii="宋体" w:hAnsi="宋体" w:cs="宋体"/>
          <w:b/>
          <w:bCs/>
        </w:rPr>
        <w:t>第二节  收益与风险</w:t>
      </w:r>
    </w:p>
    <w:p w14:paraId="518B060C">
      <w:pPr>
        <w:jc w:val="left"/>
        <w:rPr>
          <w:rFonts w:ascii="宋体" w:hAnsi="宋体" w:cs="宋体"/>
          <w:color w:val="FF0000"/>
        </w:rPr>
      </w:pPr>
      <w:r>
        <w:rPr>
          <w:rFonts w:hint="eastAsia" w:ascii="宋体" w:hAnsi="宋体" w:cs="宋体"/>
          <w:color w:val="FF0000"/>
        </w:rPr>
        <w:t>【知识点2】资产的风险及其衡量</w:t>
      </w:r>
    </w:p>
    <w:p w14:paraId="1CDB5805">
      <w:pPr>
        <w:jc w:val="left"/>
        <w:rPr>
          <w:rFonts w:ascii="宋体" w:hAnsi="宋体" w:cs="宋体"/>
          <w:color w:val="FF0000"/>
        </w:rPr>
      </w:pPr>
      <w:r>
        <w:rPr>
          <w:rFonts w:hint="eastAsia" w:ascii="宋体" w:hAnsi="宋体" w:cs="宋体"/>
          <w:color w:val="FF0000"/>
        </w:rPr>
        <w:t>（一）风险的概念</w:t>
      </w:r>
    </w:p>
    <w:p w14:paraId="6BE3C1B6">
      <w:pPr>
        <w:jc w:val="left"/>
        <w:rPr>
          <w:rFonts w:ascii="宋体" w:hAnsi="宋体" w:cs="宋体"/>
        </w:rPr>
      </w:pPr>
      <w:r>
        <w:rPr>
          <w:rFonts w:hint="eastAsia" w:ascii="宋体" w:hAnsi="宋体" w:cs="宋体"/>
        </w:rPr>
        <w:t>风险是指</w:t>
      </w:r>
      <w:r>
        <w:rPr>
          <w:rFonts w:hint="eastAsia" w:ascii="宋体" w:hAnsi="宋体" w:cs="宋体"/>
          <w:color w:val="FF0000"/>
        </w:rPr>
        <w:t>收益的不确定性</w:t>
      </w:r>
      <w:r>
        <w:rPr>
          <w:rFonts w:hint="eastAsia" w:ascii="宋体" w:hAnsi="宋体" w:cs="宋体"/>
        </w:rPr>
        <w:t>。企业风险，是指对企业的战略及经营目标实现产生影响的不确定性。从财务管理的角度看，风险是企业在各项财务活动过程中，由于各种难以预料或无法控制的因素作用，使企业的实际收益与预计收益发生背离，从而蒙受经济损失的可能性。</w:t>
      </w:r>
    </w:p>
    <w:p w14:paraId="4248AE71">
      <w:pPr>
        <w:jc w:val="left"/>
        <w:rPr>
          <w:rFonts w:ascii="宋体" w:hAnsi="宋体" w:cs="宋体"/>
          <w:color w:val="FF0000"/>
        </w:rPr>
      </w:pPr>
      <w:r>
        <w:rPr>
          <w:rFonts w:hint="eastAsia" w:ascii="宋体" w:hAnsi="宋体" w:cs="宋体"/>
          <w:color w:val="FF0000"/>
        </w:rPr>
        <w:t>（二）风险衡量</w:t>
      </w:r>
    </w:p>
    <w:p w14:paraId="3ED83D2A">
      <w:pPr>
        <w:jc w:val="left"/>
        <w:rPr>
          <w:rFonts w:ascii="宋体" w:hAnsi="宋体" w:cs="宋体"/>
          <w:color w:val="FF0000"/>
        </w:rPr>
      </w:pPr>
      <w:r>
        <w:rPr>
          <w:rFonts w:hint="eastAsia" w:ascii="宋体" w:hAnsi="宋体" w:cs="宋体"/>
          <w:color w:val="FF0000"/>
        </w:rPr>
        <w:t>1.概率分布</w:t>
      </w:r>
    </w:p>
    <w:p w14:paraId="1B7C5C15">
      <w:pPr>
        <w:jc w:val="left"/>
        <w:rPr>
          <w:rFonts w:ascii="宋体" w:hAnsi="宋体" w:cs="宋体"/>
        </w:rPr>
      </w:pPr>
      <w:r>
        <w:rPr>
          <w:rFonts w:hint="eastAsia" w:ascii="宋体" w:hAnsi="宋体" w:cs="宋体"/>
        </w:rPr>
        <w:t>随机事件所有可能结果出现的概率之和等于1。</w:t>
      </w:r>
    </w:p>
    <w:p w14:paraId="589D94E8">
      <w:pPr>
        <w:jc w:val="left"/>
        <w:rPr>
          <w:rFonts w:ascii="宋体" w:hAnsi="宋体" w:cs="宋体"/>
          <w:color w:val="FF0000"/>
        </w:rPr>
      </w:pPr>
      <w:r>
        <w:rPr>
          <w:rFonts w:hint="eastAsia" w:ascii="宋体" w:hAnsi="宋体" w:cs="宋体"/>
          <w:color w:val="FF0000"/>
        </w:rPr>
        <w:t>2.期望值</w:t>
      </w:r>
    </w:p>
    <w:p w14:paraId="4BE3663D">
      <w:pPr>
        <w:jc w:val="left"/>
        <w:rPr>
          <w:rFonts w:ascii="宋体" w:hAnsi="宋体" w:cs="宋体"/>
        </w:rPr>
      </w:pPr>
      <w:r>
        <w:rPr>
          <w:rFonts w:hint="eastAsia" w:ascii="宋体" w:hAnsi="宋体" w:cs="宋体"/>
        </w:rPr>
        <w:t>期望值，即</w:t>
      </w:r>
      <w:r>
        <w:rPr>
          <w:rFonts w:hint="eastAsia" w:ascii="宋体" w:hAnsi="宋体" w:cs="宋体"/>
          <w:color w:val="FF0000"/>
        </w:rPr>
        <w:t>预期收益率，</w:t>
      </w:r>
      <w:r>
        <w:rPr>
          <w:rFonts w:hint="eastAsia" w:ascii="宋体" w:hAnsi="宋体" w:cs="宋体"/>
        </w:rPr>
        <w:t>是一个概率分布中的所有可能结果，以各自相应的概率为权数计算的加权平均值。</w:t>
      </w:r>
    </w:p>
    <w:p w14:paraId="703237EB">
      <w:pPr>
        <w:jc w:val="left"/>
        <w:rPr>
          <w:rFonts w:ascii="宋体" w:hAnsi="宋体" w:cs="宋体"/>
        </w:rPr>
      </w:pPr>
      <w:r>
        <w:rPr>
          <w:rFonts w:hint="eastAsia" w:ascii="宋体" w:hAnsi="宋体" w:cs="宋体"/>
        </w:rPr>
        <w:drawing>
          <wp:inline distT="0" distB="0" distL="114300" distR="114300">
            <wp:extent cx="1138555" cy="526415"/>
            <wp:effectExtent l="0" t="0" r="444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a:stretch>
                      <a:fillRect/>
                    </a:stretch>
                  </pic:blipFill>
                  <pic:spPr>
                    <a:xfrm>
                      <a:off x="0" y="0"/>
                      <a:ext cx="1143724" cy="528673"/>
                    </a:xfrm>
                    <a:prstGeom prst="rect">
                      <a:avLst/>
                    </a:prstGeom>
                    <a:noFill/>
                    <a:ln>
                      <a:noFill/>
                    </a:ln>
                  </pic:spPr>
                </pic:pic>
              </a:graphicData>
            </a:graphic>
          </wp:inline>
        </w:drawing>
      </w:r>
    </w:p>
    <w:p w14:paraId="2250258B">
      <w:pPr>
        <w:jc w:val="left"/>
        <w:rPr>
          <w:rFonts w:ascii="宋体" w:hAnsi="宋体" w:cs="宋体"/>
        </w:rPr>
      </w:pPr>
      <w:r>
        <w:rPr>
          <w:rFonts w:ascii="宋体" w:hAnsi="宋体" w:cs="宋体"/>
        </w:rPr>
        <w:t>其中：X</w:t>
      </w:r>
      <w:r>
        <w:rPr>
          <w:rFonts w:ascii="宋体" w:hAnsi="宋体" w:cs="宋体"/>
          <w:vertAlign w:val="subscript"/>
        </w:rPr>
        <w:t>i</w:t>
      </w:r>
      <w:r>
        <w:rPr>
          <w:rFonts w:ascii="宋体" w:hAnsi="宋体" w:cs="宋体"/>
        </w:rPr>
        <w:t>表示第i种情况可能出现的结果，表示第i种情况可能出现的概率。</w:t>
      </w:r>
    </w:p>
    <w:p w14:paraId="5C928752">
      <w:pPr>
        <w:jc w:val="left"/>
        <w:rPr>
          <w:rFonts w:ascii="宋体" w:hAnsi="宋体" w:cs="宋体"/>
        </w:rPr>
      </w:pPr>
      <w:r>
        <w:rPr>
          <w:rFonts w:hint="eastAsia" w:ascii="宋体" w:hAnsi="宋体" w:cs="宋体"/>
        </w:rPr>
        <w:t>【例】某企业有A、B两个投资项目，两个投资项目的收益率及其概率分布情况如下表所示，试计算两个项目的期望收益率。</w:t>
      </w:r>
    </w:p>
    <w:p w14:paraId="1D36CFFA">
      <w:pPr>
        <w:jc w:val="left"/>
        <w:rPr>
          <w:rFonts w:hint="eastAsia" w:ascii="宋体" w:hAnsi="宋体" w:cs="宋体"/>
        </w:rPr>
      </w:pPr>
      <w:r>
        <w:rPr>
          <w:rFonts w:hint="eastAsia" w:ascii="宋体" w:hAnsi="宋体" w:cs="宋体"/>
        </w:rPr>
        <w:t>A项目和B项目投资收益率的概率分布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2026"/>
        <w:gridCol w:w="2028"/>
        <w:gridCol w:w="2028"/>
        <w:gridCol w:w="2028"/>
      </w:tblGrid>
      <w:tr w14:paraId="44F5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1BD9DD9A">
            <w:pPr>
              <w:rPr>
                <w:rFonts w:ascii="宋体" w:hAnsi="宋体" w:cs="宋体"/>
              </w:rPr>
            </w:pPr>
            <w:r>
              <w:rPr>
                <w:rFonts w:hint="eastAsia" w:ascii="宋体" w:hAnsi="宋体" w:cs="宋体"/>
              </w:rPr>
              <w:t>项目实施情况</w:t>
            </w:r>
          </w:p>
        </w:tc>
        <w:tc>
          <w:tcPr>
            <w:tcW w:w="1999" w:type="pct"/>
            <w:gridSpan w:val="2"/>
          </w:tcPr>
          <w:p w14:paraId="3AF5D8A0">
            <w:pPr>
              <w:jc w:val="left"/>
              <w:rPr>
                <w:rFonts w:ascii="宋体" w:hAnsi="宋体" w:cs="宋体"/>
              </w:rPr>
            </w:pPr>
            <w:r>
              <w:rPr>
                <w:rFonts w:hint="eastAsia" w:ascii="宋体" w:hAnsi="宋体" w:cs="宋体"/>
              </w:rPr>
              <w:t>该种情况出现的概率</w:t>
            </w:r>
          </w:p>
        </w:tc>
        <w:tc>
          <w:tcPr>
            <w:tcW w:w="2000" w:type="pct"/>
            <w:gridSpan w:val="2"/>
          </w:tcPr>
          <w:p w14:paraId="4B7E1B4B">
            <w:pPr>
              <w:jc w:val="left"/>
              <w:rPr>
                <w:rFonts w:ascii="宋体" w:hAnsi="宋体" w:cs="宋体"/>
              </w:rPr>
            </w:pPr>
            <w:r>
              <w:rPr>
                <w:rFonts w:hint="eastAsia" w:ascii="宋体" w:hAnsi="宋体" w:cs="宋体"/>
              </w:rPr>
              <w:t>投资收益率</w:t>
            </w:r>
          </w:p>
        </w:tc>
      </w:tr>
      <w:tr w14:paraId="271F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51EB3549">
            <w:pPr>
              <w:jc w:val="left"/>
              <w:rPr>
                <w:rFonts w:ascii="宋体" w:hAnsi="宋体" w:cs="宋体"/>
              </w:rPr>
            </w:pPr>
          </w:p>
        </w:tc>
        <w:tc>
          <w:tcPr>
            <w:tcW w:w="999" w:type="pct"/>
          </w:tcPr>
          <w:p w14:paraId="0CCB1FA2">
            <w:pPr>
              <w:rPr>
                <w:rFonts w:ascii="宋体" w:hAnsi="宋体" w:cs="宋体"/>
              </w:rPr>
            </w:pPr>
            <w:r>
              <w:rPr>
                <w:rFonts w:hint="eastAsia" w:ascii="宋体" w:hAnsi="宋体" w:cs="宋体"/>
              </w:rPr>
              <w:t>项目A</w:t>
            </w:r>
          </w:p>
        </w:tc>
        <w:tc>
          <w:tcPr>
            <w:tcW w:w="999" w:type="pct"/>
          </w:tcPr>
          <w:p w14:paraId="73EB5248">
            <w:pPr>
              <w:rPr>
                <w:rFonts w:ascii="宋体" w:hAnsi="宋体" w:cs="宋体"/>
              </w:rPr>
            </w:pPr>
            <w:r>
              <w:rPr>
                <w:rFonts w:hint="eastAsia" w:ascii="宋体" w:hAnsi="宋体" w:cs="宋体"/>
              </w:rPr>
              <w:t>项目B</w:t>
            </w:r>
          </w:p>
        </w:tc>
        <w:tc>
          <w:tcPr>
            <w:tcW w:w="1000" w:type="pct"/>
          </w:tcPr>
          <w:p w14:paraId="51733962">
            <w:pPr>
              <w:rPr>
                <w:rFonts w:ascii="宋体" w:hAnsi="宋体" w:cs="宋体"/>
              </w:rPr>
            </w:pPr>
            <w:r>
              <w:rPr>
                <w:rFonts w:hint="eastAsia" w:ascii="宋体" w:hAnsi="宋体" w:cs="宋体"/>
              </w:rPr>
              <w:t>项目A</w:t>
            </w:r>
          </w:p>
        </w:tc>
        <w:tc>
          <w:tcPr>
            <w:tcW w:w="1000" w:type="pct"/>
          </w:tcPr>
          <w:p w14:paraId="0D3010EF">
            <w:pPr>
              <w:rPr>
                <w:rFonts w:ascii="宋体" w:hAnsi="宋体" w:cs="宋体"/>
              </w:rPr>
            </w:pPr>
            <w:r>
              <w:rPr>
                <w:rFonts w:hint="eastAsia" w:ascii="宋体" w:hAnsi="宋体" w:cs="宋体"/>
              </w:rPr>
              <w:t>项目B</w:t>
            </w:r>
          </w:p>
        </w:tc>
      </w:tr>
      <w:tr w14:paraId="7DE1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902F953">
            <w:pPr>
              <w:rPr>
                <w:rFonts w:ascii="宋体" w:hAnsi="宋体" w:cs="宋体"/>
              </w:rPr>
            </w:pPr>
            <w:r>
              <w:rPr>
                <w:rFonts w:hint="eastAsia" w:ascii="宋体" w:hAnsi="宋体" w:cs="宋体"/>
              </w:rPr>
              <w:t>好</w:t>
            </w:r>
          </w:p>
        </w:tc>
        <w:tc>
          <w:tcPr>
            <w:tcW w:w="999" w:type="pct"/>
          </w:tcPr>
          <w:p w14:paraId="3FEBFD76">
            <w:pPr>
              <w:rPr>
                <w:rFonts w:ascii="宋体" w:hAnsi="宋体" w:cs="宋体"/>
              </w:rPr>
            </w:pPr>
            <w:r>
              <w:rPr>
                <w:rFonts w:hint="eastAsia" w:ascii="宋体" w:hAnsi="宋体" w:cs="宋体"/>
              </w:rPr>
              <w:t>0.2</w:t>
            </w:r>
          </w:p>
        </w:tc>
        <w:tc>
          <w:tcPr>
            <w:tcW w:w="999" w:type="pct"/>
          </w:tcPr>
          <w:p w14:paraId="7830BF62">
            <w:pPr>
              <w:rPr>
                <w:rFonts w:ascii="宋体" w:hAnsi="宋体" w:cs="宋体"/>
              </w:rPr>
            </w:pPr>
            <w:r>
              <w:rPr>
                <w:rFonts w:hint="eastAsia" w:ascii="宋体" w:hAnsi="宋体" w:cs="宋体"/>
              </w:rPr>
              <w:t>0.3</w:t>
            </w:r>
          </w:p>
        </w:tc>
        <w:tc>
          <w:tcPr>
            <w:tcW w:w="1000" w:type="pct"/>
          </w:tcPr>
          <w:p w14:paraId="1E58E7AA">
            <w:pPr>
              <w:rPr>
                <w:rFonts w:ascii="宋体" w:hAnsi="宋体" w:cs="宋体"/>
              </w:rPr>
            </w:pPr>
            <w:r>
              <w:rPr>
                <w:rFonts w:hint="eastAsia" w:ascii="宋体" w:hAnsi="宋体" w:cs="宋体"/>
              </w:rPr>
              <w:t>15%</w:t>
            </w:r>
          </w:p>
        </w:tc>
        <w:tc>
          <w:tcPr>
            <w:tcW w:w="1000" w:type="pct"/>
          </w:tcPr>
          <w:p w14:paraId="3CAAC2CA">
            <w:pPr>
              <w:rPr>
                <w:rFonts w:ascii="宋体" w:hAnsi="宋体" w:cs="宋体"/>
              </w:rPr>
            </w:pPr>
            <w:r>
              <w:rPr>
                <w:rFonts w:hint="eastAsia" w:ascii="宋体" w:hAnsi="宋体" w:cs="宋体"/>
              </w:rPr>
              <w:t>20%</w:t>
            </w:r>
          </w:p>
        </w:tc>
      </w:tr>
      <w:tr w14:paraId="5BF9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7D2556D2">
            <w:pPr>
              <w:rPr>
                <w:rFonts w:ascii="宋体" w:hAnsi="宋体" w:cs="宋体"/>
              </w:rPr>
            </w:pPr>
            <w:r>
              <w:rPr>
                <w:rFonts w:hint="eastAsia" w:ascii="宋体" w:hAnsi="宋体" w:cs="宋体"/>
              </w:rPr>
              <w:t>一般</w:t>
            </w:r>
          </w:p>
        </w:tc>
        <w:tc>
          <w:tcPr>
            <w:tcW w:w="999" w:type="pct"/>
          </w:tcPr>
          <w:p w14:paraId="056B697C">
            <w:pPr>
              <w:rPr>
                <w:rFonts w:ascii="宋体" w:hAnsi="宋体" w:cs="宋体"/>
              </w:rPr>
            </w:pPr>
            <w:r>
              <w:rPr>
                <w:rFonts w:hint="eastAsia" w:ascii="宋体" w:hAnsi="宋体" w:cs="宋体"/>
              </w:rPr>
              <w:t>0.6</w:t>
            </w:r>
          </w:p>
        </w:tc>
        <w:tc>
          <w:tcPr>
            <w:tcW w:w="999" w:type="pct"/>
          </w:tcPr>
          <w:p w14:paraId="619368DC">
            <w:pPr>
              <w:rPr>
                <w:rFonts w:ascii="宋体" w:hAnsi="宋体" w:cs="宋体"/>
              </w:rPr>
            </w:pPr>
            <w:r>
              <w:rPr>
                <w:rFonts w:hint="eastAsia" w:ascii="宋体" w:hAnsi="宋体" w:cs="宋体"/>
              </w:rPr>
              <w:t>0.4</w:t>
            </w:r>
          </w:p>
        </w:tc>
        <w:tc>
          <w:tcPr>
            <w:tcW w:w="1000" w:type="pct"/>
          </w:tcPr>
          <w:p w14:paraId="40367337">
            <w:pPr>
              <w:rPr>
                <w:rFonts w:ascii="宋体" w:hAnsi="宋体" w:cs="宋体"/>
              </w:rPr>
            </w:pPr>
            <w:r>
              <w:rPr>
                <w:rFonts w:hint="eastAsia" w:ascii="宋体" w:hAnsi="宋体" w:cs="宋体"/>
              </w:rPr>
              <w:t>10%</w:t>
            </w:r>
          </w:p>
        </w:tc>
        <w:tc>
          <w:tcPr>
            <w:tcW w:w="1000" w:type="pct"/>
          </w:tcPr>
          <w:p w14:paraId="7A1B3538">
            <w:pPr>
              <w:rPr>
                <w:rFonts w:ascii="宋体" w:hAnsi="宋体" w:cs="宋体"/>
              </w:rPr>
            </w:pPr>
            <w:r>
              <w:rPr>
                <w:rFonts w:hint="eastAsia" w:ascii="宋体" w:hAnsi="宋体" w:cs="宋体"/>
              </w:rPr>
              <w:t>15%</w:t>
            </w:r>
          </w:p>
        </w:tc>
      </w:tr>
      <w:tr w14:paraId="7F9B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31CD9DA8">
            <w:pPr>
              <w:rPr>
                <w:rFonts w:ascii="宋体" w:hAnsi="宋体" w:cs="宋体"/>
              </w:rPr>
            </w:pPr>
            <w:r>
              <w:rPr>
                <w:rFonts w:hint="eastAsia" w:ascii="宋体" w:hAnsi="宋体" w:cs="宋体"/>
              </w:rPr>
              <w:t>差</w:t>
            </w:r>
          </w:p>
        </w:tc>
        <w:tc>
          <w:tcPr>
            <w:tcW w:w="999" w:type="pct"/>
          </w:tcPr>
          <w:p w14:paraId="46E3426F">
            <w:pPr>
              <w:rPr>
                <w:rFonts w:ascii="宋体" w:hAnsi="宋体" w:cs="宋体"/>
              </w:rPr>
            </w:pPr>
            <w:r>
              <w:rPr>
                <w:rFonts w:hint="eastAsia" w:ascii="宋体" w:hAnsi="宋体" w:cs="宋体"/>
              </w:rPr>
              <w:t>0.2</w:t>
            </w:r>
          </w:p>
        </w:tc>
        <w:tc>
          <w:tcPr>
            <w:tcW w:w="999" w:type="pct"/>
          </w:tcPr>
          <w:p w14:paraId="03F77BF3">
            <w:pPr>
              <w:rPr>
                <w:rFonts w:ascii="宋体" w:hAnsi="宋体" w:cs="宋体"/>
              </w:rPr>
            </w:pPr>
            <w:r>
              <w:rPr>
                <w:rFonts w:hint="eastAsia" w:ascii="宋体" w:hAnsi="宋体" w:cs="宋体"/>
              </w:rPr>
              <w:t>0.3</w:t>
            </w:r>
          </w:p>
        </w:tc>
        <w:tc>
          <w:tcPr>
            <w:tcW w:w="1000" w:type="pct"/>
          </w:tcPr>
          <w:p w14:paraId="53B1B77C">
            <w:pPr>
              <w:rPr>
                <w:rFonts w:ascii="宋体" w:hAnsi="宋体" w:cs="宋体"/>
              </w:rPr>
            </w:pPr>
            <w:r>
              <w:rPr>
                <w:rFonts w:hint="eastAsia" w:ascii="宋体" w:hAnsi="宋体" w:cs="宋体"/>
              </w:rPr>
              <w:t>0</w:t>
            </w:r>
          </w:p>
        </w:tc>
        <w:tc>
          <w:tcPr>
            <w:tcW w:w="1000" w:type="pct"/>
          </w:tcPr>
          <w:p w14:paraId="51E413EF">
            <w:pPr>
              <w:rPr>
                <w:rFonts w:ascii="宋体" w:hAnsi="宋体" w:cs="宋体"/>
              </w:rPr>
            </w:pPr>
            <w:r>
              <w:rPr>
                <w:rFonts w:hint="eastAsia" w:ascii="宋体" w:hAnsi="宋体" w:cs="宋体"/>
              </w:rPr>
              <w:t>-10%</w:t>
            </w:r>
          </w:p>
        </w:tc>
      </w:tr>
    </w:tbl>
    <w:p w14:paraId="4E3854DA">
      <w:pPr>
        <w:jc w:val="left"/>
        <w:rPr>
          <w:rFonts w:ascii="宋体" w:hAnsi="宋体" w:cs="宋体"/>
        </w:rPr>
      </w:pPr>
      <w:r>
        <w:rPr>
          <w:rFonts w:hint="eastAsia" w:ascii="宋体" w:hAnsi="宋体" w:cs="宋体"/>
        </w:rPr>
        <w:t>答案：项目A的期望投资收益率＝0.2×15%＋0.6×10%＋0.2×0＝9%</w:t>
      </w:r>
    </w:p>
    <w:p w14:paraId="3C04C1B3">
      <w:pPr>
        <w:jc w:val="left"/>
        <w:rPr>
          <w:rFonts w:ascii="宋体" w:hAnsi="宋体" w:cs="宋体"/>
        </w:rPr>
      </w:pPr>
      <w:r>
        <w:rPr>
          <w:rFonts w:hint="eastAsia" w:ascii="宋体" w:hAnsi="宋体" w:cs="宋体"/>
        </w:rPr>
        <w:t>项目B的期望投资收益率＝0.3×20%＋0.4×15%＋0.3×（-10%）＝9%</w:t>
      </w:r>
    </w:p>
    <w:p w14:paraId="7E6E36DB">
      <w:pPr>
        <w:jc w:val="left"/>
        <w:rPr>
          <w:rFonts w:ascii="宋体" w:hAnsi="宋体" w:cs="宋体"/>
        </w:rPr>
      </w:pPr>
      <w:r>
        <w:rPr>
          <w:rFonts w:hint="eastAsia" w:ascii="宋体" w:hAnsi="宋体" w:cs="宋体"/>
        </w:rPr>
        <w:t>思考题：以下四种可能性发生的概率均为25%</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689"/>
        <w:gridCol w:w="1689"/>
        <w:gridCol w:w="1689"/>
        <w:gridCol w:w="1690"/>
        <w:gridCol w:w="1690"/>
      </w:tblGrid>
      <w:tr w14:paraId="58EC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1654E689">
            <w:pPr>
              <w:jc w:val="left"/>
              <w:rPr>
                <w:rFonts w:ascii="宋体" w:hAnsi="宋体" w:cs="宋体"/>
              </w:rPr>
            </w:pPr>
            <w:r>
              <w:rPr>
                <w:rFonts w:hint="eastAsia" w:ascii="宋体" w:hAnsi="宋体" w:cs="宋体"/>
              </w:rPr>
              <w:t>项目</w:t>
            </w:r>
          </w:p>
        </w:tc>
        <w:tc>
          <w:tcPr>
            <w:tcW w:w="833" w:type="pct"/>
          </w:tcPr>
          <w:p w14:paraId="3F18A944">
            <w:pPr>
              <w:jc w:val="left"/>
              <w:rPr>
                <w:rFonts w:ascii="宋体" w:hAnsi="宋体" w:cs="宋体"/>
              </w:rPr>
            </w:pPr>
            <w:r>
              <w:rPr>
                <w:rFonts w:hint="eastAsia" w:ascii="宋体" w:hAnsi="宋体" w:cs="宋体"/>
              </w:rPr>
              <w:t>第一种可能性</w:t>
            </w:r>
          </w:p>
        </w:tc>
        <w:tc>
          <w:tcPr>
            <w:tcW w:w="833" w:type="pct"/>
          </w:tcPr>
          <w:p w14:paraId="15CF66EB">
            <w:pPr>
              <w:jc w:val="left"/>
              <w:rPr>
                <w:rFonts w:ascii="宋体" w:hAnsi="宋体" w:cs="宋体"/>
              </w:rPr>
            </w:pPr>
            <w:r>
              <w:rPr>
                <w:rFonts w:hint="eastAsia" w:ascii="宋体" w:hAnsi="宋体" w:cs="宋体"/>
              </w:rPr>
              <w:t>第二种可能性</w:t>
            </w:r>
          </w:p>
        </w:tc>
        <w:tc>
          <w:tcPr>
            <w:tcW w:w="833" w:type="pct"/>
          </w:tcPr>
          <w:p w14:paraId="092E88E9">
            <w:pPr>
              <w:jc w:val="left"/>
              <w:rPr>
                <w:rFonts w:ascii="宋体" w:hAnsi="宋体" w:cs="宋体"/>
              </w:rPr>
            </w:pPr>
            <w:r>
              <w:rPr>
                <w:rFonts w:hint="eastAsia" w:ascii="宋体" w:hAnsi="宋体" w:cs="宋体"/>
              </w:rPr>
              <w:t>第三种可能性</w:t>
            </w:r>
          </w:p>
        </w:tc>
        <w:tc>
          <w:tcPr>
            <w:tcW w:w="833" w:type="pct"/>
          </w:tcPr>
          <w:p w14:paraId="28F14031">
            <w:pPr>
              <w:jc w:val="left"/>
              <w:rPr>
                <w:rFonts w:ascii="宋体" w:hAnsi="宋体" w:cs="宋体"/>
              </w:rPr>
            </w:pPr>
            <w:r>
              <w:rPr>
                <w:rFonts w:hint="eastAsia" w:ascii="宋体" w:hAnsi="宋体" w:cs="宋体"/>
              </w:rPr>
              <w:t>第四种可能性</w:t>
            </w:r>
          </w:p>
        </w:tc>
        <w:tc>
          <w:tcPr>
            <w:tcW w:w="833" w:type="pct"/>
          </w:tcPr>
          <w:p w14:paraId="3D830AF3">
            <w:pPr>
              <w:jc w:val="left"/>
              <w:rPr>
                <w:rFonts w:ascii="宋体" w:hAnsi="宋体" w:cs="宋体"/>
              </w:rPr>
            </w:pPr>
            <w:r>
              <w:rPr>
                <w:rFonts w:hint="eastAsia" w:ascii="宋体" w:hAnsi="宋体" w:cs="宋体"/>
              </w:rPr>
              <w:t>期望收益率</w:t>
            </w:r>
          </w:p>
        </w:tc>
      </w:tr>
      <w:tr w14:paraId="5935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67D6C2D5">
            <w:pPr>
              <w:jc w:val="left"/>
              <w:rPr>
                <w:rFonts w:ascii="宋体" w:hAnsi="宋体" w:cs="宋体"/>
              </w:rPr>
            </w:pPr>
            <w:r>
              <w:rPr>
                <w:rFonts w:hint="eastAsia" w:ascii="宋体" w:hAnsi="宋体" w:cs="宋体"/>
              </w:rPr>
              <w:t>A项目</w:t>
            </w:r>
          </w:p>
        </w:tc>
        <w:tc>
          <w:tcPr>
            <w:tcW w:w="833" w:type="pct"/>
          </w:tcPr>
          <w:p w14:paraId="33715710">
            <w:pPr>
              <w:jc w:val="left"/>
              <w:rPr>
                <w:rFonts w:ascii="宋体" w:hAnsi="宋体" w:cs="宋体"/>
              </w:rPr>
            </w:pPr>
            <w:r>
              <w:rPr>
                <w:rFonts w:hint="eastAsia" w:ascii="宋体" w:hAnsi="宋体" w:cs="宋体"/>
              </w:rPr>
              <w:t>9%</w:t>
            </w:r>
          </w:p>
        </w:tc>
        <w:tc>
          <w:tcPr>
            <w:tcW w:w="833" w:type="pct"/>
          </w:tcPr>
          <w:p w14:paraId="5213671E">
            <w:pPr>
              <w:jc w:val="left"/>
              <w:rPr>
                <w:rFonts w:ascii="宋体" w:hAnsi="宋体" w:cs="宋体"/>
              </w:rPr>
            </w:pPr>
            <w:r>
              <w:rPr>
                <w:rFonts w:hint="eastAsia" w:ascii="宋体" w:hAnsi="宋体" w:cs="宋体"/>
              </w:rPr>
              <w:t>9%</w:t>
            </w:r>
          </w:p>
        </w:tc>
        <w:tc>
          <w:tcPr>
            <w:tcW w:w="833" w:type="pct"/>
          </w:tcPr>
          <w:p w14:paraId="39CA6CA3">
            <w:pPr>
              <w:jc w:val="left"/>
              <w:rPr>
                <w:rFonts w:ascii="宋体" w:hAnsi="宋体" w:cs="宋体"/>
              </w:rPr>
            </w:pPr>
            <w:r>
              <w:rPr>
                <w:rFonts w:hint="eastAsia" w:ascii="宋体" w:hAnsi="宋体" w:cs="宋体"/>
              </w:rPr>
              <w:t>9%</w:t>
            </w:r>
          </w:p>
        </w:tc>
        <w:tc>
          <w:tcPr>
            <w:tcW w:w="833" w:type="pct"/>
          </w:tcPr>
          <w:p w14:paraId="778D8663">
            <w:pPr>
              <w:jc w:val="left"/>
              <w:rPr>
                <w:rFonts w:ascii="宋体" w:hAnsi="宋体" w:cs="宋体"/>
              </w:rPr>
            </w:pPr>
            <w:r>
              <w:rPr>
                <w:rFonts w:hint="eastAsia" w:ascii="宋体" w:hAnsi="宋体" w:cs="宋体"/>
              </w:rPr>
              <w:t>9%</w:t>
            </w:r>
          </w:p>
        </w:tc>
        <w:tc>
          <w:tcPr>
            <w:tcW w:w="833" w:type="pct"/>
          </w:tcPr>
          <w:p w14:paraId="61C98A9E">
            <w:pPr>
              <w:jc w:val="left"/>
              <w:rPr>
                <w:rFonts w:ascii="宋体" w:hAnsi="宋体" w:cs="宋体"/>
              </w:rPr>
            </w:pPr>
            <w:r>
              <w:rPr>
                <w:rFonts w:hint="eastAsia" w:ascii="宋体" w:hAnsi="宋体" w:cs="宋体"/>
              </w:rPr>
              <w:t>9%</w:t>
            </w:r>
          </w:p>
        </w:tc>
      </w:tr>
      <w:tr w14:paraId="029D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14:paraId="254E9CA2">
            <w:pPr>
              <w:jc w:val="left"/>
              <w:rPr>
                <w:rFonts w:ascii="宋体" w:hAnsi="宋体" w:cs="宋体"/>
              </w:rPr>
            </w:pPr>
            <w:r>
              <w:rPr>
                <w:rFonts w:hint="eastAsia" w:ascii="宋体" w:hAnsi="宋体" w:cs="宋体"/>
              </w:rPr>
              <w:t>B项目</w:t>
            </w:r>
          </w:p>
        </w:tc>
        <w:tc>
          <w:tcPr>
            <w:tcW w:w="833" w:type="pct"/>
          </w:tcPr>
          <w:p w14:paraId="1F959D39">
            <w:pPr>
              <w:jc w:val="left"/>
              <w:rPr>
                <w:rFonts w:ascii="宋体" w:hAnsi="宋体" w:cs="宋体"/>
              </w:rPr>
            </w:pPr>
            <w:r>
              <w:rPr>
                <w:rFonts w:hint="eastAsia" w:ascii="宋体" w:hAnsi="宋体" w:cs="宋体"/>
              </w:rPr>
              <w:t>15%</w:t>
            </w:r>
          </w:p>
        </w:tc>
        <w:tc>
          <w:tcPr>
            <w:tcW w:w="833" w:type="pct"/>
          </w:tcPr>
          <w:p w14:paraId="3CB24CE3">
            <w:pPr>
              <w:jc w:val="left"/>
              <w:rPr>
                <w:rFonts w:ascii="宋体" w:hAnsi="宋体" w:cs="宋体"/>
              </w:rPr>
            </w:pPr>
            <w:r>
              <w:rPr>
                <w:rFonts w:hint="eastAsia" w:ascii="宋体" w:hAnsi="宋体" w:cs="宋体"/>
              </w:rPr>
              <w:t>2%</w:t>
            </w:r>
          </w:p>
        </w:tc>
        <w:tc>
          <w:tcPr>
            <w:tcW w:w="833" w:type="pct"/>
          </w:tcPr>
          <w:p w14:paraId="191BE875">
            <w:pPr>
              <w:jc w:val="left"/>
              <w:rPr>
                <w:rFonts w:ascii="宋体" w:hAnsi="宋体" w:cs="宋体"/>
              </w:rPr>
            </w:pPr>
            <w:r>
              <w:rPr>
                <w:rFonts w:hint="eastAsia" w:ascii="宋体" w:hAnsi="宋体" w:cs="宋体"/>
              </w:rPr>
              <w:t>9%</w:t>
            </w:r>
          </w:p>
        </w:tc>
        <w:tc>
          <w:tcPr>
            <w:tcW w:w="833" w:type="pct"/>
          </w:tcPr>
          <w:p w14:paraId="6D3F9457">
            <w:pPr>
              <w:jc w:val="left"/>
              <w:rPr>
                <w:rFonts w:ascii="宋体" w:hAnsi="宋体" w:cs="宋体"/>
              </w:rPr>
            </w:pPr>
            <w:r>
              <w:rPr>
                <w:rFonts w:hint="eastAsia" w:ascii="宋体" w:hAnsi="宋体" w:cs="宋体"/>
              </w:rPr>
              <w:t>10%</w:t>
            </w:r>
          </w:p>
        </w:tc>
        <w:tc>
          <w:tcPr>
            <w:tcW w:w="833" w:type="pct"/>
          </w:tcPr>
          <w:p w14:paraId="3C4E3588">
            <w:pPr>
              <w:jc w:val="left"/>
              <w:rPr>
                <w:rFonts w:ascii="宋体" w:hAnsi="宋体" w:cs="宋体"/>
              </w:rPr>
            </w:pPr>
            <w:r>
              <w:rPr>
                <w:rFonts w:hint="eastAsia" w:ascii="宋体" w:hAnsi="宋体" w:cs="宋体"/>
              </w:rPr>
              <w:t>9%</w:t>
            </w:r>
          </w:p>
        </w:tc>
      </w:tr>
    </w:tbl>
    <w:p w14:paraId="44951D42">
      <w:pPr>
        <w:jc w:val="left"/>
        <w:rPr>
          <w:rFonts w:ascii="宋体" w:hAnsi="宋体" w:cs="宋体"/>
        </w:rPr>
      </w:pPr>
      <w:r>
        <w:rPr>
          <w:rFonts w:hint="eastAsia" w:ascii="宋体" w:hAnsi="宋体" w:cs="宋体"/>
        </w:rPr>
        <w:t>请问你会选择投资哪种项目</w:t>
      </w:r>
    </w:p>
    <w:p w14:paraId="1C198489">
      <w:pPr>
        <w:jc w:val="left"/>
        <w:rPr>
          <w:rFonts w:ascii="宋体" w:hAnsi="宋体" w:cs="宋体"/>
        </w:rPr>
      </w:pPr>
      <w:r>
        <w:rPr>
          <w:rFonts w:hint="eastAsia" w:ascii="宋体" w:hAnsi="宋体" w:cs="宋体"/>
        </w:rPr>
        <w:drawing>
          <wp:inline distT="0" distB="0" distL="114300" distR="114300">
            <wp:extent cx="649605" cy="521335"/>
            <wp:effectExtent l="0" t="0" r="17145" b="1206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41"/>
                    <a:stretch>
                      <a:fillRect/>
                    </a:stretch>
                  </pic:blipFill>
                  <pic:spPr>
                    <a:xfrm>
                      <a:off x="0" y="0"/>
                      <a:ext cx="661569" cy="530876"/>
                    </a:xfrm>
                    <a:prstGeom prst="rect">
                      <a:avLst/>
                    </a:prstGeom>
                    <a:noFill/>
                    <a:ln>
                      <a:noFill/>
                    </a:ln>
                  </pic:spPr>
                </pic:pic>
              </a:graphicData>
            </a:graphic>
          </wp:inline>
        </w:drawing>
      </w:r>
    </w:p>
    <w:p w14:paraId="5B743000">
      <w:pPr>
        <w:jc w:val="left"/>
        <w:rPr>
          <w:rFonts w:ascii="宋体" w:hAnsi="宋体" w:cs="宋体"/>
        </w:rPr>
      </w:pPr>
      <w:r>
        <w:rPr>
          <w:rFonts w:hint="eastAsia" w:ascii="宋体" w:hAnsi="宋体" w:cs="宋体"/>
        </w:rPr>
        <w:t>答案：选择项目A，因为各种可能发生的收益率比较稳定，其离散程度（偏离程度）最小，从而蒙受的损失可能性越小。</w:t>
      </w:r>
    </w:p>
    <w:p w14:paraId="55FFFBBD">
      <w:pPr>
        <w:jc w:val="left"/>
        <w:rPr>
          <w:rFonts w:ascii="宋体" w:hAnsi="宋体" w:cs="宋体"/>
        </w:rPr>
      </w:pPr>
      <w:r>
        <w:rPr>
          <w:rFonts w:hint="eastAsia" w:ascii="宋体" w:hAnsi="宋体" w:cs="宋体"/>
        </w:rPr>
        <w:t>【提示】由于收益的不确定性，进而需要进行风险衡量。</w:t>
      </w:r>
    </w:p>
    <w:p w14:paraId="45292D66">
      <w:pPr>
        <w:jc w:val="left"/>
        <w:rPr>
          <w:rFonts w:ascii="宋体" w:hAnsi="宋体" w:cs="宋体"/>
        </w:rPr>
      </w:pPr>
      <w:r>
        <w:rPr>
          <w:rFonts w:hint="eastAsia" w:ascii="宋体" w:hAnsi="宋体" w:cs="宋体"/>
        </w:rPr>
        <w:t>衡量风险的指标主要有收益率的方差、标准差和标准差率等。</w:t>
      </w:r>
    </w:p>
    <w:p w14:paraId="10F43F6A">
      <w:pPr>
        <w:jc w:val="left"/>
        <w:rPr>
          <w:rFonts w:ascii="宋体" w:hAnsi="宋体" w:cs="宋体"/>
        </w:rPr>
      </w:pPr>
      <w:r>
        <w:rPr>
          <w:rFonts w:hint="eastAsia" w:ascii="宋体" w:hAnsi="宋体" w:cs="宋体"/>
        </w:rPr>
        <w:t>3.方差、标准差和标准差率</w:t>
      </w:r>
    </w:p>
    <w:p w14:paraId="10B571AF">
      <w:pPr>
        <w:jc w:val="left"/>
        <w:rPr>
          <w:rFonts w:ascii="宋体" w:hAnsi="宋体" w:cs="宋体"/>
        </w:rPr>
      </w:pPr>
      <w:r>
        <w:rPr>
          <w:rFonts w:hint="eastAsia" w:ascii="宋体" w:hAnsi="宋体" w:cs="宋体"/>
        </w:rPr>
        <w:t>（1）方差</w:t>
      </w:r>
    </w:p>
    <w:p w14:paraId="61BBC68C">
      <w:pPr>
        <w:jc w:val="left"/>
        <w:rPr>
          <w:rFonts w:hint="eastAsia" w:ascii="宋体" w:hAnsi="宋体" w:cs="宋体"/>
        </w:rPr>
      </w:pPr>
      <w:r>
        <w:rPr>
          <w:rFonts w:hint="eastAsia" w:ascii="宋体" w:hAnsi="宋体" w:cs="宋体"/>
        </w:rPr>
        <w:drawing>
          <wp:inline distT="0" distB="0" distL="114300" distR="114300">
            <wp:extent cx="1395095" cy="512445"/>
            <wp:effectExtent l="0" t="0" r="14605" b="190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2"/>
                    <a:stretch>
                      <a:fillRect/>
                    </a:stretch>
                  </pic:blipFill>
                  <pic:spPr>
                    <a:xfrm>
                      <a:off x="0" y="0"/>
                      <a:ext cx="1415229" cy="519827"/>
                    </a:xfrm>
                    <a:prstGeom prst="rect">
                      <a:avLst/>
                    </a:prstGeom>
                    <a:noFill/>
                    <a:ln>
                      <a:noFill/>
                    </a:ln>
                  </pic:spPr>
                </pic:pic>
              </a:graphicData>
            </a:graphic>
          </wp:inline>
        </w:drawing>
      </w:r>
    </w:p>
    <w:p w14:paraId="6A009624">
      <w:pPr>
        <w:jc w:val="left"/>
        <w:rPr>
          <w:rFonts w:ascii="宋体" w:hAnsi="宋体" w:cs="宋体"/>
        </w:rPr>
      </w:pPr>
      <w:r>
        <w:rPr>
          <w:rFonts w:hint="eastAsia" w:ascii="宋体" w:hAnsi="宋体" w:cs="宋体"/>
        </w:rPr>
        <w:t>（2）标准差</w:t>
      </w:r>
    </w:p>
    <w:p w14:paraId="22F191A3">
      <w:pPr>
        <w:jc w:val="left"/>
        <w:rPr>
          <w:rFonts w:hint="eastAsia" w:ascii="宋体" w:hAnsi="宋体" w:cs="宋体"/>
        </w:rPr>
      </w:pPr>
      <w:r>
        <w:rPr>
          <w:rFonts w:hint="eastAsia" w:ascii="宋体" w:hAnsi="宋体" w:cs="宋体"/>
        </w:rPr>
        <w:drawing>
          <wp:inline distT="0" distB="0" distL="114300" distR="114300">
            <wp:extent cx="1483360" cy="472440"/>
            <wp:effectExtent l="0" t="0" r="2540" b="381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3"/>
                    <a:stretch>
                      <a:fillRect/>
                    </a:stretch>
                  </pic:blipFill>
                  <pic:spPr>
                    <a:xfrm>
                      <a:off x="0" y="0"/>
                      <a:ext cx="1503471" cy="479170"/>
                    </a:xfrm>
                    <a:prstGeom prst="rect">
                      <a:avLst/>
                    </a:prstGeom>
                    <a:noFill/>
                    <a:ln>
                      <a:noFill/>
                    </a:ln>
                  </pic:spPr>
                </pic:pic>
              </a:graphicData>
            </a:graphic>
          </wp:inline>
        </w:drawing>
      </w:r>
    </w:p>
    <w:p w14:paraId="1CDFDB01">
      <w:pPr>
        <w:overflowPunct w:val="0"/>
        <w:jc w:val="left"/>
        <w:rPr>
          <w:rFonts w:ascii="宋体" w:hAnsi="宋体" w:cs="宋体"/>
        </w:rPr>
      </w:pPr>
      <w:r>
        <w:rPr>
          <w:rFonts w:hint="eastAsia" w:ascii="宋体" w:hAnsi="宋体" w:cs="宋体"/>
        </w:rPr>
        <w:t>方差和标准差是衡量</w:t>
      </w:r>
      <w:r>
        <w:rPr>
          <w:rFonts w:hint="eastAsia" w:ascii="宋体" w:hAnsi="宋体" w:cs="宋体"/>
          <w:color w:val="FF0000"/>
        </w:rPr>
        <w:t>整体</w:t>
      </w:r>
      <w:r>
        <w:rPr>
          <w:rFonts w:hint="eastAsia" w:ascii="宋体" w:hAnsi="宋体" w:cs="宋体"/>
        </w:rPr>
        <w:t>风险的绝对值。</w:t>
      </w:r>
      <w:r>
        <w:rPr>
          <w:rFonts w:hint="eastAsia" w:ascii="宋体" w:hAnsi="宋体" w:cs="宋体"/>
          <w:color w:val="FF0000"/>
        </w:rPr>
        <w:t>预期收益率相同时</w:t>
      </w:r>
      <w:r>
        <w:rPr>
          <w:rFonts w:hint="eastAsia" w:ascii="宋体" w:hAnsi="宋体" w:cs="宋体"/>
        </w:rPr>
        <w:t>，指标越大，风险越大，不适合比较预期收益率不同的资产的风险大小</w:t>
      </w:r>
    </w:p>
    <w:p w14:paraId="44D0EB7B">
      <w:pPr>
        <w:jc w:val="left"/>
        <w:rPr>
          <w:rFonts w:ascii="宋体" w:hAnsi="宋体" w:cs="宋体"/>
        </w:rPr>
      </w:pPr>
      <w:r>
        <w:rPr>
          <w:rFonts w:hint="eastAsia" w:ascii="宋体" w:hAnsi="宋体" w:cs="宋体"/>
        </w:rPr>
        <w:t>（3）标准差率</w:t>
      </w:r>
    </w:p>
    <w:p w14:paraId="4B301220">
      <w:pPr>
        <w:jc w:val="left"/>
        <w:rPr>
          <w:rFonts w:ascii="宋体" w:hAnsi="宋体" w:cs="宋体"/>
        </w:rPr>
      </w:pPr>
      <w:r>
        <w:rPr>
          <w:rFonts w:hint="eastAsia" w:ascii="宋体" w:hAnsi="宋体" w:cs="宋体"/>
        </w:rPr>
        <w:t>标准差率是标准差同期望值之比，是一个相对指标，以相对数反映决策方案的风险程度。对于期望值不同的决策方案，评价和比较其各自的风险程度只能借助于标准差率这一相对数值。在期望值不同的情况下，标准差率越大，风险越大；反之，标准差率越小，风险越小。</w:t>
      </w:r>
    </w:p>
    <w:p w14:paraId="35F4222F">
      <w:pPr>
        <w:jc w:val="left"/>
        <w:rPr>
          <w:rFonts w:ascii="宋体" w:hAnsi="宋体" w:cs="宋体"/>
        </w:rPr>
      </w:pPr>
      <w:r>
        <w:rPr>
          <w:rFonts w:hint="eastAsia" w:ascii="宋体" w:hAnsi="宋体" w:cs="宋体"/>
        </w:rPr>
        <w:t>公式： 标准差率＝标准差/期望值</w:t>
      </w:r>
    </w:p>
    <w:p w14:paraId="4EB15ACD">
      <w:pPr>
        <w:jc w:val="left"/>
        <w:rPr>
          <w:rFonts w:ascii="宋体" w:hAnsi="宋体" w:cs="宋体"/>
        </w:rPr>
      </w:pPr>
      <w:r>
        <w:rPr>
          <w:rFonts w:hint="eastAsia" w:ascii="宋体" w:hAnsi="宋体" w:cs="宋体"/>
        </w:rPr>
        <w:t>该指标越大，风险越大，既适用于比较预期收益率相同的资产的风险，也适用于</w:t>
      </w:r>
      <w:r>
        <w:rPr>
          <w:rFonts w:hint="eastAsia" w:ascii="宋体" w:hAnsi="宋体" w:cs="宋体"/>
          <w:color w:val="FF0000"/>
        </w:rPr>
        <w:t>比较预期收益率不同</w:t>
      </w:r>
      <w:r>
        <w:rPr>
          <w:rFonts w:hint="eastAsia" w:ascii="宋体" w:hAnsi="宋体" w:cs="宋体"/>
        </w:rPr>
        <w:t>的资产的风险</w:t>
      </w:r>
    </w:p>
    <w:p w14:paraId="7D2CD449">
      <w:pPr>
        <w:jc w:val="left"/>
        <w:rPr>
          <w:rFonts w:ascii="宋体" w:hAnsi="宋体" w:cs="宋体"/>
        </w:rPr>
      </w:pPr>
      <w:r>
        <w:rPr>
          <w:rFonts w:hint="eastAsia" w:ascii="宋体" w:hAnsi="宋体" w:cs="宋体"/>
          <w:color w:val="FF0000"/>
        </w:rPr>
        <w:t>【例】</w:t>
      </w:r>
      <w:r>
        <w:rPr>
          <w:rFonts w:hint="eastAsia" w:ascii="宋体" w:hAnsi="宋体" w:cs="宋体"/>
        </w:rPr>
        <w:t>某企业有A、B两个投资项目，两个投资项目的收益率及其概率分布情况如表所示，试计算两个项目的期望收益率并比较风险的大小。</w:t>
      </w:r>
    </w:p>
    <w:p w14:paraId="20A727E6">
      <w:pPr>
        <w:jc w:val="center"/>
        <w:rPr>
          <w:rFonts w:ascii="宋体" w:hAnsi="宋体" w:cs="宋体"/>
        </w:rPr>
      </w:pPr>
      <w:r>
        <w:rPr>
          <w:rFonts w:hint="eastAsia" w:ascii="宋体" w:hAnsi="宋体" w:cs="宋体"/>
        </w:rPr>
        <w:t>A项目和B项目投资收益率的概率分布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2026"/>
        <w:gridCol w:w="2028"/>
        <w:gridCol w:w="2028"/>
        <w:gridCol w:w="2028"/>
      </w:tblGrid>
      <w:tr w14:paraId="6715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0F5B2A09">
            <w:pPr>
              <w:jc w:val="left"/>
              <w:rPr>
                <w:rFonts w:ascii="宋体" w:hAnsi="宋体" w:cs="宋体"/>
              </w:rPr>
            </w:pPr>
            <w:r>
              <w:rPr>
                <w:rFonts w:hint="eastAsia" w:ascii="宋体" w:hAnsi="宋体" w:cs="宋体"/>
              </w:rPr>
              <w:t>项目实施情况</w:t>
            </w:r>
          </w:p>
        </w:tc>
        <w:tc>
          <w:tcPr>
            <w:tcW w:w="1999" w:type="pct"/>
            <w:gridSpan w:val="2"/>
          </w:tcPr>
          <w:p w14:paraId="68AFB007">
            <w:pPr>
              <w:jc w:val="left"/>
              <w:rPr>
                <w:rFonts w:ascii="宋体" w:hAnsi="宋体" w:cs="宋体"/>
              </w:rPr>
            </w:pPr>
            <w:r>
              <w:rPr>
                <w:rFonts w:hint="eastAsia" w:ascii="宋体" w:hAnsi="宋体" w:cs="宋体"/>
              </w:rPr>
              <w:t>该种情况出现的概率</w:t>
            </w:r>
          </w:p>
        </w:tc>
        <w:tc>
          <w:tcPr>
            <w:tcW w:w="2000" w:type="pct"/>
            <w:gridSpan w:val="2"/>
          </w:tcPr>
          <w:p w14:paraId="76786AFD">
            <w:pPr>
              <w:jc w:val="left"/>
              <w:rPr>
                <w:rFonts w:ascii="宋体" w:hAnsi="宋体" w:cs="宋体"/>
              </w:rPr>
            </w:pPr>
            <w:r>
              <w:rPr>
                <w:rFonts w:hint="eastAsia" w:ascii="宋体" w:hAnsi="宋体" w:cs="宋体"/>
              </w:rPr>
              <w:t>投资收益率</w:t>
            </w:r>
          </w:p>
        </w:tc>
      </w:tr>
      <w:tr w14:paraId="529E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2916AACB">
            <w:pPr>
              <w:jc w:val="left"/>
              <w:rPr>
                <w:rFonts w:ascii="宋体" w:hAnsi="宋体" w:cs="宋体"/>
              </w:rPr>
            </w:pPr>
          </w:p>
        </w:tc>
        <w:tc>
          <w:tcPr>
            <w:tcW w:w="999" w:type="pct"/>
          </w:tcPr>
          <w:p w14:paraId="6DFDDE91">
            <w:pPr>
              <w:jc w:val="left"/>
              <w:rPr>
                <w:rFonts w:ascii="宋体" w:hAnsi="宋体" w:cs="宋体"/>
              </w:rPr>
            </w:pPr>
            <w:r>
              <w:rPr>
                <w:rFonts w:hint="eastAsia" w:ascii="宋体" w:hAnsi="宋体" w:cs="宋体"/>
              </w:rPr>
              <w:t>项目A</w:t>
            </w:r>
          </w:p>
        </w:tc>
        <w:tc>
          <w:tcPr>
            <w:tcW w:w="999" w:type="pct"/>
          </w:tcPr>
          <w:p w14:paraId="097120C6">
            <w:pPr>
              <w:jc w:val="left"/>
              <w:rPr>
                <w:rFonts w:ascii="宋体" w:hAnsi="宋体" w:cs="宋体"/>
              </w:rPr>
            </w:pPr>
            <w:r>
              <w:rPr>
                <w:rFonts w:hint="eastAsia" w:ascii="宋体" w:hAnsi="宋体" w:cs="宋体"/>
              </w:rPr>
              <w:t>项目B</w:t>
            </w:r>
          </w:p>
        </w:tc>
        <w:tc>
          <w:tcPr>
            <w:tcW w:w="1000" w:type="pct"/>
          </w:tcPr>
          <w:p w14:paraId="2E441E05">
            <w:pPr>
              <w:jc w:val="left"/>
              <w:rPr>
                <w:rFonts w:ascii="宋体" w:hAnsi="宋体" w:cs="宋体"/>
              </w:rPr>
            </w:pPr>
            <w:r>
              <w:rPr>
                <w:rFonts w:hint="eastAsia" w:ascii="宋体" w:hAnsi="宋体" w:cs="宋体"/>
              </w:rPr>
              <w:t>项目A</w:t>
            </w:r>
          </w:p>
        </w:tc>
        <w:tc>
          <w:tcPr>
            <w:tcW w:w="1000" w:type="pct"/>
          </w:tcPr>
          <w:p w14:paraId="6ECF2568">
            <w:pPr>
              <w:jc w:val="left"/>
              <w:rPr>
                <w:rFonts w:ascii="宋体" w:hAnsi="宋体" w:cs="宋体"/>
              </w:rPr>
            </w:pPr>
            <w:r>
              <w:rPr>
                <w:rFonts w:hint="eastAsia" w:ascii="宋体" w:hAnsi="宋体" w:cs="宋体"/>
              </w:rPr>
              <w:t>项目B</w:t>
            </w:r>
          </w:p>
        </w:tc>
      </w:tr>
      <w:tr w14:paraId="1E98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6C2EE01">
            <w:pPr>
              <w:jc w:val="left"/>
              <w:rPr>
                <w:rFonts w:ascii="宋体" w:hAnsi="宋体" w:cs="宋体"/>
              </w:rPr>
            </w:pPr>
            <w:r>
              <w:rPr>
                <w:rFonts w:hint="eastAsia" w:ascii="宋体" w:hAnsi="宋体" w:cs="宋体"/>
              </w:rPr>
              <w:t>好</w:t>
            </w:r>
          </w:p>
        </w:tc>
        <w:tc>
          <w:tcPr>
            <w:tcW w:w="999" w:type="pct"/>
          </w:tcPr>
          <w:p w14:paraId="70AD9A3C">
            <w:pPr>
              <w:jc w:val="left"/>
              <w:rPr>
                <w:rFonts w:ascii="宋体" w:hAnsi="宋体" w:cs="宋体"/>
              </w:rPr>
            </w:pPr>
            <w:r>
              <w:rPr>
                <w:rFonts w:hint="eastAsia" w:ascii="宋体" w:hAnsi="宋体" w:cs="宋体"/>
              </w:rPr>
              <w:t>0.2</w:t>
            </w:r>
          </w:p>
        </w:tc>
        <w:tc>
          <w:tcPr>
            <w:tcW w:w="999" w:type="pct"/>
          </w:tcPr>
          <w:p w14:paraId="03ADBDB2">
            <w:pPr>
              <w:jc w:val="left"/>
              <w:rPr>
                <w:rFonts w:ascii="宋体" w:hAnsi="宋体" w:cs="宋体"/>
              </w:rPr>
            </w:pPr>
            <w:r>
              <w:rPr>
                <w:rFonts w:hint="eastAsia" w:ascii="宋体" w:hAnsi="宋体" w:cs="宋体"/>
              </w:rPr>
              <w:t>0.3</w:t>
            </w:r>
          </w:p>
        </w:tc>
        <w:tc>
          <w:tcPr>
            <w:tcW w:w="1000" w:type="pct"/>
          </w:tcPr>
          <w:p w14:paraId="4346A504">
            <w:pPr>
              <w:jc w:val="left"/>
              <w:rPr>
                <w:rFonts w:ascii="宋体" w:hAnsi="宋体" w:cs="宋体"/>
              </w:rPr>
            </w:pPr>
            <w:r>
              <w:rPr>
                <w:rFonts w:hint="eastAsia" w:ascii="宋体" w:hAnsi="宋体" w:cs="宋体"/>
              </w:rPr>
              <w:t>15%</w:t>
            </w:r>
          </w:p>
        </w:tc>
        <w:tc>
          <w:tcPr>
            <w:tcW w:w="1000" w:type="pct"/>
          </w:tcPr>
          <w:p w14:paraId="774FA56A">
            <w:pPr>
              <w:jc w:val="left"/>
              <w:rPr>
                <w:rFonts w:ascii="宋体" w:hAnsi="宋体" w:cs="宋体"/>
              </w:rPr>
            </w:pPr>
            <w:r>
              <w:rPr>
                <w:rFonts w:hint="eastAsia" w:ascii="宋体" w:hAnsi="宋体" w:cs="宋体"/>
              </w:rPr>
              <w:t>20%</w:t>
            </w:r>
          </w:p>
        </w:tc>
      </w:tr>
      <w:tr w14:paraId="2651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5A5B7566">
            <w:pPr>
              <w:jc w:val="left"/>
              <w:rPr>
                <w:rFonts w:ascii="宋体" w:hAnsi="宋体" w:cs="宋体"/>
              </w:rPr>
            </w:pPr>
            <w:r>
              <w:rPr>
                <w:rFonts w:hint="eastAsia" w:ascii="宋体" w:hAnsi="宋体" w:cs="宋体"/>
              </w:rPr>
              <w:t>一般</w:t>
            </w:r>
          </w:p>
        </w:tc>
        <w:tc>
          <w:tcPr>
            <w:tcW w:w="999" w:type="pct"/>
          </w:tcPr>
          <w:p w14:paraId="1A051E53">
            <w:pPr>
              <w:jc w:val="left"/>
              <w:rPr>
                <w:rFonts w:ascii="宋体" w:hAnsi="宋体" w:cs="宋体"/>
              </w:rPr>
            </w:pPr>
            <w:r>
              <w:rPr>
                <w:rFonts w:hint="eastAsia" w:ascii="宋体" w:hAnsi="宋体" w:cs="宋体"/>
              </w:rPr>
              <w:t>0.6</w:t>
            </w:r>
          </w:p>
        </w:tc>
        <w:tc>
          <w:tcPr>
            <w:tcW w:w="999" w:type="pct"/>
          </w:tcPr>
          <w:p w14:paraId="12BAA619">
            <w:pPr>
              <w:jc w:val="left"/>
              <w:rPr>
                <w:rFonts w:ascii="宋体" w:hAnsi="宋体" w:cs="宋体"/>
              </w:rPr>
            </w:pPr>
            <w:r>
              <w:rPr>
                <w:rFonts w:hint="eastAsia" w:ascii="宋体" w:hAnsi="宋体" w:cs="宋体"/>
              </w:rPr>
              <w:t>0.4</w:t>
            </w:r>
          </w:p>
        </w:tc>
        <w:tc>
          <w:tcPr>
            <w:tcW w:w="1000" w:type="pct"/>
          </w:tcPr>
          <w:p w14:paraId="20369E8E">
            <w:pPr>
              <w:jc w:val="left"/>
              <w:rPr>
                <w:rFonts w:ascii="宋体" w:hAnsi="宋体" w:cs="宋体"/>
              </w:rPr>
            </w:pPr>
            <w:r>
              <w:rPr>
                <w:rFonts w:hint="eastAsia" w:ascii="宋体" w:hAnsi="宋体" w:cs="宋体"/>
              </w:rPr>
              <w:t>10%</w:t>
            </w:r>
          </w:p>
        </w:tc>
        <w:tc>
          <w:tcPr>
            <w:tcW w:w="1000" w:type="pct"/>
          </w:tcPr>
          <w:p w14:paraId="6AF36BDF">
            <w:pPr>
              <w:jc w:val="left"/>
              <w:rPr>
                <w:rFonts w:ascii="宋体" w:hAnsi="宋体" w:cs="宋体"/>
              </w:rPr>
            </w:pPr>
            <w:r>
              <w:rPr>
                <w:rFonts w:hint="eastAsia" w:ascii="宋体" w:hAnsi="宋体" w:cs="宋体"/>
              </w:rPr>
              <w:t>15%</w:t>
            </w:r>
          </w:p>
        </w:tc>
      </w:tr>
      <w:tr w14:paraId="3EC3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21BDE9A9">
            <w:pPr>
              <w:jc w:val="left"/>
              <w:rPr>
                <w:rFonts w:ascii="宋体" w:hAnsi="宋体" w:cs="宋体"/>
              </w:rPr>
            </w:pPr>
            <w:r>
              <w:rPr>
                <w:rFonts w:hint="eastAsia" w:ascii="宋体" w:hAnsi="宋体" w:cs="宋体"/>
              </w:rPr>
              <w:t>差</w:t>
            </w:r>
          </w:p>
        </w:tc>
        <w:tc>
          <w:tcPr>
            <w:tcW w:w="999" w:type="pct"/>
          </w:tcPr>
          <w:p w14:paraId="1AA9B19C">
            <w:pPr>
              <w:jc w:val="left"/>
              <w:rPr>
                <w:rFonts w:ascii="宋体" w:hAnsi="宋体" w:cs="宋体"/>
              </w:rPr>
            </w:pPr>
            <w:r>
              <w:rPr>
                <w:rFonts w:hint="eastAsia" w:ascii="宋体" w:hAnsi="宋体" w:cs="宋体"/>
              </w:rPr>
              <w:t>0.2</w:t>
            </w:r>
          </w:p>
        </w:tc>
        <w:tc>
          <w:tcPr>
            <w:tcW w:w="999" w:type="pct"/>
          </w:tcPr>
          <w:p w14:paraId="0733A143">
            <w:pPr>
              <w:jc w:val="left"/>
              <w:rPr>
                <w:rFonts w:ascii="宋体" w:hAnsi="宋体" w:cs="宋体"/>
              </w:rPr>
            </w:pPr>
            <w:r>
              <w:rPr>
                <w:rFonts w:hint="eastAsia" w:ascii="宋体" w:hAnsi="宋体" w:cs="宋体"/>
              </w:rPr>
              <w:t>0.3</w:t>
            </w:r>
          </w:p>
        </w:tc>
        <w:tc>
          <w:tcPr>
            <w:tcW w:w="1000" w:type="pct"/>
          </w:tcPr>
          <w:p w14:paraId="2EB4EEBB">
            <w:pPr>
              <w:jc w:val="left"/>
              <w:rPr>
                <w:rFonts w:ascii="宋体" w:hAnsi="宋体" w:cs="宋体"/>
              </w:rPr>
            </w:pPr>
            <w:r>
              <w:rPr>
                <w:rFonts w:hint="eastAsia" w:ascii="宋体" w:hAnsi="宋体" w:cs="宋体"/>
              </w:rPr>
              <w:t>0</w:t>
            </w:r>
          </w:p>
        </w:tc>
        <w:tc>
          <w:tcPr>
            <w:tcW w:w="1000" w:type="pct"/>
          </w:tcPr>
          <w:p w14:paraId="5641A59A">
            <w:pPr>
              <w:jc w:val="left"/>
              <w:rPr>
                <w:rFonts w:ascii="宋体" w:hAnsi="宋体" w:cs="宋体"/>
              </w:rPr>
            </w:pPr>
            <w:r>
              <w:rPr>
                <w:rFonts w:hint="eastAsia" w:ascii="宋体" w:hAnsi="宋体" w:cs="宋体"/>
              </w:rPr>
              <w:t>-10%</w:t>
            </w:r>
          </w:p>
        </w:tc>
      </w:tr>
    </w:tbl>
    <w:p w14:paraId="01E6AE8B">
      <w:pPr>
        <w:jc w:val="left"/>
        <w:rPr>
          <w:rFonts w:ascii="宋体" w:hAnsi="宋体" w:cs="宋体"/>
          <w:color w:val="FF0000"/>
        </w:rPr>
      </w:pPr>
      <w:r>
        <w:rPr>
          <w:rFonts w:hint="eastAsia" w:ascii="宋体" w:hAnsi="宋体" w:cs="宋体"/>
          <w:color w:val="FF0000"/>
        </w:rPr>
        <w:t>答案：</w:t>
      </w:r>
    </w:p>
    <w:p w14:paraId="74891609">
      <w:pPr>
        <w:jc w:val="left"/>
        <w:rPr>
          <w:rFonts w:ascii="宋体" w:hAnsi="宋体" w:cs="宋体"/>
        </w:rPr>
      </w:pPr>
      <w:r>
        <w:rPr>
          <w:rFonts w:hint="eastAsia" w:ascii="宋体" w:hAnsi="宋体" w:cs="宋体"/>
        </w:rPr>
        <w:t>项目A的期望投资收益率＝0.2×15%＋0.6×10%＋0.2×0＝9%</w:t>
      </w:r>
    </w:p>
    <w:p w14:paraId="44B43896">
      <w:pPr>
        <w:jc w:val="left"/>
        <w:rPr>
          <w:rFonts w:ascii="宋体" w:hAnsi="宋体" w:cs="宋体"/>
        </w:rPr>
      </w:pPr>
      <w:r>
        <w:rPr>
          <w:rFonts w:hint="eastAsia" w:ascii="宋体" w:hAnsi="宋体" w:cs="宋体"/>
        </w:rPr>
        <w:t>项目B的期望投资收益率＝0.3×20%＋0.4×15%＋0.3×（－10%）＝9%</w:t>
      </w:r>
    </w:p>
    <w:p w14:paraId="2870D4F1">
      <w:pPr>
        <w:jc w:val="left"/>
        <w:rPr>
          <w:rFonts w:hint="eastAsia" w:ascii="宋体" w:hAnsi="宋体" w:cs="宋体"/>
        </w:rPr>
      </w:pPr>
      <w:r>
        <w:rPr>
          <w:rFonts w:hint="eastAsia" w:ascii="宋体" w:hAnsi="宋体" w:cs="宋体"/>
        </w:rPr>
        <w:t>项目A的方差＝0.2×（15%－9%）2＋0.6×（10%－9%）2＋0.2×（0－9%）2＝0.0024</w:t>
      </w:r>
    </w:p>
    <w:p w14:paraId="7CE38AFF">
      <w:pPr>
        <w:jc w:val="left"/>
        <w:rPr>
          <w:rFonts w:ascii="宋体" w:hAnsi="宋体" w:cs="宋体"/>
        </w:rPr>
      </w:pPr>
      <w:r>
        <w:rPr>
          <w:rFonts w:hint="eastAsia" w:ascii="宋体" w:hAnsi="宋体" w:cs="宋体"/>
        </w:rPr>
        <w:drawing>
          <wp:inline distT="0" distB="0" distL="114300" distR="114300">
            <wp:extent cx="2502535" cy="264160"/>
            <wp:effectExtent l="0" t="0" r="12065" b="254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4"/>
                    <a:stretch>
                      <a:fillRect/>
                    </a:stretch>
                  </pic:blipFill>
                  <pic:spPr>
                    <a:xfrm>
                      <a:off x="0" y="0"/>
                      <a:ext cx="2683383" cy="283922"/>
                    </a:xfrm>
                    <a:prstGeom prst="rect">
                      <a:avLst/>
                    </a:prstGeom>
                    <a:noFill/>
                    <a:ln>
                      <a:noFill/>
                    </a:ln>
                  </pic:spPr>
                </pic:pic>
              </a:graphicData>
            </a:graphic>
          </wp:inline>
        </w:drawing>
      </w:r>
    </w:p>
    <w:p w14:paraId="45FF1F21">
      <w:pPr>
        <w:jc w:val="left"/>
        <w:rPr>
          <w:rFonts w:ascii="宋体" w:hAnsi="宋体" w:cs="宋体"/>
        </w:rPr>
      </w:pPr>
      <w:r>
        <w:rPr>
          <w:rFonts w:hint="eastAsia" w:ascii="宋体" w:hAnsi="宋体" w:cs="宋体"/>
        </w:rPr>
        <w:t>项目B的方差＝0.3×（20%-9%）2+0.4×（15%-9%）2+0.3×（-10%-9%）2＝0.0159</w:t>
      </w:r>
    </w:p>
    <w:p w14:paraId="5A97605F">
      <w:pPr>
        <w:jc w:val="left"/>
        <w:rPr>
          <w:rFonts w:ascii="宋体" w:hAnsi="宋体" w:cs="宋体"/>
        </w:rPr>
      </w:pPr>
      <w:r>
        <w:rPr>
          <w:rFonts w:hint="eastAsia" w:ascii="宋体" w:hAnsi="宋体" w:cs="宋体"/>
        </w:rPr>
        <w:drawing>
          <wp:inline distT="0" distB="0" distL="114300" distR="114300">
            <wp:extent cx="2430145" cy="266700"/>
            <wp:effectExtent l="0" t="0" r="8255"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5"/>
                    <a:stretch>
                      <a:fillRect/>
                    </a:stretch>
                  </pic:blipFill>
                  <pic:spPr>
                    <a:xfrm>
                      <a:off x="0" y="0"/>
                      <a:ext cx="2606812" cy="286105"/>
                    </a:xfrm>
                    <a:prstGeom prst="rect">
                      <a:avLst/>
                    </a:prstGeom>
                    <a:noFill/>
                    <a:ln>
                      <a:noFill/>
                    </a:ln>
                  </pic:spPr>
                </pic:pic>
              </a:graphicData>
            </a:graphic>
          </wp:inline>
        </w:drawing>
      </w:r>
    </w:p>
    <w:p w14:paraId="2195FE95">
      <w:pPr>
        <w:jc w:val="left"/>
        <w:rPr>
          <w:rFonts w:ascii="宋体" w:hAnsi="宋体" w:cs="宋体"/>
        </w:rPr>
      </w:pPr>
      <w:r>
        <w:rPr>
          <w:rFonts w:hint="eastAsia" w:ascii="宋体" w:hAnsi="宋体" w:cs="宋体"/>
        </w:rPr>
        <w:t>项目A的标准差率＝4.90%/9%＝0.54</w:t>
      </w:r>
    </w:p>
    <w:p w14:paraId="74C381F8">
      <w:pPr>
        <w:jc w:val="left"/>
        <w:rPr>
          <w:rFonts w:ascii="宋体" w:hAnsi="宋体" w:cs="宋体"/>
        </w:rPr>
      </w:pPr>
      <w:r>
        <w:rPr>
          <w:rFonts w:hint="eastAsia" w:ascii="宋体" w:hAnsi="宋体" w:cs="宋体"/>
        </w:rPr>
        <w:t>项目B的标准差率＝12.61%/9%＝1.40</w:t>
      </w:r>
    </w:p>
    <w:p w14:paraId="09BD0C27">
      <w:pPr>
        <w:jc w:val="left"/>
        <w:rPr>
          <w:rFonts w:ascii="宋体" w:hAnsi="宋体" w:cs="宋体"/>
        </w:rPr>
      </w:pPr>
      <w:r>
        <w:rPr>
          <w:rFonts w:hint="eastAsia" w:ascii="宋体" w:hAnsi="宋体" w:cs="宋体"/>
        </w:rPr>
        <w:t>由于项目A与项目B投资收益率的期望值相同（均为9%），所以标准差大的风险大，计算结果表明项目B风险高于项目A。</w:t>
      </w:r>
    </w:p>
    <w:p w14:paraId="75644FF8">
      <w:pPr>
        <w:jc w:val="left"/>
        <w:rPr>
          <w:rFonts w:ascii="宋体" w:hAnsi="宋体" w:cs="宋体"/>
        </w:rPr>
      </w:pPr>
      <w:r>
        <w:rPr>
          <w:rFonts w:hint="eastAsia" w:ascii="宋体" w:hAnsi="宋体" w:cs="宋体"/>
        </w:rPr>
        <w:t>【例】假设项目A和项目B的期望投资收益率分别为10%和12%，投资收益率的标准差分别为6%和7%，比较项目A和项目B的风险大小。</w:t>
      </w:r>
    </w:p>
    <w:p w14:paraId="540B0A4B">
      <w:pPr>
        <w:jc w:val="left"/>
        <w:rPr>
          <w:rFonts w:ascii="宋体" w:hAnsi="宋体" w:cs="宋体"/>
        </w:rPr>
      </w:pPr>
      <w:r>
        <w:rPr>
          <w:rFonts w:hint="eastAsia" w:ascii="宋体" w:hAnsi="宋体" w:cs="宋体"/>
        </w:rPr>
        <w:t>答案：由于项目A和项目B投资收益率的期望值不相同，所以，不能根据标准差比较风险大小，应该计算各自的标准差率，然后得出结论。</w:t>
      </w:r>
    </w:p>
    <w:p w14:paraId="62A3CA8D">
      <w:pPr>
        <w:jc w:val="left"/>
        <w:rPr>
          <w:rFonts w:ascii="宋体" w:hAnsi="宋体" w:cs="宋体"/>
        </w:rPr>
      </w:pPr>
      <w:r>
        <w:rPr>
          <w:rFonts w:hint="eastAsia" w:ascii="宋体" w:hAnsi="宋体" w:cs="宋体"/>
        </w:rPr>
        <w:t>项目A投资收益率的标准差率＝6%/10%×100%＝60%</w:t>
      </w:r>
    </w:p>
    <w:p w14:paraId="0B7E5E3D">
      <w:pPr>
        <w:jc w:val="left"/>
        <w:rPr>
          <w:rFonts w:ascii="宋体" w:hAnsi="宋体" w:cs="宋体"/>
        </w:rPr>
      </w:pPr>
      <w:r>
        <w:rPr>
          <w:rFonts w:hint="eastAsia" w:ascii="宋体" w:hAnsi="宋体" w:cs="宋体"/>
        </w:rPr>
        <w:t>项目B投资收益率的标准差率＝7%/12%×100%＝58.33%</w:t>
      </w:r>
    </w:p>
    <w:p w14:paraId="5464C3A1">
      <w:pPr>
        <w:jc w:val="left"/>
        <w:rPr>
          <w:rFonts w:ascii="宋体" w:hAnsi="宋体" w:cs="宋体"/>
        </w:rPr>
      </w:pPr>
      <w:r>
        <w:rPr>
          <w:rFonts w:hint="eastAsia" w:ascii="宋体" w:hAnsi="宋体" w:cs="宋体"/>
        </w:rPr>
        <w:t>计算结果表明项目A的风险高于项目B。</w:t>
      </w:r>
    </w:p>
    <w:p w14:paraId="0680B239">
      <w:pPr>
        <w:jc w:val="left"/>
        <w:rPr>
          <w:rFonts w:ascii="宋体" w:hAnsi="宋体" w:cs="宋体"/>
        </w:rPr>
      </w:pPr>
    </w:p>
    <w:p w14:paraId="663160DE">
      <w:pPr>
        <w:jc w:val="left"/>
        <w:rPr>
          <w:rFonts w:ascii="宋体" w:hAnsi="宋体" w:cs="宋体"/>
        </w:rPr>
      </w:pPr>
      <w:r>
        <w:rPr>
          <w:rFonts w:hint="eastAsia" w:ascii="宋体" w:hAnsi="宋体" w:cs="宋体"/>
        </w:rPr>
        <w:t>【单选题】（2023 年）有 AB两种方案，各期望收益率为10%，15%，标准差分别为5%，5%，下列说法正确的是（  ）</w:t>
      </w:r>
    </w:p>
    <w:p w14:paraId="3FE152B3">
      <w:pPr>
        <w:jc w:val="left"/>
        <w:rPr>
          <w:rFonts w:ascii="宋体" w:hAnsi="宋体" w:cs="宋体"/>
        </w:rPr>
      </w:pPr>
      <w:r>
        <w:rPr>
          <w:rFonts w:hint="eastAsia" w:ascii="宋体" w:hAnsi="宋体" w:cs="宋体"/>
        </w:rPr>
        <w:t xml:space="preserve">A.A的风险大于 B       B.A的风险等于 B      </w:t>
      </w:r>
    </w:p>
    <w:p w14:paraId="69DB6261">
      <w:pPr>
        <w:jc w:val="left"/>
        <w:rPr>
          <w:rFonts w:ascii="宋体" w:hAnsi="宋体" w:cs="宋体"/>
        </w:rPr>
      </w:pPr>
      <w:r>
        <w:rPr>
          <w:rFonts w:hint="eastAsia" w:ascii="宋体" w:hAnsi="宋体" w:cs="宋体"/>
        </w:rPr>
        <w:t>C.A的风险小于 B       D.无法判断</w:t>
      </w:r>
    </w:p>
    <w:p w14:paraId="45320A52">
      <w:pPr>
        <w:jc w:val="left"/>
        <w:rPr>
          <w:rFonts w:ascii="宋体" w:hAnsi="宋体" w:cs="宋体"/>
        </w:rPr>
      </w:pPr>
      <w:r>
        <w:rPr>
          <w:rFonts w:hint="eastAsia" w:ascii="宋体" w:hAnsi="宋体" w:cs="宋体"/>
        </w:rPr>
        <w:t>答案：A</w:t>
      </w:r>
    </w:p>
    <w:p w14:paraId="5301D977">
      <w:pPr>
        <w:jc w:val="left"/>
        <w:rPr>
          <w:rFonts w:hint="eastAsia" w:ascii="宋体" w:hAnsi="宋体" w:cs="宋体"/>
        </w:rPr>
      </w:pPr>
      <w:r>
        <w:rPr>
          <w:rFonts w:hint="eastAsia" w:ascii="宋体" w:hAnsi="宋体" w:cs="宋体"/>
        </w:rPr>
        <w:t>解析：由于方案A和方案B投资收益率的期望值不相同，所以不能根据标准差比较风险大小，应该计算各自的标准差率，然后得出结论。方案A投资收益率的标准差率=5%/10%=50%方案B投资收益率的标准差率=5%/15%-33.33%计算结果表明方案A的风险高于方案B.</w:t>
      </w:r>
    </w:p>
    <w:p w14:paraId="56543B3C">
      <w:pPr>
        <w:overflowPunct w:val="0"/>
        <w:jc w:val="center"/>
        <w:rPr>
          <w:rFonts w:ascii="宋体" w:hAnsi="宋体" w:cs="宋体"/>
          <w:b/>
          <w:bCs/>
        </w:rPr>
      </w:pPr>
      <w:r>
        <w:rPr>
          <w:rFonts w:hint="eastAsia" w:ascii="宋体" w:hAnsi="宋体" w:cs="宋体"/>
          <w:b/>
          <w:bCs/>
        </w:rPr>
        <w:t>第二节  收益与风险</w:t>
      </w:r>
    </w:p>
    <w:p w14:paraId="3F2FF384">
      <w:pPr>
        <w:jc w:val="left"/>
        <w:rPr>
          <w:rFonts w:ascii="宋体" w:hAnsi="宋体" w:cs="宋体"/>
          <w:color w:val="FF0000"/>
        </w:rPr>
      </w:pPr>
      <w:r>
        <w:rPr>
          <w:rFonts w:hint="eastAsia" w:ascii="宋体" w:hAnsi="宋体" w:cs="宋体"/>
          <w:color w:val="FF0000"/>
        </w:rPr>
        <w:t>【知识点3】证券资产组合的风险与收益</w:t>
      </w:r>
    </w:p>
    <w:p w14:paraId="104C2E10">
      <w:pPr>
        <w:jc w:val="left"/>
        <w:rPr>
          <w:rFonts w:ascii="宋体" w:hAnsi="宋体" w:cs="宋体"/>
        </w:rPr>
      </w:pPr>
      <w:r>
        <w:rPr>
          <w:rFonts w:hint="eastAsia" w:ascii="宋体" w:hAnsi="宋体" w:cs="宋体"/>
        </w:rPr>
        <w:t>两个或两个以上资产所构成的集合，成为资产组合。如果资产组合中的资产均为有价证券，则该资产组合也称为证券资产组合或证券组合。</w:t>
      </w:r>
    </w:p>
    <w:p w14:paraId="586D5950">
      <w:pPr>
        <w:jc w:val="left"/>
        <w:rPr>
          <w:rFonts w:ascii="宋体" w:hAnsi="宋体" w:cs="宋体"/>
          <w:color w:val="FF0000"/>
        </w:rPr>
      </w:pPr>
      <w:r>
        <w:rPr>
          <w:rFonts w:hint="eastAsia" w:ascii="宋体" w:hAnsi="宋体" w:cs="宋体"/>
          <w:color w:val="FF0000"/>
        </w:rPr>
        <w:t>一、证券资产组合的预期收益率</w:t>
      </w:r>
    </w:p>
    <w:p w14:paraId="6D31B520">
      <w:pPr>
        <w:jc w:val="left"/>
        <w:rPr>
          <w:rFonts w:ascii="宋体" w:hAnsi="宋体" w:cs="宋体"/>
        </w:rPr>
      </w:pPr>
      <w:r>
        <w:rPr>
          <w:rFonts w:hint="eastAsia" w:ascii="宋体" w:hAnsi="宋体" w:cs="宋体"/>
        </w:rPr>
        <w:t>证券资产组合的预期收益率是组成证券资产组合的各种资产收益率的加权平均数，其权数为各种资产在组合中的价值比例。</w:t>
      </w:r>
    </w:p>
    <w:p w14:paraId="6532CF54">
      <w:pPr>
        <w:jc w:val="left"/>
        <w:rPr>
          <w:rFonts w:ascii="宋体" w:hAnsi="宋体" w:cs="宋体"/>
        </w:rPr>
      </w:pPr>
      <w:r>
        <w:rPr>
          <w:rFonts w:hint="eastAsia" w:ascii="宋体" w:hAnsi="宋体" w:cs="宋体"/>
          <w:color w:val="FF0000"/>
        </w:rPr>
        <w:t>【例2-19】</w:t>
      </w:r>
      <w:r>
        <w:rPr>
          <w:rFonts w:hint="eastAsia" w:ascii="宋体" w:hAnsi="宋体" w:cs="宋体"/>
        </w:rPr>
        <w:t>某投资公司的一项投资组合中包含A、B和C三种股票，权重分别为30%、40%和30%，三种股票的预期收益率分别为15%、12%、10%。要求计算该投资组合的预期收益率。</w:t>
      </w:r>
    </w:p>
    <w:p w14:paraId="33D4368E">
      <w:pPr>
        <w:jc w:val="left"/>
        <w:rPr>
          <w:rFonts w:ascii="宋体" w:hAnsi="宋体" w:cs="宋体"/>
        </w:rPr>
      </w:pPr>
      <w:r>
        <w:rPr>
          <w:rFonts w:hint="eastAsia" w:ascii="宋体" w:hAnsi="宋体" w:cs="宋体"/>
          <w:color w:val="FF0000"/>
        </w:rPr>
        <w:t>答案：</w:t>
      </w:r>
      <w:r>
        <w:rPr>
          <w:rFonts w:hint="eastAsia" w:ascii="宋体" w:hAnsi="宋体" w:cs="宋体"/>
        </w:rPr>
        <w:t>该投资组合的预期收益率E（RP）＝ 30%×15%＋40%×12%＋ 30%×10% ＝12.3%</w:t>
      </w:r>
    </w:p>
    <w:p w14:paraId="18D1F691">
      <w:pPr>
        <w:jc w:val="left"/>
        <w:rPr>
          <w:rFonts w:ascii="宋体" w:hAnsi="宋体" w:cs="宋体"/>
        </w:rPr>
      </w:pPr>
    </w:p>
    <w:p w14:paraId="47CA89B1">
      <w:pPr>
        <w:jc w:val="left"/>
        <w:rPr>
          <w:rFonts w:ascii="宋体" w:hAnsi="宋体" w:cs="宋体"/>
        </w:rPr>
      </w:pPr>
      <w:r>
        <w:rPr>
          <w:rFonts w:hint="eastAsia" w:ascii="宋体" w:hAnsi="宋体" w:cs="宋体"/>
        </w:rPr>
        <w:t xml:space="preserve">【单选题】（2022年）某投资组合由 A、B 两种股票构成，权重分别为 40%、60%，两种股票的期望收益率分别为 10%、 15%，两种股票收益率的相关系数为 0.7，则该投资组合的期望收益率为（  ） </w:t>
      </w:r>
    </w:p>
    <w:p w14:paraId="4C109C1E">
      <w:pPr>
        <w:jc w:val="left"/>
        <w:rPr>
          <w:rFonts w:ascii="宋体" w:hAnsi="宋体" w:cs="宋体"/>
        </w:rPr>
      </w:pPr>
      <w:r>
        <w:rPr>
          <w:rFonts w:hint="eastAsia" w:ascii="宋体" w:hAnsi="宋体" w:cs="宋体"/>
        </w:rPr>
        <w:t xml:space="preserve">A.12.5%          B.9.1%          </w:t>
      </w:r>
    </w:p>
    <w:p w14:paraId="3A51C0B2">
      <w:pPr>
        <w:jc w:val="left"/>
        <w:rPr>
          <w:rFonts w:ascii="宋体" w:hAnsi="宋体" w:cs="宋体"/>
        </w:rPr>
      </w:pPr>
      <w:r>
        <w:rPr>
          <w:rFonts w:hint="eastAsia" w:ascii="宋体" w:hAnsi="宋体" w:cs="宋体"/>
        </w:rPr>
        <w:t xml:space="preserve">C.13%          </w:t>
      </w:r>
      <w:r>
        <w:rPr>
          <w:rFonts w:ascii="宋体" w:hAnsi="宋体" w:cs="宋体"/>
        </w:rPr>
        <w:t xml:space="preserve">  </w:t>
      </w:r>
      <w:r>
        <w:rPr>
          <w:rFonts w:hint="eastAsia" w:ascii="宋体" w:hAnsi="宋体" w:cs="宋体"/>
        </w:rPr>
        <w:t xml:space="preserve">D.17.5% </w:t>
      </w:r>
    </w:p>
    <w:p w14:paraId="4D67CF68">
      <w:pPr>
        <w:jc w:val="left"/>
        <w:rPr>
          <w:rFonts w:ascii="宋体" w:hAnsi="宋体" w:cs="宋体"/>
        </w:rPr>
      </w:pPr>
      <w:r>
        <w:rPr>
          <w:rFonts w:hint="eastAsia" w:ascii="宋体" w:hAnsi="宋体" w:cs="宋体"/>
        </w:rPr>
        <w:t xml:space="preserve">答案：C </w:t>
      </w:r>
    </w:p>
    <w:p w14:paraId="2E817C85">
      <w:pPr>
        <w:jc w:val="left"/>
        <w:rPr>
          <w:rFonts w:ascii="宋体" w:hAnsi="宋体" w:cs="宋体"/>
        </w:rPr>
      </w:pPr>
      <w:r>
        <w:rPr>
          <w:rFonts w:hint="eastAsia" w:ascii="宋体" w:hAnsi="宋体" w:cs="宋体"/>
        </w:rPr>
        <w:t>解析：该投资组合的期望收益率=10%*40%+15%*60%=13%</w:t>
      </w:r>
    </w:p>
    <w:p w14:paraId="61B6F2D2">
      <w:pPr>
        <w:jc w:val="left"/>
        <w:rPr>
          <w:rFonts w:ascii="宋体" w:hAnsi="宋体" w:cs="宋体"/>
        </w:rPr>
      </w:pPr>
    </w:p>
    <w:p w14:paraId="57B6B898">
      <w:pPr>
        <w:jc w:val="left"/>
        <w:rPr>
          <w:rFonts w:ascii="宋体" w:hAnsi="宋体" w:cs="宋体"/>
          <w:color w:val="FF0000"/>
        </w:rPr>
      </w:pPr>
      <w:r>
        <w:rPr>
          <w:rFonts w:hint="eastAsia" w:ascii="宋体" w:hAnsi="宋体" w:cs="宋体"/>
          <w:color w:val="FF0000"/>
        </w:rPr>
        <w:t>二、证券资产组合的风险及其衡量</w:t>
      </w:r>
    </w:p>
    <w:p w14:paraId="64232F08">
      <w:pPr>
        <w:jc w:val="left"/>
        <w:rPr>
          <w:rFonts w:ascii="宋体" w:hAnsi="宋体" w:cs="宋体"/>
          <w:color w:val="FF0000"/>
        </w:rPr>
      </w:pPr>
      <w:r>
        <w:rPr>
          <w:rFonts w:hint="eastAsia" w:ascii="宋体" w:hAnsi="宋体" w:cs="宋体"/>
          <w:color w:val="FF0000"/>
        </w:rPr>
        <w:t>（一）基本公式</w:t>
      </w:r>
    </w:p>
    <w:p w14:paraId="5739D457">
      <w:pPr>
        <w:jc w:val="left"/>
        <w:rPr>
          <w:rFonts w:ascii="宋体" w:hAnsi="宋体" w:cs="宋体"/>
        </w:rPr>
      </w:pPr>
      <w:r>
        <w:rPr>
          <w:rFonts w:hint="eastAsia" w:ascii="宋体" w:hAnsi="宋体" w:cs="宋体"/>
        </w:rPr>
        <w:t>两项证券资产组合的收益率的方差满足一下关系式：</w:t>
      </w:r>
    </w:p>
    <w:p w14:paraId="045FEF56">
      <w:pPr>
        <w:jc w:val="left"/>
        <w:rPr>
          <w:rFonts w:ascii="宋体" w:hAnsi="宋体" w:cs="宋体"/>
        </w:rPr>
      </w:pPr>
      <w:r>
        <w:rPr>
          <w:rFonts w:hint="eastAsia" w:ascii="宋体" w:hAnsi="宋体" w:cs="宋体"/>
        </w:rPr>
        <w:drawing>
          <wp:inline distT="0" distB="0" distL="114300" distR="114300">
            <wp:extent cx="3055620" cy="459740"/>
            <wp:effectExtent l="0" t="0" r="11430" b="1651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46"/>
                    <a:stretch>
                      <a:fillRect/>
                    </a:stretch>
                  </pic:blipFill>
                  <pic:spPr>
                    <a:xfrm>
                      <a:off x="0" y="0"/>
                      <a:ext cx="3155637" cy="474918"/>
                    </a:xfrm>
                    <a:prstGeom prst="rect">
                      <a:avLst/>
                    </a:prstGeom>
                    <a:noFill/>
                    <a:ln>
                      <a:noFill/>
                    </a:ln>
                  </pic:spPr>
                </pic:pic>
              </a:graphicData>
            </a:graphic>
          </wp:inline>
        </w:drawing>
      </w:r>
    </w:p>
    <w:p w14:paraId="331BF380">
      <w:pPr>
        <w:jc w:val="left"/>
        <w:rPr>
          <w:rFonts w:ascii="宋体" w:hAnsi="宋体" w:cs="宋体"/>
        </w:rPr>
      </w:pPr>
      <w:r>
        <w:rPr>
          <w:rFonts w:hint="eastAsia" w:ascii="宋体" w:hAnsi="宋体" w:cs="宋体"/>
        </w:rPr>
        <w:t>其中：W表示权重；σ表示标准差；ρ表示两项资产收益率的相关系数，介于[-1，1]之间。</w:t>
      </w:r>
    </w:p>
    <w:p w14:paraId="7846F1F3">
      <w:pPr>
        <w:jc w:val="left"/>
        <w:rPr>
          <w:rFonts w:hint="eastAsia" w:ascii="宋体" w:hAnsi="宋体" w:cs="宋体"/>
        </w:rPr>
      </w:pPr>
      <w:r>
        <w:rPr>
          <w:rFonts w:hint="eastAsia" w:ascii="宋体" w:hAnsi="宋体" w:cs="宋体"/>
        </w:rPr>
        <w:t>（1）当相关系数为最大值1时，此时组合的风险等于组合中各项资产风险的加权平均值。</w:t>
      </w:r>
    </w:p>
    <w:p w14:paraId="5B0576A4">
      <w:pPr>
        <w:jc w:val="left"/>
        <w:rPr>
          <w:rFonts w:ascii="宋体" w:hAnsi="宋体" w:cs="宋体"/>
        </w:rPr>
      </w:pPr>
      <w:r>
        <w:rPr>
          <w:rFonts w:hint="eastAsia" w:ascii="宋体" w:hAnsi="宋体" w:cs="宋体"/>
        </w:rPr>
        <w:drawing>
          <wp:inline distT="0" distB="0" distL="114300" distR="114300">
            <wp:extent cx="4034155" cy="455930"/>
            <wp:effectExtent l="0" t="0" r="4445" b="127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7"/>
                    <a:stretch>
                      <a:fillRect/>
                    </a:stretch>
                  </pic:blipFill>
                  <pic:spPr>
                    <a:xfrm>
                      <a:off x="0" y="0"/>
                      <a:ext cx="4140929" cy="468056"/>
                    </a:xfrm>
                    <a:prstGeom prst="rect">
                      <a:avLst/>
                    </a:prstGeom>
                    <a:noFill/>
                    <a:ln>
                      <a:noFill/>
                    </a:ln>
                  </pic:spPr>
                </pic:pic>
              </a:graphicData>
            </a:graphic>
          </wp:inline>
        </w:drawing>
      </w:r>
    </w:p>
    <w:p w14:paraId="0079BAF8">
      <w:pPr>
        <w:jc w:val="left"/>
        <w:rPr>
          <w:rFonts w:ascii="宋体" w:hAnsi="宋体" w:cs="宋体"/>
        </w:rPr>
      </w:pPr>
      <w:r>
        <w:rPr>
          <w:rFonts w:hint="eastAsia" w:ascii="宋体" w:hAnsi="宋体" w:cs="宋体"/>
        </w:rPr>
        <w:t>两项资产的收益率具有完全正相关的关系，这种情况下，两项资产的收益率变化方向和变化幅度完全相同，两项资产的风险完全不能互相抵消，所以这样的组合不能抵消任何风险。</w:t>
      </w:r>
    </w:p>
    <w:p w14:paraId="3D42F357">
      <w:pPr>
        <w:jc w:val="left"/>
        <w:rPr>
          <w:rFonts w:ascii="宋体" w:hAnsi="宋体" w:cs="宋体"/>
        </w:rPr>
      </w:pPr>
      <w:r>
        <w:rPr>
          <w:rFonts w:hint="eastAsia" w:ascii="宋体" w:hAnsi="宋体" w:cs="宋体"/>
        </w:rPr>
        <w:t>（2）当相关系数为最小值-1时，</w:t>
      </w:r>
    </w:p>
    <w:p w14:paraId="0A5BC118">
      <w:pPr>
        <w:jc w:val="left"/>
        <w:rPr>
          <w:rFonts w:ascii="宋体" w:hAnsi="宋体" w:cs="宋体"/>
        </w:rPr>
      </w:pPr>
      <w:r>
        <w:rPr>
          <w:rFonts w:hint="eastAsia" w:ascii="宋体" w:hAnsi="宋体" w:cs="宋体"/>
        </w:rPr>
        <w:drawing>
          <wp:inline distT="0" distB="0" distL="114300" distR="114300">
            <wp:extent cx="4082415" cy="457835"/>
            <wp:effectExtent l="0" t="0" r="13335" b="1841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8"/>
                    <a:stretch>
                      <a:fillRect/>
                    </a:stretch>
                  </pic:blipFill>
                  <pic:spPr>
                    <a:xfrm>
                      <a:off x="0" y="0"/>
                      <a:ext cx="4155750" cy="466250"/>
                    </a:xfrm>
                    <a:prstGeom prst="rect">
                      <a:avLst/>
                    </a:prstGeom>
                    <a:noFill/>
                    <a:ln>
                      <a:noFill/>
                    </a:ln>
                  </pic:spPr>
                </pic:pic>
              </a:graphicData>
            </a:graphic>
          </wp:inline>
        </w:drawing>
      </w:r>
    </w:p>
    <w:p w14:paraId="1AA40CFB">
      <w:pPr>
        <w:jc w:val="left"/>
        <w:rPr>
          <w:rFonts w:ascii="宋体" w:hAnsi="宋体" w:cs="宋体"/>
        </w:rPr>
      </w:pPr>
      <w:r>
        <w:rPr>
          <w:rFonts w:hint="eastAsia" w:ascii="宋体" w:hAnsi="宋体" w:cs="宋体"/>
        </w:rPr>
        <w:t>当两项资产的收益率具有完全负相关关系时，两者之间的风险可以充分地抵消。这样的资产组合就可以最大程度地抵消风险。</w:t>
      </w:r>
    </w:p>
    <w:p w14:paraId="652752E3">
      <w:pPr>
        <w:jc w:val="left"/>
        <w:rPr>
          <w:rFonts w:ascii="宋体" w:hAnsi="宋体" w:cs="宋体"/>
        </w:rPr>
      </w:pPr>
      <w:r>
        <w:rPr>
          <w:rFonts w:hint="eastAsia" w:ascii="宋体" w:hAnsi="宋体" w:cs="宋体"/>
        </w:rPr>
        <w:t>（3）当相关系数小于1且大于-1时，</w:t>
      </w:r>
      <w:r>
        <w:rPr>
          <w:rFonts w:hint="eastAsia" w:ascii="宋体" w:hAnsi="宋体" w:cs="宋体"/>
        </w:rPr>
        <w:drawing>
          <wp:inline distT="0" distB="0" distL="114300" distR="114300">
            <wp:extent cx="1595755" cy="298450"/>
            <wp:effectExtent l="0" t="0" r="444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9"/>
                    <a:stretch>
                      <a:fillRect/>
                    </a:stretch>
                  </pic:blipFill>
                  <pic:spPr>
                    <a:xfrm>
                      <a:off x="0" y="0"/>
                      <a:ext cx="1663883" cy="311679"/>
                    </a:xfrm>
                    <a:prstGeom prst="rect">
                      <a:avLst/>
                    </a:prstGeom>
                    <a:noFill/>
                    <a:ln>
                      <a:noFill/>
                    </a:ln>
                  </pic:spPr>
                </pic:pic>
              </a:graphicData>
            </a:graphic>
          </wp:inline>
        </w:drawing>
      </w:r>
    </w:p>
    <w:p w14:paraId="36CD61A7">
      <w:pPr>
        <w:jc w:val="left"/>
        <w:rPr>
          <w:rFonts w:ascii="宋体" w:hAnsi="宋体" w:cs="宋体"/>
        </w:rPr>
      </w:pPr>
      <w:r>
        <w:rPr>
          <w:rFonts w:hint="eastAsia" w:ascii="宋体" w:hAnsi="宋体" w:cs="宋体"/>
        </w:rPr>
        <w:t>资产组合可以分散风险，但不能完全消除风险。</w:t>
      </w:r>
    </w:p>
    <w:p w14:paraId="3AFA52CD">
      <w:pPr>
        <w:jc w:val="left"/>
        <w:rPr>
          <w:rFonts w:hint="eastAsia" w:ascii="宋体" w:hAnsi="宋体" w:cs="宋体"/>
          <w:color w:val="FF0000"/>
        </w:rPr>
      </w:pPr>
      <w:r>
        <w:rPr>
          <w:rFonts w:hint="eastAsia" w:ascii="宋体" w:hAnsi="宋体" w:cs="宋体"/>
          <w:color w:val="FF0000"/>
        </w:rPr>
        <w:t>总结：相关系数</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8258"/>
      </w:tblGrid>
      <w:tr w14:paraId="52EC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52D4DDC7">
            <w:pPr>
              <w:rPr>
                <w:rFonts w:ascii="宋体" w:hAnsi="宋体" w:cs="宋体"/>
              </w:rPr>
            </w:pPr>
            <w:r>
              <w:rPr>
                <w:rFonts w:hint="eastAsia" w:ascii="宋体" w:hAnsi="宋体" w:cs="宋体"/>
              </w:rPr>
              <w:t>相关系数=1时</w:t>
            </w:r>
          </w:p>
        </w:tc>
        <w:tc>
          <w:tcPr>
            <w:tcW w:w="4073" w:type="pct"/>
          </w:tcPr>
          <w:p w14:paraId="3C1EB611">
            <w:pPr>
              <w:rPr>
                <w:rFonts w:ascii="宋体" w:hAnsi="宋体" w:cs="宋体"/>
              </w:rPr>
            </w:pPr>
            <w:r>
              <w:rPr>
                <w:rFonts w:ascii="宋体" w:hAnsi="宋体" w:cs="宋体"/>
              </w:rPr>
              <w:t>两项资产组合收益率的标准差σ</w:t>
            </w:r>
            <w:r>
              <w:rPr>
                <w:rFonts w:ascii="宋体" w:hAnsi="宋体" w:cs="宋体"/>
                <w:vertAlign w:val="subscript"/>
              </w:rPr>
              <w:t>ｐ</w:t>
            </w:r>
            <w:r>
              <w:rPr>
                <w:rFonts w:ascii="宋体" w:hAnsi="宋体" w:cs="宋体"/>
              </w:rPr>
              <w:t>＝ｗ</w:t>
            </w:r>
            <w:r>
              <w:rPr>
                <w:rFonts w:ascii="宋体" w:hAnsi="宋体" w:cs="宋体"/>
                <w:vertAlign w:val="subscript"/>
              </w:rPr>
              <w:t>1</w:t>
            </w:r>
            <w:r>
              <w:rPr>
                <w:rFonts w:ascii="宋体" w:hAnsi="宋体" w:cs="宋体"/>
              </w:rPr>
              <w:t>σ</w:t>
            </w:r>
            <w:r>
              <w:rPr>
                <w:rFonts w:ascii="宋体" w:hAnsi="宋体" w:cs="宋体"/>
                <w:vertAlign w:val="subscript"/>
              </w:rPr>
              <w:t>1</w:t>
            </w:r>
            <w:r>
              <w:rPr>
                <w:rFonts w:ascii="宋体" w:hAnsi="宋体" w:cs="宋体"/>
              </w:rPr>
              <w:t>＋ｗ</w:t>
            </w:r>
            <w:r>
              <w:rPr>
                <w:rFonts w:ascii="宋体" w:hAnsi="宋体" w:cs="宋体"/>
                <w:vertAlign w:val="subscript"/>
              </w:rPr>
              <w:t>2</w:t>
            </w:r>
            <w:r>
              <w:rPr>
                <w:rFonts w:ascii="宋体" w:hAnsi="宋体" w:cs="宋体"/>
              </w:rPr>
              <w:t>σ</w:t>
            </w:r>
            <w:r>
              <w:rPr>
                <w:rFonts w:ascii="宋体" w:hAnsi="宋体" w:cs="宋体"/>
                <w:vertAlign w:val="subscript"/>
              </w:rPr>
              <w:t>2</w:t>
            </w:r>
            <w:r>
              <w:rPr>
                <w:rFonts w:ascii="宋体" w:hAnsi="宋体" w:cs="宋体"/>
              </w:rPr>
              <w:t xml:space="preserve"> （加权）</w:t>
            </w:r>
          </w:p>
          <w:p w14:paraId="5FCA6BE2">
            <w:pPr>
              <w:rPr>
                <w:rFonts w:hint="eastAsia" w:ascii="宋体" w:hAnsi="宋体" w:cs="宋体"/>
              </w:rPr>
            </w:pPr>
            <w:r>
              <w:rPr>
                <w:rFonts w:ascii="宋体" w:hAnsi="宋体" w:cs="宋体"/>
              </w:rPr>
              <w:t>完全不能抵消任何风险</w:t>
            </w:r>
          </w:p>
        </w:tc>
      </w:tr>
      <w:tr w14:paraId="0030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41CEAD31">
            <w:pPr>
              <w:rPr>
                <w:rFonts w:ascii="宋体" w:hAnsi="宋体" w:cs="宋体"/>
              </w:rPr>
            </w:pPr>
            <w:r>
              <w:rPr>
                <w:rFonts w:hint="eastAsia" w:ascii="宋体" w:hAnsi="宋体" w:cs="宋体"/>
              </w:rPr>
              <w:t>-1&lt;相关系数&lt;1</w:t>
            </w:r>
          </w:p>
        </w:tc>
        <w:tc>
          <w:tcPr>
            <w:tcW w:w="4073" w:type="pct"/>
          </w:tcPr>
          <w:p w14:paraId="41114C37">
            <w:pPr>
              <w:rPr>
                <w:rFonts w:ascii="宋体" w:hAnsi="宋体" w:cs="宋体"/>
              </w:rPr>
            </w:pPr>
            <w:r>
              <w:rPr>
                <w:rFonts w:hint="eastAsia" w:ascii="宋体" w:hAnsi="宋体" w:cs="宋体"/>
              </w:rPr>
              <w:t>资产组合可以分散风险，但不能完全消除风险</w:t>
            </w:r>
          </w:p>
        </w:tc>
      </w:tr>
      <w:tr w14:paraId="23E1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507DF90D">
            <w:pPr>
              <w:rPr>
                <w:rFonts w:ascii="宋体" w:hAnsi="宋体" w:cs="宋体"/>
              </w:rPr>
            </w:pPr>
            <w:r>
              <w:rPr>
                <w:rFonts w:hint="eastAsia" w:ascii="宋体" w:hAnsi="宋体" w:cs="宋体"/>
              </w:rPr>
              <w:t>相关系数=-1时</w:t>
            </w:r>
          </w:p>
        </w:tc>
        <w:tc>
          <w:tcPr>
            <w:tcW w:w="4073" w:type="pct"/>
          </w:tcPr>
          <w:p w14:paraId="47B7B73C">
            <w:pPr>
              <w:rPr>
                <w:rFonts w:ascii="宋体" w:hAnsi="宋体" w:cs="宋体"/>
              </w:rPr>
            </w:pPr>
            <w:r>
              <w:rPr>
                <w:rFonts w:ascii="宋体" w:hAnsi="宋体" w:cs="宋体"/>
              </w:rPr>
              <w:t>两项资产组合收益率的标准差σ</w:t>
            </w:r>
            <w:r>
              <w:rPr>
                <w:rFonts w:ascii="宋体" w:hAnsi="宋体" w:cs="宋体"/>
                <w:vertAlign w:val="subscript"/>
              </w:rPr>
              <w:t>ｐ</w:t>
            </w:r>
            <w:r>
              <w:rPr>
                <w:rFonts w:ascii="宋体" w:hAnsi="宋体" w:cs="宋体"/>
              </w:rPr>
              <w:t>＝∣ｗ</w:t>
            </w:r>
            <w:r>
              <w:rPr>
                <w:rFonts w:ascii="宋体" w:hAnsi="宋体" w:cs="宋体"/>
                <w:vertAlign w:val="subscript"/>
              </w:rPr>
              <w:t>1</w:t>
            </w:r>
            <w:r>
              <w:rPr>
                <w:rFonts w:ascii="宋体" w:hAnsi="宋体" w:cs="宋体"/>
              </w:rPr>
              <w:t>σ</w:t>
            </w:r>
            <w:r>
              <w:rPr>
                <w:rFonts w:ascii="宋体" w:hAnsi="宋体" w:cs="宋体"/>
                <w:vertAlign w:val="subscript"/>
              </w:rPr>
              <w:t>1</w:t>
            </w:r>
            <w:r>
              <w:rPr>
                <w:rFonts w:ascii="宋体" w:hAnsi="宋体" w:cs="宋体"/>
              </w:rPr>
              <w:t>－ｗ</w:t>
            </w:r>
            <w:r>
              <w:rPr>
                <w:rFonts w:ascii="宋体" w:hAnsi="宋体" w:cs="宋体"/>
                <w:vertAlign w:val="subscript"/>
              </w:rPr>
              <w:t>2</w:t>
            </w:r>
            <w:r>
              <w:rPr>
                <w:rFonts w:ascii="宋体" w:hAnsi="宋体" w:cs="宋体"/>
              </w:rPr>
              <w:t>σ</w:t>
            </w:r>
            <w:r>
              <w:rPr>
                <w:rFonts w:ascii="宋体" w:hAnsi="宋体" w:cs="宋体"/>
                <w:vertAlign w:val="subscript"/>
              </w:rPr>
              <w:t>2</w:t>
            </w:r>
            <w:r>
              <w:rPr>
                <w:rFonts w:ascii="宋体" w:hAnsi="宋体" w:cs="宋体"/>
              </w:rPr>
              <w:t xml:space="preserve">∣ </w:t>
            </w:r>
          </w:p>
          <w:p w14:paraId="425D0F1D">
            <w:pPr>
              <w:rPr>
                <w:rFonts w:hint="eastAsia" w:ascii="宋体" w:hAnsi="宋体" w:cs="宋体"/>
              </w:rPr>
            </w:pPr>
            <w:r>
              <w:rPr>
                <w:rFonts w:ascii="宋体" w:hAnsi="宋体" w:cs="宋体"/>
              </w:rPr>
              <w:t>最大程度抵消风险</w:t>
            </w:r>
          </w:p>
        </w:tc>
      </w:tr>
    </w:tbl>
    <w:p w14:paraId="2EFFF34A">
      <w:pPr>
        <w:jc w:val="left"/>
        <w:rPr>
          <w:rFonts w:ascii="宋体" w:hAnsi="宋体" w:cs="宋体"/>
        </w:rPr>
      </w:pPr>
    </w:p>
    <w:p w14:paraId="136E24D4">
      <w:pPr>
        <w:jc w:val="left"/>
        <w:rPr>
          <w:rFonts w:ascii="宋体" w:hAnsi="宋体" w:cs="宋体"/>
        </w:rPr>
      </w:pPr>
      <w:r>
        <w:rPr>
          <w:rFonts w:hint="eastAsia" w:ascii="宋体" w:hAnsi="宋体" w:cs="宋体"/>
        </w:rPr>
        <w:t xml:space="preserve">【多选题】（2021年）在两种证券构成的投资组合中，关于两种证券收益率的相关系数，下列说法正确的有（  ） 。 </w:t>
      </w:r>
    </w:p>
    <w:p w14:paraId="77330064">
      <w:pPr>
        <w:jc w:val="left"/>
        <w:rPr>
          <w:rFonts w:ascii="宋体" w:hAnsi="宋体" w:cs="宋体"/>
        </w:rPr>
      </w:pPr>
      <w:r>
        <w:rPr>
          <w:rFonts w:hint="eastAsia" w:ascii="宋体" w:hAnsi="宋体" w:cs="宋体"/>
        </w:rPr>
        <w:t xml:space="preserve">A.当相关系数为 0 时，两种证券的收益率不相关 </w:t>
      </w:r>
    </w:p>
    <w:p w14:paraId="147AFEE9">
      <w:pPr>
        <w:jc w:val="left"/>
        <w:rPr>
          <w:rFonts w:ascii="宋体" w:hAnsi="宋体" w:cs="宋体"/>
        </w:rPr>
      </w:pPr>
      <w:r>
        <w:rPr>
          <w:rFonts w:hint="eastAsia" w:ascii="宋体" w:hAnsi="宋体" w:cs="宋体"/>
        </w:rPr>
        <w:t xml:space="preserve">B.相关系数的绝对值可能大于 1 </w:t>
      </w:r>
    </w:p>
    <w:p w14:paraId="0EC2C0A5">
      <w:pPr>
        <w:jc w:val="left"/>
        <w:rPr>
          <w:rFonts w:ascii="宋体" w:hAnsi="宋体" w:cs="宋体"/>
        </w:rPr>
      </w:pPr>
      <w:r>
        <w:rPr>
          <w:rFonts w:hint="eastAsia" w:ascii="宋体" w:hAnsi="宋体" w:cs="宋体"/>
        </w:rPr>
        <w:t xml:space="preserve">C.当相关系数为-1 时，该投资组合能最大限度地降低风险 </w:t>
      </w:r>
    </w:p>
    <w:p w14:paraId="2824C4D8">
      <w:pPr>
        <w:jc w:val="left"/>
        <w:rPr>
          <w:rFonts w:ascii="宋体" w:hAnsi="宋体" w:cs="宋体"/>
        </w:rPr>
      </w:pPr>
      <w:r>
        <w:rPr>
          <w:rFonts w:hint="eastAsia" w:ascii="宋体" w:hAnsi="宋体" w:cs="宋体"/>
        </w:rPr>
        <w:t xml:space="preserve">D.当相关系数为 0.5 时，该投资组合不能分散风险 </w:t>
      </w:r>
    </w:p>
    <w:p w14:paraId="1AB49482">
      <w:pPr>
        <w:jc w:val="left"/>
        <w:rPr>
          <w:rFonts w:ascii="宋体" w:hAnsi="宋体" w:cs="宋体"/>
        </w:rPr>
      </w:pPr>
      <w:r>
        <w:rPr>
          <w:rFonts w:hint="eastAsia" w:ascii="宋体" w:hAnsi="宋体" w:cs="宋体"/>
        </w:rPr>
        <w:t xml:space="preserve">答案：AC </w:t>
      </w:r>
    </w:p>
    <w:p w14:paraId="177D62F2">
      <w:pPr>
        <w:jc w:val="left"/>
        <w:rPr>
          <w:rFonts w:hint="eastAsia" w:ascii="宋体" w:hAnsi="宋体" w:cs="宋体"/>
        </w:rPr>
      </w:pPr>
      <w:r>
        <w:rPr>
          <w:rFonts w:hint="eastAsia" w:ascii="宋体" w:hAnsi="宋体" w:cs="宋体"/>
        </w:rPr>
        <w:t xml:space="preserve">解析：两种证券收益率的相关系数，理论上介于区间[-1，1]内，因此绝对值不会大于 1。选项 B 错误。当相关系 数等于 1 时，两种证券的收益率完全正相关，这样的组合不能降低任何风险。在取值范围内，只要相关系数不为 1，就可以在一定程度上分散风险。选项 D 错误。 </w:t>
      </w:r>
    </w:p>
    <w:p w14:paraId="33717CDB">
      <w:pPr>
        <w:overflowPunct w:val="0"/>
        <w:jc w:val="center"/>
        <w:rPr>
          <w:rFonts w:ascii="宋体" w:hAnsi="宋体" w:cs="宋体"/>
          <w:b/>
          <w:bCs/>
        </w:rPr>
      </w:pPr>
      <w:r>
        <w:rPr>
          <w:rFonts w:hint="eastAsia" w:ascii="宋体" w:hAnsi="宋体" w:cs="宋体"/>
          <w:b/>
          <w:bCs/>
        </w:rPr>
        <w:t>第二节  收益与风险</w:t>
      </w:r>
    </w:p>
    <w:p w14:paraId="659F3D4B">
      <w:pPr>
        <w:jc w:val="left"/>
        <w:rPr>
          <w:rFonts w:hint="eastAsia" w:ascii="宋体" w:hAnsi="宋体" w:cs="宋体"/>
          <w:color w:val="FF0000"/>
        </w:rPr>
      </w:pPr>
      <w:r>
        <w:rPr>
          <w:rFonts w:hint="eastAsia" w:ascii="宋体" w:hAnsi="宋体" w:cs="宋体"/>
          <w:color w:val="FF0000"/>
        </w:rPr>
        <w:t>【知识点4】非系统性风险与系统性风险</w:t>
      </w:r>
    </w:p>
    <w:p w14:paraId="472564FE">
      <w:pPr>
        <w:jc w:val="left"/>
        <w:rPr>
          <w:rFonts w:ascii="宋体" w:hAnsi="宋体" w:cs="宋体"/>
        </w:rPr>
      </w:pPr>
      <w:r>
        <w:rPr>
          <w:rFonts w:hint="eastAsia" w:ascii="宋体" w:hAnsi="宋体" w:cs="宋体"/>
        </w:rPr>
        <w:drawing>
          <wp:inline distT="0" distB="0" distL="114300" distR="114300">
            <wp:extent cx="3432810" cy="1846580"/>
            <wp:effectExtent l="0" t="0" r="15240" b="127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0"/>
                    <a:stretch>
                      <a:fillRect/>
                    </a:stretch>
                  </pic:blipFill>
                  <pic:spPr>
                    <a:xfrm>
                      <a:off x="0" y="0"/>
                      <a:ext cx="3445170" cy="1853444"/>
                    </a:xfrm>
                    <a:prstGeom prst="rect">
                      <a:avLst/>
                    </a:prstGeom>
                    <a:noFill/>
                    <a:ln>
                      <a:noFill/>
                    </a:ln>
                  </pic:spPr>
                </pic:pic>
              </a:graphicData>
            </a:graphic>
          </wp:inline>
        </w:drawing>
      </w:r>
    </w:p>
    <w:p w14:paraId="7CA45994">
      <w:pPr>
        <w:jc w:val="left"/>
        <w:rPr>
          <w:rFonts w:ascii="宋体" w:hAnsi="宋体" w:cs="宋体"/>
        </w:rPr>
      </w:pPr>
      <w:r>
        <w:rPr>
          <w:rFonts w:hint="eastAsia" w:ascii="宋体" w:hAnsi="宋体" w:cs="宋体"/>
        </w:rPr>
        <w:t>【提示1】系统性风险不能抵消，用ß衡量</w:t>
      </w:r>
    </w:p>
    <w:p w14:paraId="676823A4">
      <w:pPr>
        <w:jc w:val="left"/>
        <w:rPr>
          <w:rFonts w:ascii="宋体" w:hAnsi="宋体" w:cs="宋体"/>
        </w:rPr>
      </w:pPr>
      <w:r>
        <w:rPr>
          <w:rFonts w:hint="eastAsia" w:ascii="宋体" w:hAnsi="宋体" w:cs="宋体"/>
        </w:rPr>
        <w:t>【提示2】理性专业的投资者可以通过多个资产组合进行分散化消除非系统性风险，市场不会给予任何价格的补偿</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5165"/>
        <w:gridCol w:w="3380"/>
      </w:tblGrid>
      <w:tr w14:paraId="1255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5" w:type="pct"/>
          </w:tcPr>
          <w:p w14:paraId="21443E96">
            <w:pPr>
              <w:jc w:val="left"/>
              <w:rPr>
                <w:rFonts w:ascii="宋体" w:hAnsi="宋体" w:cs="宋体"/>
              </w:rPr>
            </w:pPr>
            <w:r>
              <w:rPr>
                <w:rFonts w:hint="eastAsia" w:ascii="宋体" w:hAnsi="宋体" w:cs="宋体"/>
              </w:rPr>
              <w:t>类型</w:t>
            </w:r>
          </w:p>
        </w:tc>
        <w:tc>
          <w:tcPr>
            <w:tcW w:w="2548" w:type="pct"/>
          </w:tcPr>
          <w:p w14:paraId="2068E1BB">
            <w:pPr>
              <w:jc w:val="left"/>
              <w:rPr>
                <w:rFonts w:ascii="宋体" w:hAnsi="宋体" w:cs="宋体"/>
              </w:rPr>
            </w:pPr>
            <w:r>
              <w:rPr>
                <w:rFonts w:hint="eastAsia" w:ascii="宋体" w:hAnsi="宋体" w:cs="宋体"/>
              </w:rPr>
              <w:t>定义</w:t>
            </w:r>
          </w:p>
        </w:tc>
        <w:tc>
          <w:tcPr>
            <w:tcW w:w="1667" w:type="pct"/>
          </w:tcPr>
          <w:p w14:paraId="420FACA2">
            <w:pPr>
              <w:jc w:val="left"/>
              <w:rPr>
                <w:rFonts w:ascii="宋体" w:hAnsi="宋体" w:cs="宋体"/>
              </w:rPr>
            </w:pPr>
            <w:r>
              <w:rPr>
                <w:rFonts w:hint="eastAsia" w:ascii="宋体" w:hAnsi="宋体" w:cs="宋体"/>
              </w:rPr>
              <w:t>特点</w:t>
            </w:r>
          </w:p>
        </w:tc>
      </w:tr>
      <w:tr w14:paraId="0CBD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49AC5663">
            <w:pPr>
              <w:jc w:val="left"/>
              <w:rPr>
                <w:rFonts w:ascii="宋体" w:hAnsi="宋体" w:cs="宋体"/>
              </w:rPr>
            </w:pPr>
            <w:r>
              <w:rPr>
                <w:rFonts w:hint="eastAsia" w:ascii="宋体" w:hAnsi="宋体" w:cs="宋体"/>
              </w:rPr>
              <w:t>非系统性风险</w:t>
            </w:r>
          </w:p>
        </w:tc>
        <w:tc>
          <w:tcPr>
            <w:tcW w:w="2548" w:type="pct"/>
          </w:tcPr>
          <w:p w14:paraId="7C0B56A9">
            <w:pPr>
              <w:jc w:val="left"/>
              <w:rPr>
                <w:rFonts w:ascii="宋体" w:hAnsi="宋体" w:cs="宋体"/>
              </w:rPr>
            </w:pPr>
            <w:r>
              <w:rPr>
                <w:rFonts w:hint="eastAsia" w:ascii="宋体" w:hAnsi="宋体" w:cs="宋体"/>
              </w:rPr>
              <w:t>是指发生于个别公司的特有事件造成的风险，因此也称</w:t>
            </w:r>
            <w:r>
              <w:rPr>
                <w:rFonts w:hint="eastAsia" w:ascii="宋体" w:hAnsi="宋体" w:cs="宋体"/>
                <w:color w:val="FF0000"/>
              </w:rPr>
              <w:t>“特殊风险”</w:t>
            </w:r>
            <w:r>
              <w:rPr>
                <w:rFonts w:hint="eastAsia" w:ascii="宋体" w:hAnsi="宋体" w:cs="宋体"/>
              </w:rPr>
              <w:t>，或</w:t>
            </w:r>
            <w:r>
              <w:rPr>
                <w:rFonts w:hint="eastAsia" w:ascii="宋体" w:hAnsi="宋体" w:cs="宋体"/>
                <w:color w:val="FF0000"/>
              </w:rPr>
              <w:t>“特有风险”</w:t>
            </w:r>
            <w:r>
              <w:rPr>
                <w:rFonts w:hint="eastAsia" w:ascii="宋体" w:hAnsi="宋体" w:cs="宋体"/>
              </w:rPr>
              <w:t>。</w:t>
            </w:r>
          </w:p>
        </w:tc>
        <w:tc>
          <w:tcPr>
            <w:tcW w:w="1667" w:type="pct"/>
          </w:tcPr>
          <w:p w14:paraId="0D8B62F8">
            <w:pPr>
              <w:jc w:val="left"/>
              <w:rPr>
                <w:rFonts w:ascii="宋体" w:hAnsi="宋体" w:cs="宋体"/>
              </w:rPr>
            </w:pPr>
            <w:r>
              <w:rPr>
                <w:rFonts w:hint="eastAsia" w:ascii="宋体" w:hAnsi="宋体" w:cs="宋体"/>
              </w:rPr>
              <w:t>经验数据表明，组合中不同行业的资产个数达到20个时，绝大多数非系统性风险均已被消除掉。</w:t>
            </w:r>
          </w:p>
        </w:tc>
      </w:tr>
      <w:tr w14:paraId="0F87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445ED057">
            <w:pPr>
              <w:jc w:val="left"/>
              <w:rPr>
                <w:rFonts w:ascii="宋体" w:hAnsi="宋体" w:cs="宋体"/>
              </w:rPr>
            </w:pPr>
            <w:r>
              <w:rPr>
                <w:rFonts w:hint="eastAsia" w:ascii="宋体" w:hAnsi="宋体" w:cs="宋体"/>
              </w:rPr>
              <w:t>系统性风险</w:t>
            </w:r>
          </w:p>
        </w:tc>
        <w:tc>
          <w:tcPr>
            <w:tcW w:w="2548" w:type="pct"/>
          </w:tcPr>
          <w:p w14:paraId="04FD4D26">
            <w:pPr>
              <w:jc w:val="left"/>
              <w:rPr>
                <w:rFonts w:ascii="宋体" w:hAnsi="宋体" w:cs="宋体"/>
              </w:rPr>
            </w:pPr>
            <w:r>
              <w:rPr>
                <w:rFonts w:hint="eastAsia" w:ascii="宋体" w:hAnsi="宋体" w:cs="宋体"/>
              </w:rPr>
              <w:t>又称为</w:t>
            </w:r>
            <w:r>
              <w:rPr>
                <w:rFonts w:hint="eastAsia" w:ascii="宋体" w:hAnsi="宋体" w:cs="宋体"/>
                <w:color w:val="FF0000"/>
              </w:rPr>
              <w:t>市场风险</w:t>
            </w:r>
            <w:r>
              <w:rPr>
                <w:rFonts w:hint="eastAsia" w:ascii="宋体" w:hAnsi="宋体" w:cs="宋体"/>
              </w:rPr>
              <w:t>或</w:t>
            </w:r>
            <w:r>
              <w:rPr>
                <w:rFonts w:hint="eastAsia" w:ascii="宋体" w:hAnsi="宋体" w:cs="宋体"/>
                <w:color w:val="FF0000"/>
              </w:rPr>
              <w:t>不可分散风险。</w:t>
            </w:r>
            <w:r>
              <w:rPr>
                <w:rFonts w:hint="eastAsia" w:ascii="宋体" w:hAnsi="宋体" w:cs="宋体"/>
              </w:rPr>
              <w:t>影响整个市场的风险因素所引起，包括宏观经济形势变动、国家经济政策变化、税制改革、企业会计准则改革、世界能源状况、政治因素等等。</w:t>
            </w:r>
          </w:p>
        </w:tc>
        <w:tc>
          <w:tcPr>
            <w:tcW w:w="1667" w:type="pct"/>
          </w:tcPr>
          <w:p w14:paraId="43FFBB8E">
            <w:pPr>
              <w:jc w:val="left"/>
              <w:rPr>
                <w:rFonts w:ascii="宋体" w:hAnsi="宋体" w:cs="宋体"/>
              </w:rPr>
            </w:pPr>
            <w:r>
              <w:rPr>
                <w:rFonts w:hint="eastAsia" w:ascii="宋体" w:hAnsi="宋体" w:cs="宋体"/>
              </w:rPr>
              <w:t>所有资产的、不能通过风险分散而消除的风险</w:t>
            </w:r>
          </w:p>
        </w:tc>
      </w:tr>
    </w:tbl>
    <w:p w14:paraId="3AE5B271">
      <w:pPr>
        <w:jc w:val="left"/>
        <w:rPr>
          <w:rFonts w:ascii="宋体" w:hAnsi="宋体" w:cs="宋体"/>
        </w:rPr>
      </w:pPr>
    </w:p>
    <w:p w14:paraId="5A31FF57">
      <w:pPr>
        <w:jc w:val="left"/>
        <w:rPr>
          <w:rFonts w:ascii="宋体" w:hAnsi="宋体" w:cs="宋体"/>
        </w:rPr>
      </w:pPr>
      <w:r>
        <w:rPr>
          <w:rFonts w:hint="eastAsia" w:ascii="宋体" w:hAnsi="宋体" w:cs="宋体"/>
        </w:rPr>
        <w:t>【判断题】（2018年）投资于某公司证券，因该公司破产导致无法收回本金的风险，属于非系统性风险。（  ）</w:t>
      </w:r>
    </w:p>
    <w:p w14:paraId="29A07F56">
      <w:pPr>
        <w:jc w:val="left"/>
        <w:rPr>
          <w:rFonts w:ascii="宋体" w:hAnsi="宋体" w:cs="宋体"/>
        </w:rPr>
      </w:pPr>
      <w:r>
        <w:rPr>
          <w:rFonts w:hint="eastAsia" w:ascii="宋体" w:hAnsi="宋体" w:cs="宋体"/>
        </w:rPr>
        <w:t>答案：正确</w:t>
      </w:r>
    </w:p>
    <w:p w14:paraId="4565858A">
      <w:pPr>
        <w:jc w:val="left"/>
        <w:rPr>
          <w:rFonts w:ascii="宋体" w:hAnsi="宋体" w:cs="宋体"/>
        </w:rPr>
      </w:pPr>
      <w:r>
        <w:rPr>
          <w:rFonts w:hint="eastAsia" w:ascii="宋体" w:hAnsi="宋体" w:cs="宋体"/>
        </w:rPr>
        <w:t>解析：非系统性风险是指发生于个别公司的特有事件造成的风险。某一证券公司破产导致无法收回投资本金，属于非系统性风险。不随着组合中资产数目的增加而消失的始终存在的风险系统性风险。</w:t>
      </w:r>
    </w:p>
    <w:p w14:paraId="68929A39">
      <w:pPr>
        <w:jc w:val="left"/>
        <w:rPr>
          <w:rFonts w:ascii="宋体" w:hAnsi="宋体" w:cs="宋体"/>
        </w:rPr>
      </w:pPr>
    </w:p>
    <w:p w14:paraId="280FD516">
      <w:pPr>
        <w:jc w:val="left"/>
        <w:rPr>
          <w:rFonts w:ascii="宋体" w:hAnsi="宋体" w:cs="宋体"/>
          <w:color w:val="FF0000"/>
        </w:rPr>
      </w:pPr>
      <w:r>
        <w:rPr>
          <w:rFonts w:hint="eastAsia" w:ascii="宋体" w:hAnsi="宋体" w:cs="宋体"/>
          <w:color w:val="FF0000"/>
        </w:rPr>
        <w:t>（三）系统性风险衡量指标</w:t>
      </w:r>
    </w:p>
    <w:p w14:paraId="423B640E">
      <w:pPr>
        <w:jc w:val="left"/>
        <w:rPr>
          <w:rFonts w:ascii="宋体" w:hAnsi="宋体" w:cs="宋体"/>
        </w:rPr>
      </w:pPr>
      <w:r>
        <w:rPr>
          <w:rFonts w:hint="eastAsia" w:ascii="宋体" w:hAnsi="宋体" w:cs="宋体"/>
        </w:rPr>
        <w:t>用β系数对系统性风险进行量化时，以市场组合的系统性风险为基准。</w:t>
      </w:r>
    </w:p>
    <w:p w14:paraId="75941F8B">
      <w:pPr>
        <w:jc w:val="left"/>
        <w:rPr>
          <w:rFonts w:ascii="宋体" w:hAnsi="宋体" w:cs="宋体"/>
          <w:color w:val="FF0000"/>
        </w:rPr>
      </w:pPr>
      <w:r>
        <w:rPr>
          <w:rFonts w:hint="eastAsia" w:ascii="宋体" w:hAnsi="宋体" w:cs="宋体"/>
          <w:color w:val="FF0000"/>
        </w:rPr>
        <w:t>1.单项资产的β系数</w:t>
      </w:r>
    </w:p>
    <w:p w14:paraId="387728C9">
      <w:pPr>
        <w:jc w:val="left"/>
        <w:rPr>
          <w:rFonts w:ascii="宋体" w:hAnsi="宋体" w:cs="宋体"/>
        </w:rPr>
      </w:pPr>
      <w:r>
        <w:rPr>
          <w:rFonts w:hint="eastAsia" w:ascii="宋体" w:hAnsi="宋体" w:cs="宋体"/>
        </w:rPr>
        <w:t>贝塔系数是度量一项资产系统性风险的指标，不同资产的系统性风险不同，度量一项资产的系统性风险的指标是β系数。该项资产的β系数是相对于市场组合而言特定资产的系统性风险的大小，而市场组合相对于自身的β系数是1。</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9272"/>
      </w:tblGrid>
      <w:tr w14:paraId="66D4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155BE431">
            <w:pPr>
              <w:rPr>
                <w:rFonts w:ascii="宋体" w:hAnsi="宋体" w:cs="宋体"/>
              </w:rPr>
            </w:pPr>
            <w:r>
              <w:rPr>
                <w:rFonts w:hint="eastAsia" w:ascii="宋体" w:hAnsi="宋体" w:cs="宋体"/>
              </w:rPr>
              <w:t>β＝1</w:t>
            </w:r>
          </w:p>
        </w:tc>
        <w:tc>
          <w:tcPr>
            <w:tcW w:w="4573" w:type="pct"/>
          </w:tcPr>
          <w:p w14:paraId="782EF04F">
            <w:pPr>
              <w:rPr>
                <w:rFonts w:ascii="宋体" w:hAnsi="宋体" w:cs="宋体"/>
              </w:rPr>
            </w:pPr>
            <w:r>
              <w:rPr>
                <w:rFonts w:hint="eastAsia" w:ascii="宋体" w:hAnsi="宋体" w:cs="宋体"/>
              </w:rPr>
              <w:t>该资产的报酬率与市场平均报酬率呈同方向、同比例的变化。该资产所含的系统性风险与市场组合的风险一致</w:t>
            </w:r>
          </w:p>
        </w:tc>
      </w:tr>
      <w:tr w14:paraId="1375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79A5A74A">
            <w:pPr>
              <w:rPr>
                <w:rFonts w:ascii="宋体" w:hAnsi="宋体" w:cs="宋体"/>
              </w:rPr>
            </w:pPr>
            <w:r>
              <w:rPr>
                <w:rFonts w:hint="eastAsia" w:ascii="宋体" w:hAnsi="宋体" w:cs="宋体"/>
              </w:rPr>
              <w:t>β＜1</w:t>
            </w:r>
          </w:p>
        </w:tc>
        <w:tc>
          <w:tcPr>
            <w:tcW w:w="4573" w:type="pct"/>
          </w:tcPr>
          <w:p w14:paraId="653A095A">
            <w:pPr>
              <w:rPr>
                <w:rFonts w:ascii="宋体" w:hAnsi="宋体" w:cs="宋体"/>
              </w:rPr>
            </w:pPr>
            <w:r>
              <w:rPr>
                <w:rFonts w:hint="eastAsia" w:ascii="宋体" w:hAnsi="宋体" w:cs="宋体"/>
              </w:rPr>
              <w:t>该资产报酬率的波动幅度小于市场组合报酬率的波动幅度，所含的系统性风险小于市场组合的风险</w:t>
            </w:r>
          </w:p>
        </w:tc>
      </w:tr>
      <w:tr w14:paraId="16FF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3FD477B9">
            <w:pPr>
              <w:rPr>
                <w:rFonts w:ascii="宋体" w:hAnsi="宋体" w:cs="宋体"/>
              </w:rPr>
            </w:pPr>
            <w:r>
              <w:rPr>
                <w:rFonts w:hint="eastAsia" w:ascii="宋体" w:hAnsi="宋体" w:cs="宋体"/>
              </w:rPr>
              <w:t>β＞1</w:t>
            </w:r>
          </w:p>
        </w:tc>
        <w:tc>
          <w:tcPr>
            <w:tcW w:w="4573" w:type="pct"/>
          </w:tcPr>
          <w:p w14:paraId="1EB9C3A0">
            <w:pPr>
              <w:rPr>
                <w:rFonts w:ascii="宋体" w:hAnsi="宋体" w:cs="宋体"/>
              </w:rPr>
            </w:pPr>
            <w:r>
              <w:rPr>
                <w:rFonts w:hint="eastAsia" w:ascii="宋体" w:hAnsi="宋体" w:cs="宋体"/>
              </w:rPr>
              <w:t>该资产报酬率的波动幅度大于市场组合报酬率的波动幅度，所含的系统性风险大于市场组合风险</w:t>
            </w:r>
          </w:p>
        </w:tc>
      </w:tr>
    </w:tbl>
    <w:p w14:paraId="5F895A55">
      <w:pPr>
        <w:jc w:val="left"/>
        <w:rPr>
          <w:rFonts w:ascii="宋体" w:hAnsi="宋体" w:cs="宋体"/>
        </w:rPr>
      </w:pPr>
      <w:r>
        <w:rPr>
          <w:rFonts w:hint="eastAsia" w:ascii="宋体" w:hAnsi="宋体" w:cs="宋体"/>
          <w:color w:val="FF0000"/>
        </w:rPr>
        <w:t>【注意】</w:t>
      </w:r>
      <w:r>
        <w:rPr>
          <w:rFonts w:hint="eastAsia" w:ascii="宋体" w:hAnsi="宋体" w:cs="宋体"/>
        </w:rPr>
        <w:t>绝大多数资产的β系数是大于零的，它们收益率的变化方向与市场平均收益率的变化方向是一致的，</w:t>
      </w:r>
      <w:r>
        <w:rPr>
          <w:rFonts w:hint="eastAsia" w:ascii="宋体" w:hAnsi="宋体" w:cs="宋体"/>
          <w:color w:val="FF0000"/>
        </w:rPr>
        <w:t>极个别的资产的β系数是负数</w:t>
      </w:r>
      <w:r>
        <w:rPr>
          <w:rFonts w:hint="eastAsia" w:ascii="宋体" w:hAnsi="宋体" w:cs="宋体"/>
        </w:rPr>
        <w:t>，表明这类资产与市场平均收益的变化方向相反</w:t>
      </w:r>
    </w:p>
    <w:p w14:paraId="077A0EF2">
      <w:pPr>
        <w:jc w:val="left"/>
        <w:rPr>
          <w:rFonts w:ascii="宋体" w:hAnsi="宋体" w:cs="宋体"/>
          <w:color w:val="FF0000"/>
        </w:rPr>
      </w:pPr>
      <w:r>
        <w:rPr>
          <w:rFonts w:hint="eastAsia" w:ascii="宋体" w:hAnsi="宋体" w:cs="宋体"/>
          <w:color w:val="FF0000"/>
        </w:rPr>
        <w:t>2.资产组合的系统性风险β系数</w:t>
      </w:r>
    </w:p>
    <w:p w14:paraId="7467EA14">
      <w:pPr>
        <w:jc w:val="left"/>
        <w:rPr>
          <w:rFonts w:ascii="宋体" w:hAnsi="宋体" w:cs="宋体"/>
        </w:rPr>
      </w:pPr>
      <w:r>
        <w:rPr>
          <w:rFonts w:hint="eastAsia" w:ascii="宋体" w:hAnsi="宋体" w:cs="宋体"/>
        </w:rPr>
        <w:t>组合内各项资产β系数的加权平均值。</w:t>
      </w:r>
    </w:p>
    <w:p w14:paraId="3334BF99">
      <w:pPr>
        <w:jc w:val="left"/>
        <w:rPr>
          <w:rFonts w:ascii="宋体" w:hAnsi="宋体" w:cs="宋体"/>
        </w:rPr>
      </w:pPr>
      <w:r>
        <w:rPr>
          <w:rFonts w:hint="eastAsia" w:ascii="宋体" w:hAnsi="宋体" w:cs="宋体"/>
        </w:rPr>
        <w:drawing>
          <wp:inline distT="0" distB="0" distL="114300" distR="114300">
            <wp:extent cx="1283335" cy="254000"/>
            <wp:effectExtent l="0" t="0" r="12065" b="1270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51"/>
                    <a:stretch>
                      <a:fillRect/>
                    </a:stretch>
                  </pic:blipFill>
                  <pic:spPr>
                    <a:xfrm>
                      <a:off x="0" y="0"/>
                      <a:ext cx="1352160" cy="267773"/>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833755" cy="316230"/>
            <wp:effectExtent l="0" t="0" r="444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2"/>
                    <a:stretch>
                      <a:fillRect/>
                    </a:stretch>
                  </pic:blipFill>
                  <pic:spPr>
                    <a:xfrm>
                      <a:off x="0" y="0"/>
                      <a:ext cx="862007" cy="326931"/>
                    </a:xfrm>
                    <a:prstGeom prst="rect">
                      <a:avLst/>
                    </a:prstGeom>
                    <a:noFill/>
                    <a:ln>
                      <a:noFill/>
                    </a:ln>
                  </pic:spPr>
                </pic:pic>
              </a:graphicData>
            </a:graphic>
          </wp:inline>
        </w:drawing>
      </w:r>
    </w:p>
    <w:p w14:paraId="70D60FB3">
      <w:pPr>
        <w:jc w:val="left"/>
        <w:rPr>
          <w:rFonts w:ascii="宋体" w:hAnsi="宋体" w:cs="宋体"/>
        </w:rPr>
      </w:pPr>
      <w:r>
        <w:rPr>
          <w:rFonts w:hint="eastAsia" w:ascii="宋体" w:hAnsi="宋体" w:cs="宋体"/>
        </w:rPr>
        <w:t>【提示】由于系统性风险不能被分散，因此，组合的β系数就是构成组合的各单项资产β系数的加权平均数。</w:t>
      </w:r>
    </w:p>
    <w:p w14:paraId="11125800">
      <w:pPr>
        <w:jc w:val="left"/>
        <w:rPr>
          <w:rFonts w:hint="eastAsia" w:ascii="宋体" w:hAnsi="宋体" w:cs="宋体"/>
          <w:color w:val="FF0000"/>
        </w:rPr>
      </w:pPr>
      <w:r>
        <w:rPr>
          <w:rFonts w:hint="eastAsia" w:ascii="宋体" w:hAnsi="宋体" w:cs="宋体"/>
          <w:color w:val="FF0000"/>
        </w:rPr>
        <w:t>风险衡量总结：</w:t>
      </w:r>
    </w:p>
    <w:p w14:paraId="138F1CC3">
      <w:pPr>
        <w:jc w:val="left"/>
        <w:rPr>
          <w:rFonts w:ascii="宋体" w:hAnsi="宋体" w:cs="宋体"/>
        </w:rPr>
      </w:pPr>
      <w:r>
        <w:rPr>
          <w:rFonts w:hint="eastAsia" w:ascii="宋体" w:hAnsi="宋体" w:cs="宋体"/>
        </w:rPr>
        <w:drawing>
          <wp:inline distT="0" distB="0" distL="114300" distR="114300">
            <wp:extent cx="4378960" cy="1472565"/>
            <wp:effectExtent l="0" t="0" r="2540" b="1333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53"/>
                    <a:stretch>
                      <a:fillRect/>
                    </a:stretch>
                  </pic:blipFill>
                  <pic:spPr>
                    <a:xfrm>
                      <a:off x="0" y="0"/>
                      <a:ext cx="4397103" cy="1478928"/>
                    </a:xfrm>
                    <a:prstGeom prst="rect">
                      <a:avLst/>
                    </a:prstGeom>
                    <a:noFill/>
                    <a:ln>
                      <a:noFill/>
                    </a:ln>
                  </pic:spPr>
                </pic:pic>
              </a:graphicData>
            </a:graphic>
          </wp:inline>
        </w:drawing>
      </w:r>
    </w:p>
    <w:p w14:paraId="26915D90">
      <w:pPr>
        <w:jc w:val="left"/>
        <w:rPr>
          <w:rFonts w:ascii="宋体" w:hAnsi="宋体" w:cs="宋体"/>
        </w:rPr>
      </w:pPr>
    </w:p>
    <w:p w14:paraId="7F6279EB">
      <w:pPr>
        <w:jc w:val="left"/>
        <w:rPr>
          <w:rFonts w:ascii="宋体" w:hAnsi="宋体" w:cs="宋体"/>
        </w:rPr>
      </w:pPr>
      <w:r>
        <w:rPr>
          <w:rFonts w:hint="eastAsia" w:ascii="宋体" w:hAnsi="宋体" w:cs="宋体"/>
        </w:rPr>
        <w:t xml:space="preserve">【判断题】（2022年）证券资产组合的β系数不仅受组合中各单项资产β系数的影响，还会受到各种资产价值在证券资产组合中所占比例的影响。（  ） </w:t>
      </w:r>
    </w:p>
    <w:p w14:paraId="16EF5FE3">
      <w:pPr>
        <w:jc w:val="left"/>
        <w:rPr>
          <w:rFonts w:ascii="宋体" w:hAnsi="宋体" w:cs="宋体"/>
        </w:rPr>
      </w:pPr>
      <w:r>
        <w:rPr>
          <w:rFonts w:hint="eastAsia" w:ascii="宋体" w:hAnsi="宋体" w:cs="宋体"/>
        </w:rPr>
        <w:t xml:space="preserve">A.错 </w:t>
      </w:r>
    </w:p>
    <w:p w14:paraId="01B5E283">
      <w:pPr>
        <w:jc w:val="left"/>
        <w:rPr>
          <w:rFonts w:ascii="宋体" w:hAnsi="宋体" w:cs="宋体"/>
        </w:rPr>
      </w:pPr>
      <w:r>
        <w:rPr>
          <w:rFonts w:hint="eastAsia" w:ascii="宋体" w:hAnsi="宋体" w:cs="宋体"/>
        </w:rPr>
        <w:t xml:space="preserve">B.对 </w:t>
      </w:r>
    </w:p>
    <w:p w14:paraId="3DA5E758">
      <w:pPr>
        <w:jc w:val="left"/>
        <w:rPr>
          <w:rFonts w:ascii="宋体" w:hAnsi="宋体" w:cs="宋体"/>
        </w:rPr>
      </w:pPr>
      <w:r>
        <w:rPr>
          <w:rFonts w:hint="eastAsia" w:ascii="宋体" w:hAnsi="宋体" w:cs="宋体"/>
        </w:rPr>
        <w:t xml:space="preserve">答案：正确 </w:t>
      </w:r>
    </w:p>
    <w:p w14:paraId="598AD4E3">
      <w:pPr>
        <w:jc w:val="left"/>
        <w:rPr>
          <w:rFonts w:ascii="宋体" w:hAnsi="宋体" w:cs="宋体"/>
        </w:rPr>
      </w:pPr>
      <w:r>
        <w:rPr>
          <w:rFonts w:hint="eastAsia" w:ascii="宋体" w:hAnsi="宋体" w:cs="宋体"/>
        </w:rPr>
        <w:t>解析：证券资产组合的β系数是所有单项资产β系数的加权平均数，权数为各种资产在证券资产组合中所占的价值比例。</w:t>
      </w:r>
    </w:p>
    <w:p w14:paraId="7D2B8CEB">
      <w:pPr>
        <w:jc w:val="left"/>
        <w:rPr>
          <w:rFonts w:ascii="宋体" w:hAnsi="宋体" w:cs="宋体"/>
        </w:rPr>
      </w:pPr>
    </w:p>
    <w:p w14:paraId="7FD3EF9A">
      <w:pPr>
        <w:jc w:val="left"/>
        <w:rPr>
          <w:rFonts w:ascii="宋体" w:hAnsi="宋体" w:cs="宋体"/>
        </w:rPr>
      </w:pPr>
      <w:r>
        <w:rPr>
          <w:rFonts w:hint="eastAsia" w:ascii="宋体" w:hAnsi="宋体" w:cs="宋体"/>
        </w:rPr>
        <w:t>【例2-20】某投资者打算用20 000元购买A、B、C三种股票，股价分别为40元、10元、50元；β系数分别为0.7、1.1和1.7。现有两个组合方案可供选择：</w:t>
      </w:r>
    </w:p>
    <w:p w14:paraId="2E23A46B">
      <w:pPr>
        <w:jc w:val="left"/>
        <w:rPr>
          <w:rFonts w:ascii="宋体" w:hAnsi="宋体" w:cs="宋体"/>
        </w:rPr>
      </w:pPr>
      <w:r>
        <w:rPr>
          <w:rFonts w:hint="eastAsia" w:ascii="宋体" w:hAnsi="宋体" w:cs="宋体"/>
        </w:rPr>
        <w:t>甲方案：购买A、B、C三种股票的数量分别是200股、200股、200股；</w:t>
      </w:r>
    </w:p>
    <w:p w14:paraId="2035963B">
      <w:pPr>
        <w:jc w:val="left"/>
        <w:rPr>
          <w:rFonts w:ascii="宋体" w:hAnsi="宋体" w:cs="宋体"/>
        </w:rPr>
      </w:pPr>
      <w:r>
        <w:rPr>
          <w:rFonts w:hint="eastAsia" w:ascii="宋体" w:hAnsi="宋体" w:cs="宋体"/>
        </w:rPr>
        <w:t>乙方案：购买A、B、C三种股票的数量分别是300股、300股、100股。</w:t>
      </w:r>
    </w:p>
    <w:p w14:paraId="3BB4F37C">
      <w:pPr>
        <w:jc w:val="left"/>
        <w:rPr>
          <w:rFonts w:ascii="宋体" w:hAnsi="宋体" w:cs="宋体"/>
        </w:rPr>
      </w:pPr>
      <w:r>
        <w:rPr>
          <w:rFonts w:hint="eastAsia" w:ascii="宋体" w:hAnsi="宋体" w:cs="宋体"/>
        </w:rPr>
        <w:t>如果该投资者最多能承受1.2倍的市场组合系统性风险，会选择哪个方案。</w:t>
      </w:r>
    </w:p>
    <w:p w14:paraId="5CF07F90">
      <w:pPr>
        <w:jc w:val="left"/>
        <w:rPr>
          <w:rFonts w:ascii="宋体" w:hAnsi="宋体" w:cs="宋体"/>
        </w:rPr>
      </w:pPr>
      <w:r>
        <w:rPr>
          <w:rFonts w:hint="eastAsia" w:ascii="宋体" w:hAnsi="宋体" w:cs="宋体"/>
        </w:rPr>
        <w:t>答案：</w:t>
      </w:r>
    </w:p>
    <w:p w14:paraId="5D4E2F21">
      <w:pPr>
        <w:jc w:val="left"/>
        <w:rPr>
          <w:rFonts w:ascii="宋体" w:hAnsi="宋体" w:cs="宋体"/>
        </w:rPr>
      </w:pPr>
      <w:r>
        <w:rPr>
          <w:rFonts w:hint="eastAsia" w:ascii="宋体" w:hAnsi="宋体" w:cs="宋体"/>
        </w:rPr>
        <w:t>甲方案：</w:t>
      </w:r>
    </w:p>
    <w:p w14:paraId="269978ED">
      <w:pPr>
        <w:jc w:val="left"/>
        <w:rPr>
          <w:rFonts w:ascii="宋体" w:hAnsi="宋体" w:cs="宋体"/>
        </w:rPr>
      </w:pPr>
      <w:r>
        <w:rPr>
          <w:rFonts w:hint="eastAsia" w:ascii="宋体" w:hAnsi="宋体" w:cs="宋体"/>
        </w:rPr>
        <w:t>A股票比例：40×200÷20 000×100%＝40%</w:t>
      </w:r>
    </w:p>
    <w:p w14:paraId="01EE2D26">
      <w:pPr>
        <w:jc w:val="left"/>
        <w:rPr>
          <w:rFonts w:ascii="宋体" w:hAnsi="宋体" w:cs="宋体"/>
        </w:rPr>
      </w:pPr>
      <w:r>
        <w:rPr>
          <w:rFonts w:hint="eastAsia" w:ascii="宋体" w:hAnsi="宋体" w:cs="宋体"/>
        </w:rPr>
        <w:t>B股票比例：10×200÷20 000×100%＝10%</w:t>
      </w:r>
    </w:p>
    <w:p w14:paraId="1E1E053A">
      <w:pPr>
        <w:jc w:val="left"/>
        <w:rPr>
          <w:rFonts w:ascii="宋体" w:hAnsi="宋体" w:cs="宋体"/>
        </w:rPr>
      </w:pPr>
      <w:r>
        <w:rPr>
          <w:rFonts w:hint="eastAsia" w:ascii="宋体" w:hAnsi="宋体" w:cs="宋体"/>
        </w:rPr>
        <w:t>C股票比例：50×200÷20 000×100%＝50%</w:t>
      </w:r>
    </w:p>
    <w:p w14:paraId="68D7F402">
      <w:pPr>
        <w:jc w:val="left"/>
        <w:rPr>
          <w:rFonts w:ascii="宋体" w:hAnsi="宋体" w:cs="宋体"/>
        </w:rPr>
      </w:pPr>
      <w:r>
        <w:rPr>
          <w:rFonts w:hint="eastAsia" w:ascii="宋体" w:hAnsi="宋体" w:cs="宋体"/>
        </w:rPr>
        <w:t>甲方案的β系数＝40%×0.7＋10%×1.1＋50%×1.7＝1.24</w:t>
      </w:r>
    </w:p>
    <w:p w14:paraId="328F7E77">
      <w:pPr>
        <w:jc w:val="left"/>
        <w:rPr>
          <w:rFonts w:ascii="宋体" w:hAnsi="宋体" w:cs="宋体"/>
        </w:rPr>
      </w:pPr>
      <w:r>
        <w:rPr>
          <w:rFonts w:hint="eastAsia" w:ascii="宋体" w:hAnsi="宋体" w:cs="宋体"/>
        </w:rPr>
        <w:t>乙方案：</w:t>
      </w:r>
    </w:p>
    <w:p w14:paraId="1108F7CE">
      <w:pPr>
        <w:jc w:val="left"/>
        <w:rPr>
          <w:rFonts w:ascii="宋体" w:hAnsi="宋体" w:cs="宋体"/>
        </w:rPr>
      </w:pPr>
      <w:r>
        <w:rPr>
          <w:rFonts w:hint="eastAsia" w:ascii="宋体" w:hAnsi="宋体" w:cs="宋体"/>
        </w:rPr>
        <w:t>A股票比例：40×300÷20 000×100%＝60%</w:t>
      </w:r>
    </w:p>
    <w:p w14:paraId="2D3309F1">
      <w:pPr>
        <w:jc w:val="left"/>
        <w:rPr>
          <w:rFonts w:ascii="宋体" w:hAnsi="宋体" w:cs="宋体"/>
        </w:rPr>
      </w:pPr>
      <w:r>
        <w:rPr>
          <w:rFonts w:hint="eastAsia" w:ascii="宋体" w:hAnsi="宋体" w:cs="宋体"/>
        </w:rPr>
        <w:t>B股票比例：10×300÷20 000×100%＝15%</w:t>
      </w:r>
    </w:p>
    <w:p w14:paraId="6455EA3A">
      <w:pPr>
        <w:jc w:val="left"/>
        <w:rPr>
          <w:rFonts w:ascii="宋体" w:hAnsi="宋体" w:cs="宋体"/>
        </w:rPr>
      </w:pPr>
      <w:r>
        <w:rPr>
          <w:rFonts w:hint="eastAsia" w:ascii="宋体" w:hAnsi="宋体" w:cs="宋体"/>
        </w:rPr>
        <w:t>C股票比例：50×100÷20 000×100%＝25%</w:t>
      </w:r>
    </w:p>
    <w:p w14:paraId="525D4DB5">
      <w:pPr>
        <w:jc w:val="left"/>
        <w:rPr>
          <w:rFonts w:ascii="宋体" w:hAnsi="宋体" w:cs="宋体"/>
        </w:rPr>
      </w:pPr>
      <w:r>
        <w:rPr>
          <w:rFonts w:hint="eastAsia" w:ascii="宋体" w:hAnsi="宋体" w:cs="宋体"/>
        </w:rPr>
        <w:t>乙方案的β系数＝60%×0.7＋15%×1.1＋25%×1.7＝1.01</w:t>
      </w:r>
    </w:p>
    <w:p w14:paraId="1FE22708">
      <w:pPr>
        <w:jc w:val="left"/>
        <w:rPr>
          <w:rFonts w:hint="eastAsia" w:ascii="宋体" w:hAnsi="宋体" w:cs="宋体"/>
        </w:rPr>
      </w:pPr>
      <w:r>
        <w:rPr>
          <w:rFonts w:hint="eastAsia" w:ascii="宋体" w:hAnsi="宋体" w:cs="宋体"/>
        </w:rPr>
        <w:t>该投资者最多能承受1.2倍的市场组合系统性风险意味着该投资者能承受的β系数最大值为1.2，所以，该投资者会选择乙方案。</w:t>
      </w:r>
    </w:p>
    <w:p w14:paraId="75C327EF">
      <w:pPr>
        <w:overflowPunct w:val="0"/>
        <w:jc w:val="center"/>
        <w:rPr>
          <w:rFonts w:ascii="宋体" w:hAnsi="宋体" w:cs="宋体"/>
          <w:b/>
          <w:bCs/>
        </w:rPr>
      </w:pPr>
      <w:r>
        <w:rPr>
          <w:rFonts w:hint="eastAsia" w:ascii="宋体" w:hAnsi="宋体" w:cs="宋体"/>
          <w:b/>
          <w:bCs/>
        </w:rPr>
        <w:t>第二节  收益与风险</w:t>
      </w:r>
    </w:p>
    <w:p w14:paraId="01ADCC15">
      <w:pPr>
        <w:jc w:val="left"/>
        <w:rPr>
          <w:rFonts w:ascii="宋体" w:hAnsi="宋体" w:cs="宋体"/>
          <w:color w:val="FF0000"/>
        </w:rPr>
      </w:pPr>
      <w:r>
        <w:rPr>
          <w:rFonts w:hint="eastAsia" w:ascii="宋体" w:hAnsi="宋体" w:cs="宋体"/>
          <w:color w:val="FF0000"/>
        </w:rPr>
        <w:t>【知识点5】资本资产定价模型</w:t>
      </w:r>
    </w:p>
    <w:p w14:paraId="6D8E8188">
      <w:pPr>
        <w:jc w:val="left"/>
        <w:rPr>
          <w:rFonts w:ascii="宋体" w:hAnsi="宋体" w:cs="宋体"/>
          <w:color w:val="FF0000"/>
        </w:rPr>
      </w:pPr>
      <w:r>
        <w:rPr>
          <w:rFonts w:hint="eastAsia" w:ascii="宋体" w:hAnsi="宋体" w:cs="宋体"/>
          <w:color w:val="FF0000"/>
        </w:rPr>
        <w:t>（一）资本资产定价模型的基本原理</w:t>
      </w:r>
    </w:p>
    <w:p w14:paraId="43244EBC">
      <w:pPr>
        <w:jc w:val="left"/>
        <w:rPr>
          <w:rFonts w:ascii="宋体" w:hAnsi="宋体" w:cs="宋体"/>
        </w:rPr>
      </w:pPr>
      <w:r>
        <w:rPr>
          <w:rFonts w:hint="eastAsia" w:ascii="宋体" w:hAnsi="宋体" w:cs="宋体"/>
        </w:rPr>
        <w:t>资本资产定价模型中，所谓资本资产主要是指股票资产而定价则试图解释资本市场如何决定股票收益率，进而决定股票价格。</w:t>
      </w:r>
    </w:p>
    <w:p w14:paraId="56BDCE4D">
      <w:pPr>
        <w:jc w:val="left"/>
        <w:rPr>
          <w:rFonts w:ascii="宋体" w:hAnsi="宋体" w:cs="宋体"/>
        </w:rPr>
      </w:pPr>
      <w:r>
        <w:rPr>
          <w:rFonts w:hint="eastAsia" w:ascii="宋体" w:hAnsi="宋体" w:cs="宋体"/>
        </w:rPr>
        <w:t>某项资产的必要收益率＝无风险收益率＋风险收益率</w:t>
      </w:r>
    </w:p>
    <w:p w14:paraId="62EF096D">
      <w:pPr>
        <w:jc w:val="left"/>
        <w:rPr>
          <w:rFonts w:hint="eastAsia" w:ascii="宋体" w:hAnsi="宋体" w:cs="宋体"/>
        </w:rPr>
      </w:pPr>
      <w:r>
        <w:rPr>
          <w:rFonts w:hint="eastAsia" w:ascii="宋体" w:hAnsi="宋体" w:cs="宋体"/>
        </w:rPr>
        <w:t>＝无风险收益率＋β×（市场组合的平均收益率－无风险收益率）</w:t>
      </w:r>
    </w:p>
    <w:p w14:paraId="4778CD9F">
      <w:pPr>
        <w:jc w:val="left"/>
        <w:rPr>
          <w:rFonts w:ascii="宋体" w:hAnsi="宋体" w:cs="宋体"/>
        </w:rPr>
      </w:pPr>
      <w:r>
        <w:rPr>
          <w:rFonts w:hint="eastAsia" w:ascii="宋体" w:hAnsi="宋体" w:cs="宋体"/>
        </w:rPr>
        <w:drawing>
          <wp:inline distT="0" distB="0" distL="114300" distR="114300">
            <wp:extent cx="2213610" cy="359410"/>
            <wp:effectExtent l="0" t="0" r="1524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4"/>
                    <a:stretch>
                      <a:fillRect/>
                    </a:stretch>
                  </pic:blipFill>
                  <pic:spPr>
                    <a:xfrm>
                      <a:off x="0" y="0"/>
                      <a:ext cx="2259342" cy="367234"/>
                    </a:xfrm>
                    <a:prstGeom prst="rect">
                      <a:avLst/>
                    </a:prstGeom>
                    <a:noFill/>
                    <a:ln>
                      <a:noFill/>
                    </a:ln>
                  </pic:spPr>
                </pic:pic>
              </a:graphicData>
            </a:graphic>
          </wp:inline>
        </w:drawing>
      </w:r>
    </w:p>
    <w:p w14:paraId="393C4132">
      <w:pPr>
        <w:jc w:val="left"/>
        <w:rPr>
          <w:rFonts w:ascii="宋体" w:hAnsi="宋体" w:cs="宋体"/>
        </w:rPr>
      </w:pPr>
      <w:r>
        <w:rPr>
          <w:rFonts w:hint="eastAsia" w:ascii="宋体" w:hAnsi="宋体" w:cs="宋体"/>
        </w:rPr>
        <w:t>1.Rf 无风险收益率</w:t>
      </w:r>
    </w:p>
    <w:p w14:paraId="08B1C913">
      <w:pPr>
        <w:jc w:val="left"/>
        <w:rPr>
          <w:rFonts w:ascii="宋体" w:hAnsi="宋体" w:cs="宋体"/>
        </w:rPr>
      </w:pPr>
      <w:r>
        <w:rPr>
          <w:rFonts w:hint="eastAsia" w:ascii="宋体" w:hAnsi="宋体" w:cs="宋体"/>
        </w:rPr>
        <w:t>2.β×（Rm－Rf）某资产的风险收益率</w:t>
      </w:r>
    </w:p>
    <w:p w14:paraId="76A99936">
      <w:pPr>
        <w:jc w:val="left"/>
        <w:rPr>
          <w:rFonts w:ascii="宋体" w:hAnsi="宋体" w:cs="宋体"/>
        </w:rPr>
      </w:pPr>
      <w:r>
        <w:rPr>
          <w:rFonts w:hint="eastAsia" w:ascii="宋体" w:hAnsi="宋体" w:cs="宋体"/>
        </w:rPr>
        <w:t>3.Rm表示市场组合收益率，还可以称为平均风险资产的必要收益率、市场组合的必要收益率等等。</w:t>
      </w:r>
    </w:p>
    <w:p w14:paraId="336BA4FB">
      <w:pPr>
        <w:jc w:val="left"/>
        <w:rPr>
          <w:rFonts w:ascii="宋体" w:hAnsi="宋体" w:cs="宋体"/>
        </w:rPr>
      </w:pPr>
      <w:r>
        <w:rPr>
          <w:rFonts w:hint="eastAsia" w:ascii="宋体" w:hAnsi="宋体" w:cs="宋体"/>
        </w:rPr>
        <w:t xml:space="preserve">4.（Rm－Rf）称为市场风险溢酬，也可以称为市场组合的风险收益率或股票市场的风险收益率、平均风险的风险收益率。 </w:t>
      </w:r>
    </w:p>
    <w:p w14:paraId="0276CB8D">
      <w:pPr>
        <w:jc w:val="left"/>
        <w:rPr>
          <w:rFonts w:ascii="宋体" w:hAnsi="宋体" w:cs="宋体"/>
        </w:rPr>
      </w:pPr>
      <w:r>
        <w:rPr>
          <w:rFonts w:hint="eastAsia" w:ascii="宋体" w:hAnsi="宋体" w:cs="宋体"/>
        </w:rPr>
        <w:t>5.资本资产定价模型中，计算风险收益率时只考虑系统性风险，不考虑非系统性风险，因为非系统性风险可以通过资产组合消除，理性投资者都会选择充分投资组合，非系统性风险与资本市场无关，资本市场不会对非系统性风险给予任何补偿。</w:t>
      </w:r>
    </w:p>
    <w:p w14:paraId="161B1BE9">
      <w:pPr>
        <w:jc w:val="left"/>
        <w:rPr>
          <w:rFonts w:ascii="宋体" w:hAnsi="宋体" w:cs="宋体"/>
        </w:rPr>
      </w:pPr>
      <w:r>
        <w:rPr>
          <w:rFonts w:hint="eastAsia" w:ascii="宋体" w:hAnsi="宋体" w:cs="宋体"/>
        </w:rPr>
        <w:t>6.资本资产定价模型对于任何公司、任何资产、资产组合都适用</w:t>
      </w:r>
    </w:p>
    <w:p w14:paraId="0F8FF37B">
      <w:pPr>
        <w:jc w:val="left"/>
        <w:rPr>
          <w:rFonts w:ascii="宋体" w:hAnsi="宋体" w:cs="宋体"/>
        </w:rPr>
      </w:pPr>
    </w:p>
    <w:p w14:paraId="604B9B21">
      <w:pPr>
        <w:jc w:val="left"/>
        <w:rPr>
          <w:rFonts w:ascii="宋体" w:hAnsi="宋体" w:cs="宋体"/>
        </w:rPr>
      </w:pPr>
      <w:r>
        <w:rPr>
          <w:rFonts w:hint="eastAsia" w:ascii="宋体" w:hAnsi="宋体" w:cs="宋体"/>
        </w:rPr>
        <w:t>【判断题】（2024年&amp;2021年）根据资本资产定价模型，如果 A 证券的系统性风险是 B 证券的 2 倍，则 A 证券的必要收益率也是 B 证券的 2 倍。 （  ）</w:t>
      </w:r>
    </w:p>
    <w:p w14:paraId="67AAC206">
      <w:pPr>
        <w:jc w:val="left"/>
        <w:rPr>
          <w:rFonts w:ascii="宋体" w:hAnsi="宋体" w:cs="宋体"/>
        </w:rPr>
      </w:pPr>
      <w:r>
        <w:rPr>
          <w:rFonts w:hint="eastAsia" w:ascii="宋体" w:hAnsi="宋体" w:cs="宋体"/>
        </w:rPr>
        <w:t xml:space="preserve">答案：X </w:t>
      </w:r>
    </w:p>
    <w:p w14:paraId="4FCF4DC5">
      <w:pPr>
        <w:jc w:val="left"/>
        <w:rPr>
          <w:rFonts w:ascii="宋体" w:hAnsi="宋体" w:cs="宋体"/>
        </w:rPr>
      </w:pPr>
      <w:r>
        <w:rPr>
          <w:rFonts w:hint="eastAsia" w:ascii="宋体" w:hAnsi="宋体" w:cs="宋体"/>
        </w:rPr>
        <w:t>解析：必要收益率=无风险收益率+风险收益率，风险收益率扩大为原来的 2 倍，由于无风险收益率保持不变，故必要收益率小于原来的 2 倍。</w:t>
      </w:r>
    </w:p>
    <w:p w14:paraId="51DC192C">
      <w:pPr>
        <w:jc w:val="left"/>
        <w:rPr>
          <w:rFonts w:ascii="宋体" w:hAnsi="宋体" w:cs="宋体"/>
        </w:rPr>
      </w:pPr>
    </w:p>
    <w:p w14:paraId="69DBBF4D">
      <w:pPr>
        <w:jc w:val="left"/>
        <w:rPr>
          <w:rFonts w:ascii="宋体" w:hAnsi="宋体" w:cs="宋体"/>
        </w:rPr>
      </w:pPr>
      <w:r>
        <w:rPr>
          <w:rFonts w:hint="eastAsia" w:ascii="宋体" w:hAnsi="宋体" w:cs="宋体"/>
        </w:rPr>
        <w:t>【例2-21】假设平均风险的风险收益率为5%，平均风险的必要收益率为8%，计算上例（乙方案的β系数为1.01 ）中乙方案的风险收益率和必要收益率。</w:t>
      </w:r>
    </w:p>
    <w:p w14:paraId="4FF1B67E">
      <w:pPr>
        <w:jc w:val="left"/>
        <w:rPr>
          <w:rFonts w:ascii="宋体" w:hAnsi="宋体" w:cs="宋体"/>
        </w:rPr>
      </w:pPr>
      <w:r>
        <w:rPr>
          <w:rFonts w:hint="eastAsia" w:ascii="宋体" w:hAnsi="宋体" w:cs="宋体"/>
        </w:rPr>
        <w:t>解析：乙方案的风险收益率＝1.01×5%＝5.05%</w:t>
      </w:r>
    </w:p>
    <w:p w14:paraId="28BE64BB">
      <w:pPr>
        <w:jc w:val="left"/>
        <w:rPr>
          <w:rFonts w:ascii="宋体" w:hAnsi="宋体" w:cs="宋体"/>
        </w:rPr>
      </w:pPr>
      <w:r>
        <w:rPr>
          <w:rFonts w:hint="eastAsia" w:ascii="宋体" w:hAnsi="宋体" w:cs="宋体"/>
        </w:rPr>
        <w:t>本题中，Rm＝8%，Rm－Rf＝5%，所以，Rf＝3%。</w:t>
      </w:r>
    </w:p>
    <w:p w14:paraId="1A6C6960">
      <w:pPr>
        <w:jc w:val="left"/>
        <w:rPr>
          <w:rFonts w:ascii="宋体" w:hAnsi="宋体" w:cs="宋体"/>
        </w:rPr>
      </w:pPr>
      <w:r>
        <w:rPr>
          <w:rFonts w:hint="eastAsia" w:ascii="宋体" w:hAnsi="宋体" w:cs="宋体"/>
        </w:rPr>
        <w:t>乙方案的必要收益率＝3%＋5.05%＝8.05%</w:t>
      </w:r>
    </w:p>
    <w:p w14:paraId="470408BE">
      <w:pPr>
        <w:jc w:val="left"/>
        <w:rPr>
          <w:rFonts w:ascii="宋体" w:hAnsi="宋体" w:cs="宋体"/>
        </w:rPr>
      </w:pPr>
    </w:p>
    <w:p w14:paraId="25E35F4E">
      <w:pPr>
        <w:jc w:val="left"/>
        <w:rPr>
          <w:rFonts w:ascii="宋体" w:hAnsi="宋体" w:cs="宋体"/>
          <w:color w:val="FF0000"/>
        </w:rPr>
      </w:pPr>
      <w:r>
        <w:rPr>
          <w:rFonts w:hint="eastAsia" w:ascii="宋体" w:hAnsi="宋体" w:cs="宋体"/>
          <w:color w:val="FF0000"/>
        </w:rPr>
        <w:t>（二）资本资产定价模型的局限性</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838"/>
      </w:tblGrid>
      <w:tr w14:paraId="534D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restart"/>
          </w:tcPr>
          <w:p w14:paraId="2D7365FE">
            <w:pPr>
              <w:jc w:val="center"/>
              <w:rPr>
                <w:rFonts w:ascii="宋体" w:hAnsi="宋体" w:cs="宋体"/>
              </w:rPr>
            </w:pPr>
            <w:r>
              <w:rPr>
                <w:rFonts w:hint="eastAsia" w:ascii="宋体" w:hAnsi="宋体" w:cs="宋体"/>
              </w:rPr>
              <w:t>局限性</w:t>
            </w:r>
          </w:p>
        </w:tc>
        <w:tc>
          <w:tcPr>
            <w:tcW w:w="4359" w:type="pct"/>
          </w:tcPr>
          <w:p w14:paraId="06A5A0FA">
            <w:pPr>
              <w:rPr>
                <w:rFonts w:ascii="宋体" w:hAnsi="宋体" w:cs="宋体"/>
              </w:rPr>
            </w:pPr>
            <w:r>
              <w:rPr>
                <w:rFonts w:hint="eastAsia" w:ascii="宋体" w:hAnsi="宋体" w:cs="宋体"/>
              </w:rPr>
              <w:t>1.某些资产或企业的β值难以估计，特别是对一些缺乏历史数据的新兴行业</w:t>
            </w:r>
          </w:p>
        </w:tc>
      </w:tr>
      <w:tr w14:paraId="1A2B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continue"/>
          </w:tcPr>
          <w:p w14:paraId="596C8AEA">
            <w:pPr>
              <w:jc w:val="left"/>
              <w:rPr>
                <w:rFonts w:ascii="宋体" w:hAnsi="宋体" w:cs="宋体"/>
              </w:rPr>
            </w:pPr>
          </w:p>
        </w:tc>
        <w:tc>
          <w:tcPr>
            <w:tcW w:w="4359" w:type="pct"/>
          </w:tcPr>
          <w:p w14:paraId="2C4BE62E">
            <w:pPr>
              <w:rPr>
                <w:rFonts w:ascii="宋体" w:hAnsi="宋体" w:cs="宋体"/>
              </w:rPr>
            </w:pPr>
            <w:r>
              <w:rPr>
                <w:rFonts w:hint="eastAsia" w:ascii="宋体" w:hAnsi="宋体" w:cs="宋体"/>
              </w:rPr>
              <w:t>2.经济环境的不确定性和不断变化，使得依据历史数据估算出来的β值对未来的指导作用必然要打折扣；</w:t>
            </w:r>
          </w:p>
        </w:tc>
      </w:tr>
      <w:tr w14:paraId="0A85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continue"/>
          </w:tcPr>
          <w:p w14:paraId="29FAE655">
            <w:pPr>
              <w:jc w:val="left"/>
              <w:rPr>
                <w:rFonts w:ascii="宋体" w:hAnsi="宋体" w:cs="宋体"/>
              </w:rPr>
            </w:pPr>
          </w:p>
        </w:tc>
        <w:tc>
          <w:tcPr>
            <w:tcW w:w="4359" w:type="pct"/>
          </w:tcPr>
          <w:p w14:paraId="6C716B18">
            <w:pPr>
              <w:rPr>
                <w:rFonts w:ascii="宋体" w:hAnsi="宋体" w:cs="宋体"/>
              </w:rPr>
            </w:pPr>
            <w:r>
              <w:rPr>
                <w:rFonts w:hint="eastAsia" w:ascii="宋体" w:hAnsi="宋体" w:cs="宋体"/>
              </w:rPr>
              <w:t>3.资本资产定价模型是建立在一系列假设之上的，其中一些假设与实际情况有较大偏差</w:t>
            </w:r>
          </w:p>
        </w:tc>
      </w:tr>
    </w:tbl>
    <w:p w14:paraId="14B804CE">
      <w:pPr>
        <w:jc w:val="left"/>
        <w:rPr>
          <w:rFonts w:ascii="宋体" w:hAnsi="宋体" w:cs="宋体"/>
        </w:rPr>
      </w:pPr>
      <w:r>
        <w:rPr>
          <w:rFonts w:hint="eastAsia" w:ascii="宋体" w:hAnsi="宋体" w:cs="宋体"/>
        </w:rPr>
        <w:t>由于以上局限，资本资产定价模型只能大体描绘出证券市场风险与收益的基本情况，而不能完全确切地揭示证券市场的一切。</w:t>
      </w:r>
    </w:p>
    <w:p w14:paraId="24522B1E">
      <w:pPr>
        <w:jc w:val="left"/>
        <w:rPr>
          <w:rFonts w:ascii="宋体" w:hAnsi="宋体" w:cs="宋体"/>
        </w:rPr>
      </w:pPr>
    </w:p>
    <w:p w14:paraId="35F34792">
      <w:pPr>
        <w:jc w:val="left"/>
        <w:rPr>
          <w:rFonts w:ascii="宋体" w:hAnsi="宋体" w:cs="宋体"/>
          <w:color w:val="FF0000"/>
        </w:rPr>
      </w:pPr>
      <w:r>
        <w:rPr>
          <w:rFonts w:hint="eastAsia" w:ascii="宋体" w:hAnsi="宋体" w:cs="宋体"/>
          <w:color w:val="FF0000"/>
        </w:rPr>
        <w:t>【知识点6】风险矩阵</w:t>
      </w:r>
    </w:p>
    <w:p w14:paraId="1BA5D2B9">
      <w:pPr>
        <w:jc w:val="left"/>
        <w:rPr>
          <w:rFonts w:ascii="宋体" w:hAnsi="宋体" w:cs="宋体"/>
          <w:color w:val="FF0000"/>
        </w:rPr>
      </w:pPr>
      <w:r>
        <w:rPr>
          <w:rFonts w:hint="eastAsia" w:ascii="宋体" w:hAnsi="宋体" w:cs="宋体"/>
          <w:color w:val="FF0000"/>
        </w:rPr>
        <w:t>1.概念</w:t>
      </w:r>
    </w:p>
    <w:p w14:paraId="1CFE449D">
      <w:pPr>
        <w:jc w:val="left"/>
        <w:rPr>
          <w:rFonts w:ascii="宋体" w:hAnsi="宋体" w:cs="宋体"/>
        </w:rPr>
      </w:pPr>
      <w:r>
        <w:rPr>
          <w:rFonts w:hint="eastAsia" w:ascii="宋体" w:hAnsi="宋体" w:cs="宋体"/>
        </w:rPr>
        <w:t>风险矩阵，根据企业的</w:t>
      </w:r>
      <w:r>
        <w:rPr>
          <w:rFonts w:hint="eastAsia" w:ascii="宋体" w:hAnsi="宋体" w:cs="宋体"/>
          <w:color w:val="FF0000"/>
        </w:rPr>
        <w:t>风险偏好</w:t>
      </w:r>
      <w:r>
        <w:rPr>
          <w:rFonts w:hint="eastAsia" w:ascii="宋体" w:hAnsi="宋体" w:cs="宋体"/>
        </w:rPr>
        <w:t>，按照风险发生的</w:t>
      </w:r>
      <w:r>
        <w:rPr>
          <w:rFonts w:hint="eastAsia" w:ascii="宋体" w:hAnsi="宋体" w:cs="宋体"/>
          <w:color w:val="FF0000"/>
        </w:rPr>
        <w:t>可能性</w:t>
      </w:r>
      <w:r>
        <w:rPr>
          <w:rFonts w:hint="eastAsia" w:ascii="宋体" w:hAnsi="宋体" w:cs="宋体"/>
        </w:rPr>
        <w:t>和风险发生后过的</w:t>
      </w:r>
      <w:r>
        <w:rPr>
          <w:rFonts w:hint="eastAsia" w:ascii="宋体" w:hAnsi="宋体" w:cs="宋体"/>
          <w:color w:val="FF0000"/>
        </w:rPr>
        <w:t>严重程度</w:t>
      </w:r>
      <w:r>
        <w:rPr>
          <w:rFonts w:hint="eastAsia" w:ascii="宋体" w:hAnsi="宋体" w:cs="宋体"/>
        </w:rPr>
        <w:t>，将风险绘制在矩阵图中，展示风险及其重要性等级的风险管理工具方法。风险矩阵适用于表示企业各类风险重要性等级，也适用于各类风险的分析评价和沟通报吿。</w:t>
      </w:r>
    </w:p>
    <w:p w14:paraId="09581D07">
      <w:pPr>
        <w:jc w:val="left"/>
        <w:rPr>
          <w:rFonts w:ascii="宋体" w:hAnsi="宋体" w:cs="宋体"/>
        </w:rPr>
      </w:pPr>
      <w:r>
        <w:rPr>
          <w:rFonts w:hint="eastAsia" w:ascii="宋体" w:hAnsi="宋体" w:cs="宋体"/>
        </w:rPr>
        <w:t>2.风险矩阵优缺点</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9272"/>
      </w:tblGrid>
      <w:tr w14:paraId="142F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52C47251">
            <w:pPr>
              <w:rPr>
                <w:rFonts w:ascii="宋体" w:hAnsi="宋体" w:cs="宋体"/>
              </w:rPr>
            </w:pPr>
            <w:r>
              <w:rPr>
                <w:rFonts w:hint="eastAsia" w:ascii="宋体" w:hAnsi="宋体" w:cs="宋体"/>
              </w:rPr>
              <w:t>优点</w:t>
            </w:r>
          </w:p>
        </w:tc>
        <w:tc>
          <w:tcPr>
            <w:tcW w:w="4573" w:type="pct"/>
          </w:tcPr>
          <w:p w14:paraId="794D9410">
            <w:pPr>
              <w:rPr>
                <w:rFonts w:ascii="宋体" w:hAnsi="宋体" w:cs="宋体"/>
              </w:rPr>
            </w:pPr>
            <w:r>
              <w:rPr>
                <w:rFonts w:hint="eastAsia" w:ascii="宋体" w:hAnsi="宋体" w:cs="宋体"/>
              </w:rPr>
              <w:t>为企业确定各项风险重要性等级提供了可视化的工具。</w:t>
            </w:r>
          </w:p>
        </w:tc>
      </w:tr>
      <w:tr w14:paraId="5E8A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5B75D2D9">
            <w:pPr>
              <w:rPr>
                <w:rFonts w:ascii="宋体" w:hAnsi="宋体" w:cs="宋体"/>
              </w:rPr>
            </w:pPr>
            <w:r>
              <w:rPr>
                <w:rFonts w:hint="eastAsia" w:ascii="宋体" w:hAnsi="宋体" w:cs="宋体"/>
              </w:rPr>
              <w:t>缺点</w:t>
            </w:r>
          </w:p>
        </w:tc>
        <w:tc>
          <w:tcPr>
            <w:tcW w:w="4573" w:type="pct"/>
          </w:tcPr>
          <w:p w14:paraId="2AC340A1">
            <w:pPr>
              <w:numPr>
                <w:ilvl w:val="0"/>
                <w:numId w:val="1"/>
              </w:numPr>
              <w:rPr>
                <w:rFonts w:ascii="宋体" w:hAnsi="宋体" w:cs="宋体"/>
              </w:rPr>
            </w:pPr>
            <w:r>
              <w:rPr>
                <w:rFonts w:hint="eastAsia" w:ascii="宋体" w:hAnsi="宋体" w:cs="宋体"/>
              </w:rPr>
              <w:t>需要对风险重要性等级标准、风险发生可能性、后果严重程度等做出主观判断，可能影响使用的准确性；</w:t>
            </w:r>
          </w:p>
          <w:p w14:paraId="592ECBF6">
            <w:pPr>
              <w:numPr>
                <w:ilvl w:val="0"/>
                <w:numId w:val="2"/>
              </w:numPr>
              <w:rPr>
                <w:rFonts w:ascii="宋体" w:hAnsi="宋体" w:cs="宋体"/>
              </w:rPr>
            </w:pPr>
            <w:r>
              <w:rPr>
                <w:rFonts w:hint="eastAsia" w:ascii="宋体" w:hAnsi="宋体" w:cs="宋体"/>
              </w:rPr>
              <w:t>用风险矩阵所确定的风险重要性等级是通过相互比较确定的，因而无法将列示的个别风险重要性等级通过数学运算得到总体风险的重要性等级。</w:t>
            </w:r>
          </w:p>
        </w:tc>
      </w:tr>
    </w:tbl>
    <w:p w14:paraId="3FC8B5A3">
      <w:pPr>
        <w:jc w:val="left"/>
        <w:rPr>
          <w:rFonts w:ascii="宋体" w:hAnsi="宋体" w:cs="宋体"/>
        </w:rPr>
      </w:pPr>
    </w:p>
    <w:p w14:paraId="7DAF1BEB">
      <w:pPr>
        <w:jc w:val="left"/>
        <w:rPr>
          <w:rFonts w:ascii="宋体" w:hAnsi="宋体" w:cs="宋体"/>
          <w:color w:val="FF0000"/>
        </w:rPr>
      </w:pPr>
      <w:r>
        <w:rPr>
          <w:rFonts w:hint="eastAsia" w:ascii="宋体" w:hAnsi="宋体" w:cs="宋体"/>
          <w:color w:val="FF0000"/>
        </w:rPr>
        <w:t>【知识点7】风险管理</w:t>
      </w:r>
    </w:p>
    <w:p w14:paraId="01A1E7B5">
      <w:pPr>
        <w:jc w:val="left"/>
        <w:rPr>
          <w:rFonts w:ascii="宋体" w:hAnsi="宋体" w:cs="宋体"/>
          <w:color w:val="FF0000"/>
        </w:rPr>
      </w:pPr>
      <w:r>
        <w:rPr>
          <w:rFonts w:hint="eastAsia" w:ascii="宋体" w:hAnsi="宋体" w:cs="宋体"/>
          <w:color w:val="FF0000"/>
        </w:rPr>
        <w:t>（一）风险管理概念</w:t>
      </w:r>
    </w:p>
    <w:p w14:paraId="65F24DFA">
      <w:pPr>
        <w:jc w:val="left"/>
        <w:rPr>
          <w:rFonts w:ascii="宋体" w:hAnsi="宋体" w:cs="宋体"/>
        </w:rPr>
      </w:pPr>
      <w:r>
        <w:rPr>
          <w:rFonts w:hint="eastAsia" w:ascii="宋体" w:hAnsi="宋体" w:cs="宋体"/>
        </w:rPr>
        <w:t>风险管理是指项目或者企业在一个有风险的环境里，把风险及其可能造成的不良影响降至最低的管理过程。风险管理过程包括对风险的量度、评估和制定策略，企业需要在降低风险的收益与成本之间进行权衡并决定采取何种措施。</w:t>
      </w:r>
    </w:p>
    <w:p w14:paraId="70AB0004">
      <w:pPr>
        <w:jc w:val="left"/>
        <w:rPr>
          <w:rFonts w:hint="eastAsia" w:ascii="宋体" w:hAnsi="宋体" w:cs="宋体"/>
          <w:color w:val="FF0000"/>
        </w:rPr>
      </w:pPr>
      <w:r>
        <w:rPr>
          <w:rFonts w:hint="eastAsia" w:ascii="宋体" w:hAnsi="宋体" w:cs="宋体"/>
          <w:color w:val="FF0000"/>
        </w:rPr>
        <w:t>（二）风险管理原则</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8548"/>
      </w:tblGrid>
      <w:tr w14:paraId="2DB5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02EB4469">
            <w:pPr>
              <w:jc w:val="left"/>
              <w:rPr>
                <w:rFonts w:ascii="宋体" w:hAnsi="宋体" w:cs="宋体"/>
              </w:rPr>
            </w:pPr>
            <w:r>
              <w:rPr>
                <w:rFonts w:hint="eastAsia" w:ascii="宋体" w:hAnsi="宋体" w:cs="宋体"/>
              </w:rPr>
              <w:t>战略性原则</w:t>
            </w:r>
          </w:p>
        </w:tc>
        <w:tc>
          <w:tcPr>
            <w:tcW w:w="4216" w:type="pct"/>
          </w:tcPr>
          <w:p w14:paraId="69F08CBE">
            <w:pPr>
              <w:jc w:val="left"/>
              <w:rPr>
                <w:rFonts w:ascii="宋体" w:hAnsi="宋体" w:cs="宋体"/>
              </w:rPr>
            </w:pPr>
            <w:r>
              <w:rPr>
                <w:rFonts w:hint="eastAsia" w:ascii="宋体" w:hAnsi="宋体" w:cs="宋体"/>
              </w:rPr>
              <w:t>风险管理主要运用于企业战略管理层面，整合和管理企业层面风险是全面风险管理的价值所在。</w:t>
            </w:r>
          </w:p>
        </w:tc>
      </w:tr>
      <w:tr w14:paraId="59C0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6FD75E4B">
            <w:pPr>
              <w:jc w:val="left"/>
              <w:rPr>
                <w:rFonts w:ascii="宋体" w:hAnsi="宋体" w:cs="宋体"/>
              </w:rPr>
            </w:pPr>
            <w:r>
              <w:rPr>
                <w:rFonts w:hint="eastAsia" w:ascii="宋体" w:hAnsi="宋体" w:cs="宋体"/>
              </w:rPr>
              <w:t>全员性原则</w:t>
            </w:r>
          </w:p>
        </w:tc>
        <w:tc>
          <w:tcPr>
            <w:tcW w:w="4216" w:type="pct"/>
          </w:tcPr>
          <w:p w14:paraId="1E9E7D5D">
            <w:pPr>
              <w:jc w:val="left"/>
              <w:rPr>
                <w:rFonts w:ascii="宋体" w:hAnsi="宋体" w:cs="宋体"/>
              </w:rPr>
            </w:pPr>
            <w:r>
              <w:rPr>
                <w:rFonts w:hint="eastAsia" w:ascii="宋体" w:hAnsi="宋体" w:cs="宋体"/>
              </w:rPr>
              <w:t>全员参与</w:t>
            </w:r>
          </w:p>
        </w:tc>
      </w:tr>
      <w:tr w14:paraId="290D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1DBFF9B8">
            <w:pPr>
              <w:jc w:val="left"/>
              <w:rPr>
                <w:rFonts w:ascii="宋体" w:hAnsi="宋体" w:cs="宋体"/>
              </w:rPr>
            </w:pPr>
            <w:r>
              <w:rPr>
                <w:rFonts w:hint="eastAsia" w:ascii="宋体" w:hAnsi="宋体" w:cs="宋体"/>
              </w:rPr>
              <w:t>专业性原则</w:t>
            </w:r>
          </w:p>
        </w:tc>
        <w:tc>
          <w:tcPr>
            <w:tcW w:w="4216" w:type="pct"/>
          </w:tcPr>
          <w:p w14:paraId="0FA9A4DE">
            <w:pPr>
              <w:jc w:val="left"/>
              <w:rPr>
                <w:rFonts w:ascii="宋体" w:hAnsi="宋体" w:cs="宋体"/>
              </w:rPr>
            </w:pPr>
            <w:r>
              <w:rPr>
                <w:rFonts w:hint="eastAsia" w:ascii="宋体" w:hAnsi="宋体" w:cs="宋体"/>
              </w:rPr>
              <w:t>要求风险管理的专业人才实施专业化管理</w:t>
            </w:r>
          </w:p>
        </w:tc>
      </w:tr>
      <w:tr w14:paraId="1A9C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02239878">
            <w:pPr>
              <w:jc w:val="left"/>
              <w:rPr>
                <w:rFonts w:ascii="宋体" w:hAnsi="宋体" w:cs="宋体"/>
              </w:rPr>
            </w:pPr>
            <w:r>
              <w:rPr>
                <w:rFonts w:hint="eastAsia" w:ascii="宋体" w:hAnsi="宋体" w:cs="宋体"/>
              </w:rPr>
              <w:t>二重性原则</w:t>
            </w:r>
          </w:p>
        </w:tc>
        <w:tc>
          <w:tcPr>
            <w:tcW w:w="4216" w:type="pct"/>
          </w:tcPr>
          <w:p w14:paraId="79A9DAC5">
            <w:pPr>
              <w:jc w:val="left"/>
              <w:rPr>
                <w:rFonts w:ascii="宋体" w:hAnsi="宋体" w:cs="宋体"/>
              </w:rPr>
            </w:pPr>
            <w:r>
              <w:rPr>
                <w:rFonts w:hint="eastAsia" w:ascii="宋体" w:hAnsi="宋体" w:cs="宋体"/>
              </w:rPr>
              <w:t>（1）损失最小化；（2）风险预示着机会，化风险为增加企业价值的机会。</w:t>
            </w:r>
          </w:p>
        </w:tc>
      </w:tr>
      <w:tr w14:paraId="4DC1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3E01EB2D">
            <w:pPr>
              <w:jc w:val="left"/>
              <w:rPr>
                <w:rFonts w:ascii="宋体" w:hAnsi="宋体" w:cs="宋体"/>
              </w:rPr>
            </w:pPr>
            <w:r>
              <w:rPr>
                <w:rFonts w:hint="eastAsia" w:ascii="宋体" w:hAnsi="宋体" w:cs="宋体"/>
              </w:rPr>
              <w:t>系统性原则</w:t>
            </w:r>
          </w:p>
        </w:tc>
        <w:tc>
          <w:tcPr>
            <w:tcW w:w="4216" w:type="pct"/>
          </w:tcPr>
          <w:p w14:paraId="632FE68E">
            <w:pPr>
              <w:jc w:val="left"/>
              <w:rPr>
                <w:rFonts w:ascii="宋体" w:hAnsi="宋体" w:cs="宋体"/>
              </w:rPr>
            </w:pPr>
            <w:r>
              <w:rPr>
                <w:rFonts w:hint="eastAsia" w:ascii="宋体" w:hAnsi="宋体" w:cs="宋体"/>
              </w:rPr>
              <w:t>全面风险管理必须拥有一套系统性的、规范的方法，建立健全全面风险管理体系，包括风险管理策略、风险理财措施、风险管理的组织职能体系、风险管理信息系统性和内部控制系统性等，从而实现风险管理的总体目标提供合理保证</w:t>
            </w:r>
          </w:p>
        </w:tc>
      </w:tr>
    </w:tbl>
    <w:p w14:paraId="4E5E09D1">
      <w:pPr>
        <w:jc w:val="left"/>
        <w:rPr>
          <w:rFonts w:ascii="宋体" w:hAnsi="宋体" w:cs="宋体"/>
          <w:color w:val="FF0000"/>
        </w:rPr>
      </w:pPr>
      <w:r>
        <w:rPr>
          <w:rFonts w:hint="eastAsia" w:ascii="宋体" w:hAnsi="宋体" w:cs="宋体"/>
          <w:color w:val="FF0000"/>
        </w:rPr>
        <w:t>（三）风险对策</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838"/>
      </w:tblGrid>
      <w:tr w14:paraId="4E28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7AAD71E">
            <w:pPr>
              <w:jc w:val="left"/>
              <w:rPr>
                <w:rFonts w:ascii="宋体" w:hAnsi="宋体" w:cs="宋体"/>
              </w:rPr>
            </w:pPr>
            <w:r>
              <w:rPr>
                <w:rFonts w:hint="eastAsia" w:ascii="宋体" w:hAnsi="宋体" w:cs="宋体"/>
              </w:rPr>
              <w:t>风险策略</w:t>
            </w:r>
          </w:p>
        </w:tc>
        <w:tc>
          <w:tcPr>
            <w:tcW w:w="4359" w:type="pct"/>
          </w:tcPr>
          <w:p w14:paraId="065853E9">
            <w:pPr>
              <w:rPr>
                <w:rFonts w:ascii="宋体" w:hAnsi="宋体" w:cs="宋体"/>
              </w:rPr>
            </w:pPr>
            <w:r>
              <w:rPr>
                <w:rFonts w:hint="eastAsia" w:ascii="宋体" w:hAnsi="宋体" w:cs="宋体"/>
              </w:rPr>
              <w:t>含义</w:t>
            </w:r>
          </w:p>
        </w:tc>
      </w:tr>
      <w:tr w14:paraId="2C00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4CD0B2B">
            <w:pPr>
              <w:jc w:val="left"/>
              <w:rPr>
                <w:rFonts w:ascii="宋体" w:hAnsi="宋体" w:cs="宋体"/>
              </w:rPr>
            </w:pPr>
            <w:r>
              <w:rPr>
                <w:rFonts w:hint="eastAsia" w:ascii="宋体" w:hAnsi="宋体" w:cs="宋体"/>
              </w:rPr>
              <w:t>风险规避</w:t>
            </w:r>
          </w:p>
        </w:tc>
        <w:tc>
          <w:tcPr>
            <w:tcW w:w="4359" w:type="pct"/>
          </w:tcPr>
          <w:p w14:paraId="43D98BA9">
            <w:pPr>
              <w:jc w:val="left"/>
              <w:rPr>
                <w:rFonts w:ascii="宋体" w:hAnsi="宋体" w:cs="宋体"/>
              </w:rPr>
            </w:pPr>
            <w:r>
              <w:rPr>
                <w:rFonts w:hint="eastAsia" w:ascii="宋体" w:hAnsi="宋体" w:cs="宋体"/>
              </w:rPr>
              <w:t>收益不能抵消损失，应当放弃该资产，规避风险。</w:t>
            </w:r>
            <w:r>
              <w:rPr>
                <w:rFonts w:hint="eastAsia" w:ascii="宋体" w:hAnsi="宋体" w:cs="宋体"/>
                <w:color w:val="FF0000"/>
              </w:rPr>
              <w:t>拒绝与不守信用的厂商业务往来；放弃明显导致亏损的投资项目。</w:t>
            </w:r>
          </w:p>
        </w:tc>
      </w:tr>
      <w:tr w14:paraId="6D6D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AA69FE2">
            <w:pPr>
              <w:jc w:val="left"/>
              <w:rPr>
                <w:rFonts w:ascii="宋体" w:hAnsi="宋体" w:cs="宋体"/>
              </w:rPr>
            </w:pPr>
            <w:r>
              <w:rPr>
                <w:rFonts w:hint="eastAsia" w:ascii="宋体" w:hAnsi="宋体" w:cs="宋体"/>
              </w:rPr>
              <w:t>风险承担</w:t>
            </w:r>
          </w:p>
        </w:tc>
        <w:tc>
          <w:tcPr>
            <w:tcW w:w="4359" w:type="pct"/>
          </w:tcPr>
          <w:p w14:paraId="5330471B">
            <w:pPr>
              <w:jc w:val="left"/>
              <w:rPr>
                <w:rFonts w:ascii="宋体" w:hAnsi="宋体" w:cs="宋体"/>
              </w:rPr>
            </w:pPr>
            <w:r>
              <w:rPr>
                <w:rFonts w:hint="eastAsia" w:ascii="宋体" w:hAnsi="宋体" w:cs="宋体"/>
              </w:rPr>
              <w:t>指企业对所面临的风险采取接受的态度，从而承担风险带来的后果。</w:t>
            </w:r>
          </w:p>
        </w:tc>
      </w:tr>
      <w:tr w14:paraId="22D7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AB06CBC">
            <w:pPr>
              <w:jc w:val="left"/>
              <w:rPr>
                <w:rFonts w:ascii="宋体" w:hAnsi="宋体" w:cs="宋体"/>
              </w:rPr>
            </w:pPr>
            <w:r>
              <w:rPr>
                <w:rFonts w:hint="eastAsia" w:ascii="宋体" w:hAnsi="宋体" w:cs="宋体"/>
              </w:rPr>
              <w:t>风险转移</w:t>
            </w:r>
          </w:p>
        </w:tc>
        <w:tc>
          <w:tcPr>
            <w:tcW w:w="4359" w:type="pct"/>
          </w:tcPr>
          <w:p w14:paraId="362C30C9">
            <w:pPr>
              <w:rPr>
                <w:rFonts w:ascii="宋体" w:hAnsi="宋体" w:cs="宋体"/>
              </w:rPr>
            </w:pPr>
            <w:r>
              <w:rPr>
                <w:rFonts w:hint="eastAsia" w:ascii="宋体" w:hAnsi="宋体" w:cs="宋体"/>
              </w:rPr>
              <w:t>企业应以一定代价，采取某种方式转移风险。采取措施将风险转嫁给他人承担，</w:t>
            </w:r>
            <w:r>
              <w:rPr>
                <w:rFonts w:hint="eastAsia" w:ascii="宋体" w:hAnsi="宋体" w:cs="宋体"/>
                <w:color w:val="FF0000"/>
              </w:rPr>
              <w:t>向专业保险公司投保；采取合资、联营、联合开发；</w:t>
            </w:r>
            <w:r>
              <w:rPr>
                <w:rFonts w:hint="eastAsia" w:ascii="宋体" w:hAnsi="宋体" w:cs="宋体"/>
              </w:rPr>
              <w:t>通过</w:t>
            </w:r>
            <w:r>
              <w:rPr>
                <w:rFonts w:hint="eastAsia" w:ascii="宋体" w:hAnsi="宋体" w:cs="宋体"/>
                <w:color w:val="FF0000"/>
              </w:rPr>
              <w:t>技术转让、租赁经营和业务外包</w:t>
            </w:r>
            <w:r>
              <w:rPr>
                <w:rFonts w:hint="eastAsia" w:ascii="宋体" w:hAnsi="宋体" w:cs="宋体"/>
              </w:rPr>
              <w:t>等实现风险转移</w:t>
            </w:r>
          </w:p>
        </w:tc>
      </w:tr>
      <w:tr w14:paraId="221CD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AA98F30">
            <w:pPr>
              <w:jc w:val="left"/>
              <w:rPr>
                <w:rFonts w:ascii="宋体" w:hAnsi="宋体" w:cs="宋体"/>
              </w:rPr>
            </w:pPr>
            <w:r>
              <w:rPr>
                <w:rFonts w:hint="eastAsia" w:ascii="宋体" w:hAnsi="宋体" w:cs="宋体"/>
              </w:rPr>
              <w:t>风险转换</w:t>
            </w:r>
          </w:p>
        </w:tc>
        <w:tc>
          <w:tcPr>
            <w:tcW w:w="4359" w:type="pct"/>
          </w:tcPr>
          <w:p w14:paraId="28AC3A8A">
            <w:pPr>
              <w:rPr>
                <w:rFonts w:ascii="宋体" w:hAnsi="宋体" w:cs="宋体"/>
              </w:rPr>
            </w:pPr>
            <w:r>
              <w:rPr>
                <w:rFonts w:hint="eastAsia" w:ascii="宋体" w:hAnsi="宋体" w:cs="宋体"/>
              </w:rPr>
              <w:t>企业通过战略调整等手段将企业面临的风险转换成另一个风险。如放松交易客户信用标准，而增加了应收账款</w:t>
            </w:r>
          </w:p>
        </w:tc>
      </w:tr>
      <w:tr w14:paraId="6026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2D34C734">
            <w:pPr>
              <w:jc w:val="left"/>
              <w:rPr>
                <w:rFonts w:ascii="宋体" w:hAnsi="宋体" w:cs="宋体"/>
              </w:rPr>
            </w:pPr>
            <w:r>
              <w:rPr>
                <w:rFonts w:hint="eastAsia" w:ascii="宋体" w:hAnsi="宋体" w:cs="宋体"/>
              </w:rPr>
              <w:t>风险对冲</w:t>
            </w:r>
          </w:p>
        </w:tc>
        <w:tc>
          <w:tcPr>
            <w:tcW w:w="4359" w:type="pct"/>
          </w:tcPr>
          <w:p w14:paraId="6064ACF3">
            <w:pPr>
              <w:rPr>
                <w:rFonts w:ascii="宋体" w:hAnsi="宋体" w:cs="宋体"/>
              </w:rPr>
            </w:pPr>
            <w:r>
              <w:rPr>
                <w:rFonts w:hint="eastAsia" w:ascii="宋体" w:hAnsi="宋体" w:cs="宋体"/>
              </w:rPr>
              <w:t>引入多个风险因素或承担多个风险，使得这些风险能互相对冲，如基金（资产组合）。</w:t>
            </w:r>
          </w:p>
        </w:tc>
      </w:tr>
      <w:tr w14:paraId="543D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740C398">
            <w:pPr>
              <w:jc w:val="left"/>
              <w:rPr>
                <w:rFonts w:ascii="宋体" w:hAnsi="宋体" w:cs="宋体"/>
              </w:rPr>
            </w:pPr>
            <w:r>
              <w:rPr>
                <w:rFonts w:hint="eastAsia" w:ascii="宋体" w:hAnsi="宋体" w:cs="宋体"/>
              </w:rPr>
              <w:t>风险补偿</w:t>
            </w:r>
          </w:p>
        </w:tc>
        <w:tc>
          <w:tcPr>
            <w:tcW w:w="4359" w:type="pct"/>
          </w:tcPr>
          <w:p w14:paraId="3990CA30">
            <w:pPr>
              <w:rPr>
                <w:rFonts w:ascii="宋体" w:hAnsi="宋体" w:cs="宋体"/>
              </w:rPr>
            </w:pPr>
            <w:r>
              <w:rPr>
                <w:rFonts w:hint="eastAsia" w:ascii="宋体" w:hAnsi="宋体" w:cs="宋体"/>
              </w:rPr>
              <w:t>企业对风险可能造成的损失采取适当的措施进行补偿，形式包括财务补偿、人力补偿、物资补偿。常见的财务补偿包括企业自身的风险准备金或应急资本等。</w:t>
            </w:r>
          </w:p>
        </w:tc>
      </w:tr>
      <w:tr w14:paraId="2F50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1C9893D">
            <w:pPr>
              <w:jc w:val="left"/>
              <w:rPr>
                <w:rFonts w:ascii="宋体" w:hAnsi="宋体" w:cs="宋体"/>
              </w:rPr>
            </w:pPr>
            <w:r>
              <w:rPr>
                <w:rFonts w:hint="eastAsia" w:ascii="宋体" w:hAnsi="宋体" w:cs="宋体"/>
              </w:rPr>
              <w:t>风险控制</w:t>
            </w:r>
          </w:p>
        </w:tc>
        <w:tc>
          <w:tcPr>
            <w:tcW w:w="4359" w:type="pct"/>
          </w:tcPr>
          <w:p w14:paraId="20F9A84A">
            <w:pPr>
              <w:rPr>
                <w:rFonts w:ascii="宋体" w:hAnsi="宋体" w:cs="宋体"/>
              </w:rPr>
            </w:pPr>
            <w:r>
              <w:rPr>
                <w:rFonts w:hint="eastAsia" w:ascii="宋体" w:hAnsi="宋体" w:cs="宋体"/>
              </w:rPr>
              <w:t>指控制风险事件发生的动因、环境、条件等，达到减轻风险事件发生时的损失，风险控制对象一般是可控风险。</w:t>
            </w:r>
          </w:p>
        </w:tc>
      </w:tr>
    </w:tbl>
    <w:p w14:paraId="26FAE353">
      <w:pPr>
        <w:jc w:val="left"/>
        <w:rPr>
          <w:rFonts w:ascii="宋体" w:hAnsi="宋体" w:cs="宋体"/>
        </w:rPr>
      </w:pPr>
    </w:p>
    <w:p w14:paraId="227C8F4D">
      <w:pPr>
        <w:jc w:val="left"/>
        <w:rPr>
          <w:rFonts w:ascii="宋体" w:hAnsi="宋体" w:cs="宋体"/>
        </w:rPr>
      </w:pPr>
      <w:r>
        <w:rPr>
          <w:rFonts w:hint="eastAsia" w:ascii="宋体" w:hAnsi="宋体" w:cs="宋体"/>
        </w:rPr>
        <w:t>【单选题】（2018年）某公司购买一批贵金属材料，为避免该资产被盗而造成损失，向财产保险公司进行了投保，则该公司采取的风险对策是（  ）。</w:t>
      </w:r>
    </w:p>
    <w:p w14:paraId="44ABC80B">
      <w:pPr>
        <w:jc w:val="left"/>
        <w:rPr>
          <w:rFonts w:ascii="宋体" w:hAnsi="宋体" w:cs="宋体"/>
        </w:rPr>
      </w:pPr>
      <w:r>
        <w:rPr>
          <w:rFonts w:hint="eastAsia" w:ascii="宋体" w:hAnsi="宋体" w:cs="宋体"/>
        </w:rPr>
        <w:t xml:space="preserve">A.接受风险　　        B.减少风险　　     </w:t>
      </w:r>
    </w:p>
    <w:p w14:paraId="293C7859">
      <w:pPr>
        <w:jc w:val="left"/>
        <w:rPr>
          <w:rFonts w:ascii="宋体" w:hAnsi="宋体" w:cs="宋体"/>
        </w:rPr>
      </w:pPr>
      <w:r>
        <w:rPr>
          <w:rFonts w:hint="eastAsia" w:ascii="宋体" w:hAnsi="宋体" w:cs="宋体"/>
        </w:rPr>
        <w:t>C.规避风险　          D.转移风险</w:t>
      </w:r>
    </w:p>
    <w:p w14:paraId="2206C778">
      <w:pPr>
        <w:jc w:val="left"/>
        <w:rPr>
          <w:rFonts w:ascii="宋体" w:hAnsi="宋体" w:cs="宋体"/>
        </w:rPr>
      </w:pPr>
      <w:r>
        <w:rPr>
          <w:rFonts w:hint="eastAsia" w:ascii="宋体" w:hAnsi="宋体" w:cs="宋体"/>
        </w:rPr>
        <w:t>答案：D</w:t>
      </w:r>
    </w:p>
    <w:p w14:paraId="405C691C">
      <w:pPr>
        <w:jc w:val="left"/>
        <w:rPr>
          <w:rFonts w:hint="eastAsia" w:ascii="宋体" w:hAnsi="宋体" w:cs="宋体"/>
        </w:rPr>
      </w:pPr>
      <w:r>
        <w:rPr>
          <w:rFonts w:hint="eastAsia" w:ascii="宋体" w:hAnsi="宋体" w:cs="宋体"/>
        </w:rPr>
        <w:t>解析：转移风险是指对可能给企业带来灾难性损失的资产，企业应以一定的代价，采取某种方式将风险损失转嫁给他人承担。如向专业性保险公司投保。</w:t>
      </w:r>
    </w:p>
    <w:p w14:paraId="0B4BDCE7">
      <w:pPr>
        <w:overflowPunct w:val="0"/>
        <w:jc w:val="center"/>
        <w:rPr>
          <w:rFonts w:ascii="宋体" w:hAnsi="宋体" w:cs="宋体"/>
          <w:b/>
          <w:bCs/>
        </w:rPr>
      </w:pPr>
      <w:r>
        <w:rPr>
          <w:rFonts w:hint="eastAsia" w:ascii="宋体" w:hAnsi="宋体" w:cs="宋体"/>
          <w:b/>
          <w:bCs/>
        </w:rPr>
        <w:t>第三节  成本性态分析</w:t>
      </w:r>
    </w:p>
    <w:p w14:paraId="078D3E14">
      <w:pPr>
        <w:jc w:val="left"/>
        <w:rPr>
          <w:rFonts w:ascii="宋体" w:hAnsi="宋体" w:cs="宋体"/>
        </w:rPr>
      </w:pPr>
      <w:r>
        <w:rPr>
          <w:rFonts w:hint="eastAsia" w:ascii="宋体" w:hAnsi="宋体" w:cs="宋体"/>
        </w:rPr>
        <w:t>成本性态是指成本与业务量之间的依存关系。按照成本性态不同，通常可以把成本区分为固定成本、变动成本和混合成本三类。</w:t>
      </w:r>
    </w:p>
    <w:p w14:paraId="5D17481E">
      <w:pPr>
        <w:jc w:val="left"/>
        <w:rPr>
          <w:rFonts w:ascii="宋体" w:hAnsi="宋体" w:cs="宋体"/>
        </w:rPr>
      </w:pPr>
      <w:r>
        <w:rPr>
          <w:rFonts w:hint="eastAsia" w:ascii="宋体" w:hAnsi="宋体" w:cs="宋体"/>
        </w:rPr>
        <w:t>【知识点1】固定成本</w:t>
      </w:r>
    </w:p>
    <w:p w14:paraId="47E8EDEF">
      <w:pPr>
        <w:jc w:val="left"/>
        <w:rPr>
          <w:rFonts w:ascii="宋体" w:hAnsi="宋体" w:cs="宋体"/>
        </w:rPr>
      </w:pPr>
      <w:r>
        <w:rPr>
          <w:rFonts w:hint="eastAsia" w:ascii="宋体" w:hAnsi="宋体" w:cs="宋体"/>
        </w:rPr>
        <w:t>1.定义：固定成本是指在特定的业务量范围内不受业务量变动影响，一定期间的总额能保持相对稳定的成本。</w:t>
      </w:r>
    </w:p>
    <w:p w14:paraId="0D198EFE">
      <w:pPr>
        <w:jc w:val="left"/>
        <w:rPr>
          <w:rFonts w:hint="eastAsia" w:ascii="宋体" w:hAnsi="宋体" w:cs="宋体"/>
        </w:rPr>
      </w:pPr>
      <w:r>
        <w:rPr>
          <w:rFonts w:hint="eastAsia" w:ascii="宋体" w:hAnsi="宋体" w:cs="宋体"/>
        </w:rPr>
        <w:t>2.固定成本典型例子：固定折旧费用、房屋租金、行政管理人员工资、财产保险费、广告费、职工培训费、办公费、产品研究开发费用等。</w:t>
      </w:r>
    </w:p>
    <w:p w14:paraId="6DFB1075">
      <w:pPr>
        <w:overflowPunct w:val="0"/>
        <w:jc w:val="left"/>
        <w:rPr>
          <w:rFonts w:ascii="宋体" w:hAnsi="宋体" w:cs="宋体"/>
        </w:rPr>
      </w:pPr>
      <w:r>
        <w:rPr>
          <w:rFonts w:hint="eastAsia" w:ascii="宋体" w:hAnsi="宋体" w:cs="宋体"/>
        </w:rPr>
        <w:drawing>
          <wp:inline distT="0" distB="0" distL="114300" distR="114300">
            <wp:extent cx="5209540" cy="1261745"/>
            <wp:effectExtent l="0" t="0" r="10160" b="1460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55"/>
                    <a:stretch>
                      <a:fillRect/>
                    </a:stretch>
                  </pic:blipFill>
                  <pic:spPr>
                    <a:xfrm>
                      <a:off x="0" y="0"/>
                      <a:ext cx="5209540" cy="1261745"/>
                    </a:xfrm>
                    <a:prstGeom prst="rect">
                      <a:avLst/>
                    </a:prstGeom>
                    <a:noFill/>
                    <a:ln>
                      <a:noFill/>
                    </a:ln>
                  </pic:spPr>
                </pic:pic>
              </a:graphicData>
            </a:graphic>
          </wp:inline>
        </w:drawing>
      </w:r>
    </w:p>
    <w:p w14:paraId="499F8D97">
      <w:pPr>
        <w:overflowPunct w:val="0"/>
        <w:jc w:val="left"/>
        <w:rPr>
          <w:rFonts w:ascii="宋体" w:hAnsi="宋体" w:cs="宋体"/>
        </w:rPr>
      </w:pPr>
      <w:r>
        <w:rPr>
          <w:rFonts w:hint="eastAsia" w:ascii="宋体" w:hAnsi="宋体" w:cs="宋体"/>
        </w:rPr>
        <w:t>固定成本总额不因业务量的变动而变动，但</w:t>
      </w:r>
      <w:r>
        <w:rPr>
          <w:rFonts w:hint="eastAsia" w:ascii="宋体" w:hAnsi="宋体" w:cs="宋体"/>
          <w:color w:val="FF0000"/>
        </w:rPr>
        <w:t>单位固定成本</w:t>
      </w:r>
      <w:r>
        <w:rPr>
          <w:rFonts w:hint="eastAsia" w:ascii="宋体" w:hAnsi="宋体" w:cs="宋体"/>
        </w:rPr>
        <w:t>（单位业务量负担的固定成本）会与业务量的增减呈</w:t>
      </w:r>
      <w:r>
        <w:rPr>
          <w:rFonts w:hint="eastAsia" w:ascii="宋体" w:hAnsi="宋体" w:cs="宋体"/>
          <w:color w:val="FF0000"/>
        </w:rPr>
        <w:t>反向</w:t>
      </w:r>
      <w:r>
        <w:rPr>
          <w:rFonts w:hint="eastAsia" w:ascii="宋体" w:hAnsi="宋体" w:cs="宋体"/>
        </w:rPr>
        <w:t>变动。</w:t>
      </w:r>
    </w:p>
    <w:p w14:paraId="7609205C">
      <w:pPr>
        <w:jc w:val="left"/>
        <w:rPr>
          <w:rFonts w:ascii="宋体" w:hAnsi="宋体" w:cs="宋体"/>
        </w:rPr>
      </w:pPr>
      <w:r>
        <w:rPr>
          <w:rFonts w:hint="eastAsia" w:ascii="宋体" w:hAnsi="宋体" w:cs="宋体"/>
        </w:rPr>
        <w:t>3.固定成本分类</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4877"/>
        <w:gridCol w:w="3380"/>
      </w:tblGrid>
      <w:tr w14:paraId="7D8A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68AE42ED">
            <w:pPr>
              <w:jc w:val="left"/>
              <w:rPr>
                <w:rFonts w:ascii="宋体" w:hAnsi="宋体" w:cs="宋体"/>
              </w:rPr>
            </w:pPr>
            <w:r>
              <w:rPr>
                <w:rFonts w:hint="eastAsia" w:ascii="宋体" w:hAnsi="宋体" w:cs="宋体"/>
              </w:rPr>
              <w:t>类型</w:t>
            </w:r>
          </w:p>
        </w:tc>
        <w:tc>
          <w:tcPr>
            <w:tcW w:w="2406" w:type="pct"/>
          </w:tcPr>
          <w:p w14:paraId="27728CDB">
            <w:pPr>
              <w:jc w:val="left"/>
              <w:rPr>
                <w:rFonts w:ascii="宋体" w:hAnsi="宋体" w:cs="宋体"/>
              </w:rPr>
            </w:pPr>
            <w:r>
              <w:rPr>
                <w:rFonts w:hint="eastAsia" w:ascii="宋体" w:hAnsi="宋体" w:cs="宋体"/>
              </w:rPr>
              <w:t>概念</w:t>
            </w:r>
          </w:p>
        </w:tc>
        <w:tc>
          <w:tcPr>
            <w:tcW w:w="1667" w:type="pct"/>
          </w:tcPr>
          <w:p w14:paraId="0ABE96E9">
            <w:pPr>
              <w:jc w:val="left"/>
              <w:rPr>
                <w:rFonts w:ascii="宋体" w:hAnsi="宋体" w:cs="宋体"/>
              </w:rPr>
            </w:pPr>
            <w:r>
              <w:rPr>
                <w:rFonts w:hint="eastAsia" w:ascii="宋体" w:hAnsi="宋体" w:cs="宋体"/>
              </w:rPr>
              <w:t>举例</w:t>
            </w:r>
          </w:p>
        </w:tc>
      </w:tr>
      <w:tr w14:paraId="666A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0C74468A">
            <w:pPr>
              <w:jc w:val="left"/>
              <w:rPr>
                <w:rFonts w:ascii="宋体" w:hAnsi="宋体" w:cs="宋体"/>
              </w:rPr>
            </w:pPr>
            <w:r>
              <w:rPr>
                <w:rFonts w:hint="eastAsia" w:ascii="宋体" w:hAnsi="宋体" w:cs="宋体"/>
              </w:rPr>
              <w:t>约束性固定成本</w:t>
            </w:r>
          </w:p>
        </w:tc>
        <w:tc>
          <w:tcPr>
            <w:tcW w:w="2406" w:type="pct"/>
          </w:tcPr>
          <w:p w14:paraId="447AEB7F">
            <w:pPr>
              <w:jc w:val="left"/>
              <w:rPr>
                <w:rFonts w:ascii="宋体" w:hAnsi="宋体" w:cs="宋体"/>
              </w:rPr>
            </w:pPr>
            <w:r>
              <w:rPr>
                <w:rFonts w:hint="eastAsia" w:ascii="宋体" w:hAnsi="宋体" w:cs="宋体"/>
              </w:rPr>
              <w:t>管理当局的短期经营决策行动不能改变其具体数额的固定成本，也是企业生产能力形成必然发生的最低支出，及时中断也要发生。</w:t>
            </w:r>
          </w:p>
        </w:tc>
        <w:tc>
          <w:tcPr>
            <w:tcW w:w="1667" w:type="pct"/>
          </w:tcPr>
          <w:p w14:paraId="01E5EC8A">
            <w:pPr>
              <w:jc w:val="left"/>
              <w:rPr>
                <w:rFonts w:ascii="宋体" w:hAnsi="宋体" w:cs="宋体"/>
              </w:rPr>
            </w:pPr>
            <w:r>
              <w:rPr>
                <w:rFonts w:hint="eastAsia" w:ascii="宋体" w:hAnsi="宋体" w:cs="宋体"/>
              </w:rPr>
              <w:t>保险费、房屋租赁、固定的设备折旧、管理人员的基本工资等。</w:t>
            </w:r>
          </w:p>
        </w:tc>
      </w:tr>
      <w:tr w14:paraId="7BD4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71F3B516">
            <w:pPr>
              <w:jc w:val="left"/>
              <w:rPr>
                <w:rFonts w:ascii="宋体" w:hAnsi="宋体" w:cs="宋体"/>
              </w:rPr>
            </w:pPr>
            <w:r>
              <w:rPr>
                <w:rFonts w:hint="eastAsia" w:ascii="宋体" w:hAnsi="宋体" w:cs="宋体"/>
              </w:rPr>
              <w:t>酌量性固定成本</w:t>
            </w:r>
          </w:p>
        </w:tc>
        <w:tc>
          <w:tcPr>
            <w:tcW w:w="2406" w:type="pct"/>
          </w:tcPr>
          <w:p w14:paraId="7116320A">
            <w:pPr>
              <w:jc w:val="left"/>
              <w:rPr>
                <w:rFonts w:ascii="宋体" w:hAnsi="宋体" w:cs="宋体"/>
              </w:rPr>
            </w:pPr>
            <w:r>
              <w:rPr>
                <w:rFonts w:hint="eastAsia" w:ascii="宋体" w:hAnsi="宋体" w:cs="宋体"/>
              </w:rPr>
              <w:t>管理当局的短期经营决策行动能改变其数额的固定成本，企业可以酌量考虑具体情况和财务负担能力对固定成本项目的开支情况分别做决策。</w:t>
            </w:r>
          </w:p>
        </w:tc>
        <w:tc>
          <w:tcPr>
            <w:tcW w:w="1667" w:type="pct"/>
          </w:tcPr>
          <w:p w14:paraId="28FDFFCD">
            <w:pPr>
              <w:jc w:val="left"/>
              <w:rPr>
                <w:rFonts w:ascii="宋体" w:hAnsi="宋体" w:cs="宋体"/>
              </w:rPr>
            </w:pPr>
            <w:r>
              <w:rPr>
                <w:rFonts w:hint="eastAsia" w:ascii="宋体" w:hAnsi="宋体" w:cs="宋体"/>
              </w:rPr>
              <w:t>广告费、职工培训费、差旅费、办公费、外事费、研发人员培训费、培养费、专家咨询费、高新技术研发保险费用等。</w:t>
            </w:r>
          </w:p>
        </w:tc>
      </w:tr>
    </w:tbl>
    <w:p w14:paraId="16E9E734">
      <w:pPr>
        <w:jc w:val="left"/>
        <w:rPr>
          <w:rFonts w:ascii="宋体" w:hAnsi="宋体" w:cs="宋体"/>
        </w:rPr>
      </w:pPr>
    </w:p>
    <w:p w14:paraId="53706B3B">
      <w:pPr>
        <w:jc w:val="left"/>
        <w:rPr>
          <w:rFonts w:ascii="宋体" w:hAnsi="宋体" w:cs="宋体"/>
        </w:rPr>
      </w:pPr>
      <w:r>
        <w:rPr>
          <w:rFonts w:hint="eastAsia" w:ascii="宋体" w:hAnsi="宋体" w:cs="宋体"/>
        </w:rPr>
        <w:t>【多选题】（2024年）关于变动成本和固定成本，下列表述正确的有（  ）。</w:t>
      </w:r>
    </w:p>
    <w:p w14:paraId="368691F7">
      <w:pPr>
        <w:jc w:val="left"/>
        <w:rPr>
          <w:rFonts w:ascii="宋体" w:hAnsi="宋体" w:cs="宋体"/>
        </w:rPr>
      </w:pPr>
      <w:r>
        <w:rPr>
          <w:rFonts w:hint="eastAsia" w:ascii="宋体" w:hAnsi="宋体" w:cs="宋体"/>
        </w:rPr>
        <w:t>A.在相关范围内，单位固定成本，随业务量增减呈反方向变动</w:t>
      </w:r>
    </w:p>
    <w:p w14:paraId="1649F80F">
      <w:pPr>
        <w:jc w:val="left"/>
        <w:rPr>
          <w:rFonts w:ascii="宋体" w:hAnsi="宋体" w:cs="宋体"/>
        </w:rPr>
      </w:pPr>
      <w:r>
        <w:rPr>
          <w:rFonts w:hint="eastAsia" w:ascii="宋体" w:hAnsi="宋体" w:cs="宋体"/>
        </w:rPr>
        <w:t>B.在相关范围内，单位变动成本，随业务量增减呈正方向变动</w:t>
      </w:r>
    </w:p>
    <w:p w14:paraId="7014C514">
      <w:pPr>
        <w:jc w:val="left"/>
        <w:rPr>
          <w:rFonts w:ascii="宋体" w:hAnsi="宋体" w:cs="宋体"/>
        </w:rPr>
      </w:pPr>
      <w:r>
        <w:rPr>
          <w:rFonts w:hint="eastAsia" w:ascii="宋体" w:hAnsi="宋体" w:cs="宋体"/>
        </w:rPr>
        <w:t>C.在相关范围内，固定成本总额，随业务量增减呈反方向变动</w:t>
      </w:r>
    </w:p>
    <w:p w14:paraId="74CE1D9F">
      <w:pPr>
        <w:jc w:val="left"/>
        <w:rPr>
          <w:rFonts w:ascii="宋体" w:hAnsi="宋体" w:cs="宋体"/>
        </w:rPr>
      </w:pPr>
      <w:r>
        <w:rPr>
          <w:rFonts w:hint="eastAsia" w:ascii="宋体" w:hAnsi="宋体" w:cs="宋体"/>
        </w:rPr>
        <w:t>D.在相关范围内，变动成本总额，随业务量增减呈正方向变动</w:t>
      </w:r>
    </w:p>
    <w:p w14:paraId="6D586A2A">
      <w:pPr>
        <w:jc w:val="left"/>
        <w:rPr>
          <w:rFonts w:ascii="宋体" w:hAnsi="宋体" w:cs="宋体"/>
        </w:rPr>
      </w:pPr>
      <w:r>
        <w:rPr>
          <w:rFonts w:hint="eastAsia" w:ascii="宋体" w:hAnsi="宋体" w:cs="宋体"/>
        </w:rPr>
        <w:t>答案：AD </w:t>
      </w:r>
    </w:p>
    <w:p w14:paraId="1FEF6E85">
      <w:pPr>
        <w:jc w:val="left"/>
        <w:rPr>
          <w:rFonts w:ascii="宋体" w:hAnsi="宋体" w:cs="宋体"/>
        </w:rPr>
      </w:pPr>
      <w:r>
        <w:rPr>
          <w:rFonts w:hint="eastAsia" w:ascii="宋体" w:hAnsi="宋体" w:cs="宋体"/>
        </w:rPr>
        <w:t>解析：固定成本的基本特征是：在一定期间及特定的业务量范围内，固定成本总额不因业务量的变动而变动，但单位固定成本会与业务量的增减成反方向变动，选项A的说法正确，选项C的说法不正确。变动成本的基本特征是：在特定的业务量范围内，变动成本总额随业务量的变动而呈正比例变动，但单位变动成本不变，选项D的说法正确，选项B的说法不正确。</w:t>
      </w:r>
    </w:p>
    <w:p w14:paraId="23C5002F">
      <w:pPr>
        <w:jc w:val="left"/>
        <w:rPr>
          <w:rFonts w:ascii="宋体" w:hAnsi="宋体" w:cs="宋体"/>
        </w:rPr>
      </w:pPr>
    </w:p>
    <w:p w14:paraId="3764D978">
      <w:pPr>
        <w:jc w:val="left"/>
        <w:rPr>
          <w:rFonts w:ascii="宋体" w:hAnsi="宋体" w:cs="宋体"/>
        </w:rPr>
      </w:pPr>
      <w:r>
        <w:rPr>
          <w:rFonts w:hint="eastAsia" w:ascii="宋体" w:hAnsi="宋体" w:cs="宋体"/>
        </w:rPr>
        <w:t>【单选题】（2023年）根据成本性态，下列固定成本中一般属于约束性固定成本的是（  ）</w:t>
      </w:r>
    </w:p>
    <w:p w14:paraId="758729B4">
      <w:pPr>
        <w:jc w:val="left"/>
        <w:rPr>
          <w:rFonts w:ascii="宋体" w:hAnsi="宋体" w:cs="宋体"/>
        </w:rPr>
      </w:pPr>
      <w:r>
        <w:rPr>
          <w:rFonts w:hint="eastAsia" w:ascii="宋体" w:hAnsi="宋体" w:cs="宋体"/>
        </w:rPr>
        <w:t>A.职工培训费</w:t>
      </w:r>
    </w:p>
    <w:p w14:paraId="72FEC12B">
      <w:pPr>
        <w:jc w:val="left"/>
        <w:rPr>
          <w:rFonts w:ascii="宋体" w:hAnsi="宋体" w:cs="宋体"/>
        </w:rPr>
      </w:pPr>
      <w:r>
        <w:rPr>
          <w:rFonts w:hint="eastAsia" w:ascii="宋体" w:hAnsi="宋体" w:cs="宋体"/>
        </w:rPr>
        <w:t>B.厂房租金</w:t>
      </w:r>
    </w:p>
    <w:p w14:paraId="516648AC">
      <w:pPr>
        <w:jc w:val="left"/>
        <w:rPr>
          <w:rFonts w:ascii="宋体" w:hAnsi="宋体" w:cs="宋体"/>
        </w:rPr>
      </w:pPr>
      <w:r>
        <w:rPr>
          <w:rFonts w:hint="eastAsia" w:ascii="宋体" w:hAnsi="宋体" w:cs="宋体"/>
        </w:rPr>
        <w:t>C.专家咨询费</w:t>
      </w:r>
    </w:p>
    <w:p w14:paraId="51A9161A">
      <w:pPr>
        <w:jc w:val="left"/>
        <w:rPr>
          <w:rFonts w:ascii="宋体" w:hAnsi="宋体" w:cs="宋体"/>
        </w:rPr>
      </w:pPr>
      <w:r>
        <w:rPr>
          <w:rFonts w:hint="eastAsia" w:ascii="宋体" w:hAnsi="宋体" w:cs="宋体"/>
        </w:rPr>
        <w:t>D.广告费</w:t>
      </w:r>
    </w:p>
    <w:p w14:paraId="068D11E5">
      <w:pPr>
        <w:jc w:val="left"/>
        <w:rPr>
          <w:rFonts w:ascii="宋体" w:hAnsi="宋体" w:cs="宋体"/>
        </w:rPr>
      </w:pPr>
      <w:r>
        <w:rPr>
          <w:rFonts w:hint="eastAsia" w:ascii="宋体" w:hAnsi="宋体" w:cs="宋体"/>
        </w:rPr>
        <w:t>答案：B</w:t>
      </w:r>
    </w:p>
    <w:p w14:paraId="1D026583">
      <w:pPr>
        <w:jc w:val="left"/>
        <w:rPr>
          <w:rFonts w:ascii="宋体" w:hAnsi="宋体" w:cs="宋体"/>
        </w:rPr>
      </w:pPr>
      <w:r>
        <w:rPr>
          <w:rFonts w:hint="eastAsia" w:ascii="宋体" w:hAnsi="宋体" w:cs="宋体"/>
        </w:rPr>
        <w:t>解析：约束性固定成本为管理当局的短期经营决策行动不能改变其具体数额的固定成本，也是企业生产能力形成必然发生的最低支出，及时中断也要发生。例如：保险费、房屋租赁、固定的设备折旧、厂房租金（选项B正确）、管理人员的基本工资等。</w:t>
      </w:r>
    </w:p>
    <w:p w14:paraId="0731B69C">
      <w:pPr>
        <w:jc w:val="left"/>
        <w:rPr>
          <w:rFonts w:ascii="宋体" w:hAnsi="宋体" w:cs="宋体"/>
        </w:rPr>
      </w:pPr>
    </w:p>
    <w:p w14:paraId="1DD74C53">
      <w:pPr>
        <w:jc w:val="left"/>
        <w:rPr>
          <w:rFonts w:ascii="宋体" w:hAnsi="宋体" w:cs="宋体"/>
        </w:rPr>
      </w:pPr>
      <w:r>
        <w:rPr>
          <w:rFonts w:hint="eastAsia" w:ascii="宋体" w:hAnsi="宋体" w:cs="宋体"/>
        </w:rPr>
        <w:t>【多选题】（2018年）下列各项中，一般属于酌量性固定成本的有（  ）。</w:t>
      </w:r>
    </w:p>
    <w:p w14:paraId="288A24FA">
      <w:pPr>
        <w:jc w:val="left"/>
        <w:rPr>
          <w:rFonts w:ascii="宋体" w:hAnsi="宋体" w:cs="宋体"/>
        </w:rPr>
      </w:pPr>
      <w:r>
        <w:rPr>
          <w:rFonts w:hint="eastAsia" w:ascii="宋体" w:hAnsi="宋体" w:cs="宋体"/>
        </w:rPr>
        <w:t>A.新产品研发费　　　</w:t>
      </w:r>
    </w:p>
    <w:p w14:paraId="588C6D5A">
      <w:pPr>
        <w:jc w:val="left"/>
        <w:rPr>
          <w:rFonts w:ascii="宋体" w:hAnsi="宋体" w:cs="宋体"/>
        </w:rPr>
      </w:pPr>
      <w:r>
        <w:rPr>
          <w:rFonts w:hint="eastAsia" w:ascii="宋体" w:hAnsi="宋体" w:cs="宋体"/>
        </w:rPr>
        <w:t>B.广告费</w:t>
      </w:r>
    </w:p>
    <w:p w14:paraId="5B7EC668">
      <w:pPr>
        <w:jc w:val="left"/>
        <w:rPr>
          <w:rFonts w:ascii="宋体" w:hAnsi="宋体" w:cs="宋体"/>
        </w:rPr>
      </w:pPr>
      <w:r>
        <w:rPr>
          <w:rFonts w:hint="eastAsia" w:ascii="宋体" w:hAnsi="宋体" w:cs="宋体"/>
        </w:rPr>
        <w:t>C.职工培训费　　　　</w:t>
      </w:r>
    </w:p>
    <w:p w14:paraId="607D2371">
      <w:pPr>
        <w:jc w:val="left"/>
        <w:rPr>
          <w:rFonts w:ascii="宋体" w:hAnsi="宋体" w:cs="宋体"/>
        </w:rPr>
      </w:pPr>
      <w:r>
        <w:rPr>
          <w:rFonts w:hint="eastAsia" w:ascii="宋体" w:hAnsi="宋体" w:cs="宋体"/>
        </w:rPr>
        <w:t>D.设备折旧费</w:t>
      </w:r>
    </w:p>
    <w:p w14:paraId="190A8CC0">
      <w:pPr>
        <w:jc w:val="left"/>
        <w:rPr>
          <w:rFonts w:ascii="宋体" w:hAnsi="宋体" w:cs="宋体"/>
        </w:rPr>
      </w:pPr>
      <w:r>
        <w:rPr>
          <w:rFonts w:hint="eastAsia" w:ascii="宋体" w:hAnsi="宋体" w:cs="宋体"/>
        </w:rPr>
        <w:t>答案：ABC</w:t>
      </w:r>
    </w:p>
    <w:p w14:paraId="700EBE06">
      <w:pPr>
        <w:jc w:val="left"/>
        <w:rPr>
          <w:rFonts w:ascii="宋体" w:hAnsi="宋体" w:cs="宋体"/>
        </w:rPr>
      </w:pPr>
      <w:r>
        <w:rPr>
          <w:rFonts w:hint="eastAsia" w:ascii="宋体" w:hAnsi="宋体" w:cs="宋体"/>
        </w:rPr>
        <w:t>解析：酌量性固定成本是指管理当局的短期经营决策行动能改变其数额的固定成本。例如：广告费、职工培训费、新产品研究开发费用等。选项 D 属于约束性固定成本。</w:t>
      </w:r>
    </w:p>
    <w:p w14:paraId="11D93618">
      <w:pPr>
        <w:jc w:val="left"/>
        <w:rPr>
          <w:rFonts w:ascii="宋体" w:hAnsi="宋体" w:cs="宋体"/>
        </w:rPr>
      </w:pPr>
    </w:p>
    <w:p w14:paraId="7ABBFEF2">
      <w:pPr>
        <w:jc w:val="left"/>
        <w:rPr>
          <w:rFonts w:ascii="宋体" w:hAnsi="宋体" w:cs="宋体"/>
        </w:rPr>
      </w:pPr>
      <w:r>
        <w:rPr>
          <w:rFonts w:hint="eastAsia" w:ascii="宋体" w:hAnsi="宋体" w:cs="宋体"/>
        </w:rPr>
        <w:t>【知识点2】变动成本</w:t>
      </w:r>
    </w:p>
    <w:p w14:paraId="6E9B90AE">
      <w:pPr>
        <w:jc w:val="left"/>
        <w:rPr>
          <w:rFonts w:ascii="宋体" w:hAnsi="宋体" w:cs="宋体"/>
        </w:rPr>
      </w:pPr>
      <w:r>
        <w:rPr>
          <w:rFonts w:hint="eastAsia" w:ascii="宋体" w:hAnsi="宋体" w:cs="宋体"/>
        </w:rPr>
        <w:t>1.定义：变动成本指在特定的业务量范围内，其总额会随业务量的变动而成正比例变动的成本。</w:t>
      </w:r>
    </w:p>
    <w:p w14:paraId="1B215913">
      <w:pPr>
        <w:jc w:val="left"/>
        <w:rPr>
          <w:rFonts w:hint="eastAsia" w:ascii="宋体" w:hAnsi="宋体" w:cs="宋体"/>
        </w:rPr>
      </w:pPr>
      <w:r>
        <w:rPr>
          <w:rFonts w:hint="eastAsia" w:ascii="宋体" w:hAnsi="宋体" w:cs="宋体"/>
        </w:rPr>
        <w:t>2.变动成本典型例子：直接材料、直接人工、按销售量支付的推销员佣金、装运费、包装费，以及按产量计提的固定设备折旧等。</w:t>
      </w:r>
    </w:p>
    <w:p w14:paraId="1F940B06">
      <w:pPr>
        <w:overflowPunct w:val="0"/>
        <w:jc w:val="left"/>
        <w:rPr>
          <w:rFonts w:ascii="宋体" w:hAnsi="宋体" w:cs="宋体"/>
        </w:rPr>
      </w:pPr>
      <w:r>
        <w:rPr>
          <w:rFonts w:hint="eastAsia" w:ascii="宋体" w:hAnsi="宋体" w:cs="宋体"/>
        </w:rPr>
        <w:drawing>
          <wp:inline distT="0" distB="0" distL="114300" distR="114300">
            <wp:extent cx="3673475" cy="1536700"/>
            <wp:effectExtent l="0" t="0" r="3175" b="635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56"/>
                    <a:stretch>
                      <a:fillRect/>
                    </a:stretch>
                  </pic:blipFill>
                  <pic:spPr>
                    <a:xfrm>
                      <a:off x="0" y="0"/>
                      <a:ext cx="3697276" cy="1547183"/>
                    </a:xfrm>
                    <a:prstGeom prst="rect">
                      <a:avLst/>
                    </a:prstGeom>
                    <a:noFill/>
                    <a:ln>
                      <a:noFill/>
                    </a:ln>
                  </pic:spPr>
                </pic:pic>
              </a:graphicData>
            </a:graphic>
          </wp:inline>
        </w:drawing>
      </w:r>
    </w:p>
    <w:p w14:paraId="0A4C4512">
      <w:pPr>
        <w:overflowPunct w:val="0"/>
        <w:jc w:val="left"/>
        <w:rPr>
          <w:rFonts w:ascii="宋体" w:hAnsi="宋体" w:cs="宋体"/>
        </w:rPr>
      </w:pPr>
      <w:r>
        <w:rPr>
          <w:rFonts w:hint="eastAsia" w:ascii="宋体" w:hAnsi="宋体" w:cs="宋体"/>
          <w:color w:val="FF0000"/>
        </w:rPr>
        <w:t>变动成本总额</w:t>
      </w:r>
      <w:r>
        <w:rPr>
          <w:rFonts w:hint="eastAsia" w:ascii="宋体" w:hAnsi="宋体" w:cs="宋体"/>
        </w:rPr>
        <w:t>因业务量的变动而成</w:t>
      </w:r>
      <w:r>
        <w:rPr>
          <w:rFonts w:hint="eastAsia" w:ascii="宋体" w:hAnsi="宋体" w:cs="宋体"/>
          <w:color w:val="FF0000"/>
        </w:rPr>
        <w:t>正比例</w:t>
      </w:r>
      <w:r>
        <w:rPr>
          <w:rFonts w:hint="eastAsia" w:ascii="宋体" w:hAnsi="宋体" w:cs="宋体"/>
        </w:rPr>
        <w:t>变动，但</w:t>
      </w:r>
      <w:r>
        <w:rPr>
          <w:rFonts w:hint="eastAsia" w:ascii="宋体" w:hAnsi="宋体" w:cs="宋体"/>
          <w:color w:val="FF0000"/>
        </w:rPr>
        <w:t>单位变动成本</w:t>
      </w:r>
      <w:r>
        <w:rPr>
          <w:rFonts w:hint="eastAsia" w:ascii="宋体" w:hAnsi="宋体" w:cs="宋体"/>
        </w:rPr>
        <w:t>（单位业务量负担的变动成本）</w:t>
      </w:r>
      <w:r>
        <w:rPr>
          <w:rFonts w:hint="eastAsia" w:ascii="宋体" w:hAnsi="宋体" w:cs="宋体"/>
          <w:color w:val="FF0000"/>
        </w:rPr>
        <w:t>不变</w:t>
      </w:r>
      <w:r>
        <w:rPr>
          <w:rFonts w:hint="eastAsia" w:ascii="宋体" w:hAnsi="宋体" w:cs="宋体"/>
        </w:rPr>
        <w:t xml:space="preserve">。 </w:t>
      </w:r>
    </w:p>
    <w:p w14:paraId="6427D1DF">
      <w:pPr>
        <w:jc w:val="left"/>
        <w:rPr>
          <w:rFonts w:ascii="宋体" w:hAnsi="宋体" w:cs="宋体"/>
        </w:rPr>
      </w:pPr>
      <w:r>
        <w:rPr>
          <w:rFonts w:hint="eastAsia" w:ascii="宋体" w:hAnsi="宋体" w:cs="宋体"/>
        </w:rPr>
        <w:t>3.变动成本分类</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4202"/>
        <w:gridCol w:w="3763"/>
      </w:tblGrid>
      <w:tr w14:paraId="250A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15EBEB60">
            <w:pPr>
              <w:rPr>
                <w:rFonts w:ascii="宋体" w:hAnsi="宋体" w:cs="宋体"/>
              </w:rPr>
            </w:pPr>
            <w:r>
              <w:rPr>
                <w:rFonts w:hint="eastAsia" w:ascii="宋体" w:hAnsi="宋体" w:cs="宋体"/>
              </w:rPr>
              <w:t>类型</w:t>
            </w:r>
          </w:p>
        </w:tc>
        <w:tc>
          <w:tcPr>
            <w:tcW w:w="2073" w:type="pct"/>
          </w:tcPr>
          <w:p w14:paraId="27C87FC9">
            <w:pPr>
              <w:rPr>
                <w:rFonts w:ascii="宋体" w:hAnsi="宋体" w:cs="宋体"/>
              </w:rPr>
            </w:pPr>
            <w:r>
              <w:rPr>
                <w:rFonts w:hint="eastAsia" w:ascii="宋体" w:hAnsi="宋体" w:cs="宋体"/>
              </w:rPr>
              <w:t>概念</w:t>
            </w:r>
          </w:p>
        </w:tc>
        <w:tc>
          <w:tcPr>
            <w:tcW w:w="1856" w:type="pct"/>
          </w:tcPr>
          <w:p w14:paraId="6FAC26A7">
            <w:pPr>
              <w:rPr>
                <w:rFonts w:ascii="宋体" w:hAnsi="宋体" w:cs="宋体"/>
              </w:rPr>
            </w:pPr>
            <w:r>
              <w:rPr>
                <w:rFonts w:hint="eastAsia" w:ascii="宋体" w:hAnsi="宋体" w:cs="宋体"/>
              </w:rPr>
              <w:t>举例</w:t>
            </w:r>
          </w:p>
        </w:tc>
      </w:tr>
      <w:tr w14:paraId="327A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487CF00B">
            <w:pPr>
              <w:rPr>
                <w:rFonts w:ascii="宋体" w:hAnsi="宋体" w:cs="宋体"/>
              </w:rPr>
            </w:pPr>
            <w:r>
              <w:rPr>
                <w:rFonts w:hint="eastAsia" w:ascii="宋体" w:hAnsi="宋体" w:cs="宋体"/>
              </w:rPr>
              <w:t>技术性成本（也称约束性变动成本）</w:t>
            </w:r>
          </w:p>
        </w:tc>
        <w:tc>
          <w:tcPr>
            <w:tcW w:w="2073" w:type="pct"/>
          </w:tcPr>
          <w:p w14:paraId="636B2EF7">
            <w:pPr>
              <w:rPr>
                <w:rFonts w:ascii="宋体" w:hAnsi="宋体" w:cs="宋体"/>
              </w:rPr>
            </w:pPr>
            <w:r>
              <w:rPr>
                <w:rFonts w:hint="eastAsia" w:ascii="宋体" w:hAnsi="宋体" w:cs="宋体"/>
              </w:rPr>
              <w:t>有技术或设计关系所决定的变动成本。经理人员不能决定技术性变动成本的发生额。</w:t>
            </w:r>
          </w:p>
        </w:tc>
        <w:tc>
          <w:tcPr>
            <w:tcW w:w="1856" w:type="pct"/>
          </w:tcPr>
          <w:p w14:paraId="75FF6354">
            <w:pPr>
              <w:rPr>
                <w:rFonts w:ascii="宋体" w:hAnsi="宋体" w:cs="宋体"/>
              </w:rPr>
            </w:pPr>
            <w:r>
              <w:rPr>
                <w:rFonts w:hint="eastAsia" w:ascii="宋体" w:hAnsi="宋体" w:cs="宋体"/>
              </w:rPr>
              <w:t>一台引擎、一个底盘和若干轮胎；直接材料</w:t>
            </w:r>
          </w:p>
        </w:tc>
      </w:tr>
      <w:tr w14:paraId="1887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5106D4BD">
            <w:pPr>
              <w:rPr>
                <w:rFonts w:ascii="宋体" w:hAnsi="宋体" w:cs="宋体"/>
              </w:rPr>
            </w:pPr>
            <w:r>
              <w:rPr>
                <w:rFonts w:hint="eastAsia" w:ascii="宋体" w:hAnsi="宋体" w:cs="宋体"/>
              </w:rPr>
              <w:t>酌量性变动成本</w:t>
            </w:r>
          </w:p>
        </w:tc>
        <w:tc>
          <w:tcPr>
            <w:tcW w:w="2073" w:type="pct"/>
          </w:tcPr>
          <w:p w14:paraId="525698C9">
            <w:pPr>
              <w:rPr>
                <w:rFonts w:ascii="宋体" w:hAnsi="宋体" w:cs="宋体"/>
              </w:rPr>
            </w:pPr>
            <w:r>
              <w:rPr>
                <w:rFonts w:hint="eastAsia" w:ascii="宋体" w:hAnsi="宋体" w:cs="宋体"/>
              </w:rPr>
              <w:t>通过管理当局的决策行动可以改变的变动成本</w:t>
            </w:r>
          </w:p>
        </w:tc>
        <w:tc>
          <w:tcPr>
            <w:tcW w:w="1856" w:type="pct"/>
          </w:tcPr>
          <w:p w14:paraId="5F15BC7E">
            <w:pPr>
              <w:rPr>
                <w:rFonts w:ascii="宋体" w:hAnsi="宋体" w:cs="宋体"/>
              </w:rPr>
            </w:pPr>
            <w:r>
              <w:rPr>
                <w:rFonts w:hint="eastAsia" w:ascii="宋体" w:hAnsi="宋体" w:cs="宋体"/>
              </w:rPr>
              <w:t>按销售收入的一定百分比支付的销售佣金、新产品研制费、技术转让费等</w:t>
            </w:r>
          </w:p>
        </w:tc>
      </w:tr>
    </w:tbl>
    <w:p w14:paraId="5EAE9370">
      <w:pPr>
        <w:jc w:val="left"/>
        <w:rPr>
          <w:rFonts w:ascii="宋体" w:hAnsi="宋体" w:cs="宋体"/>
        </w:rPr>
      </w:pPr>
    </w:p>
    <w:p w14:paraId="6748D285">
      <w:pPr>
        <w:jc w:val="left"/>
        <w:rPr>
          <w:rFonts w:ascii="宋体" w:hAnsi="宋体" w:cs="宋体"/>
        </w:rPr>
      </w:pPr>
      <w:r>
        <w:rPr>
          <w:rFonts w:hint="eastAsia" w:ascii="宋体" w:hAnsi="宋体" w:cs="宋体"/>
        </w:rPr>
        <w:t xml:space="preserve">【单选题】（2021年）基于成本性态，下列各项中属于技术性变动成本的是（  ） </w:t>
      </w:r>
    </w:p>
    <w:p w14:paraId="1CD2E376">
      <w:pPr>
        <w:jc w:val="left"/>
        <w:rPr>
          <w:rFonts w:ascii="宋体" w:hAnsi="宋体" w:cs="宋体"/>
        </w:rPr>
      </w:pPr>
      <w:r>
        <w:rPr>
          <w:rFonts w:hint="eastAsia" w:ascii="宋体" w:hAnsi="宋体" w:cs="宋体"/>
        </w:rPr>
        <w:t xml:space="preserve">A.按销量支付的专利使用费      B.加班加点工资 </w:t>
      </w:r>
    </w:p>
    <w:p w14:paraId="730DFF30">
      <w:pPr>
        <w:jc w:val="left"/>
        <w:rPr>
          <w:rFonts w:ascii="宋体" w:hAnsi="宋体" w:cs="宋体"/>
        </w:rPr>
      </w:pPr>
      <w:r>
        <w:rPr>
          <w:rFonts w:hint="eastAsia" w:ascii="宋体" w:hAnsi="宋体" w:cs="宋体"/>
        </w:rPr>
        <w:t xml:space="preserve">C.产品销售佣金                D.产品耗用的主要零部件 </w:t>
      </w:r>
    </w:p>
    <w:p w14:paraId="1375C2E4">
      <w:pPr>
        <w:jc w:val="left"/>
        <w:rPr>
          <w:rFonts w:ascii="宋体" w:hAnsi="宋体" w:cs="宋体"/>
        </w:rPr>
      </w:pPr>
      <w:r>
        <w:rPr>
          <w:rFonts w:hint="eastAsia" w:ascii="宋体" w:hAnsi="宋体" w:cs="宋体"/>
        </w:rPr>
        <w:t xml:space="preserve">答案：D </w:t>
      </w:r>
    </w:p>
    <w:p w14:paraId="778E5436">
      <w:pPr>
        <w:jc w:val="left"/>
        <w:rPr>
          <w:rFonts w:ascii="宋体" w:hAnsi="宋体" w:cs="宋体"/>
        </w:rPr>
      </w:pPr>
      <w:r>
        <w:rPr>
          <w:rFonts w:hint="eastAsia" w:ascii="宋体" w:hAnsi="宋体" w:cs="宋体"/>
        </w:rPr>
        <w:t>解析：技术性变动成本也称约束性变动成本，是指由技术或设计关系所决定的变动成本。 如生产一台汽车需要耗 用一台引擎、一个底盘和若干轮胎等，这种成本只要生产就必然会发生，如果不生产，则不会生。</w:t>
      </w:r>
    </w:p>
    <w:p w14:paraId="07454E99">
      <w:pPr>
        <w:jc w:val="left"/>
        <w:rPr>
          <w:rFonts w:ascii="宋体" w:hAnsi="宋体" w:cs="宋体"/>
        </w:rPr>
      </w:pPr>
    </w:p>
    <w:p w14:paraId="59D423D0">
      <w:pPr>
        <w:jc w:val="left"/>
        <w:rPr>
          <w:rFonts w:ascii="宋体" w:hAnsi="宋体" w:cs="宋体"/>
        </w:rPr>
      </w:pPr>
      <w:r>
        <w:rPr>
          <w:rFonts w:hint="eastAsia" w:ascii="宋体" w:hAnsi="宋体" w:cs="宋体"/>
        </w:rPr>
        <w:t>【判断题】（2023年）在成本性态中，技术性变动成本的特点在于其单位变动成本发生额可由企业最高管理层决定。（  ）</w:t>
      </w:r>
    </w:p>
    <w:p w14:paraId="65A6D218">
      <w:pPr>
        <w:jc w:val="left"/>
        <w:rPr>
          <w:rFonts w:ascii="宋体" w:hAnsi="宋体" w:cs="宋体"/>
        </w:rPr>
      </w:pPr>
      <w:r>
        <w:rPr>
          <w:rFonts w:hint="eastAsia" w:ascii="宋体" w:hAnsi="宋体" w:cs="宋体"/>
        </w:rPr>
        <w:t>答案：×</w:t>
      </w:r>
    </w:p>
    <w:p w14:paraId="697CFC29">
      <w:pPr>
        <w:jc w:val="left"/>
        <w:rPr>
          <w:rFonts w:hint="eastAsia" w:ascii="宋体" w:hAnsi="宋体" w:cs="宋体"/>
        </w:rPr>
      </w:pPr>
      <w:r>
        <w:rPr>
          <w:rFonts w:hint="eastAsia" w:ascii="宋体" w:hAnsi="宋体" w:cs="宋体"/>
        </w:rPr>
        <w:t>解析：技术性变动成本是指由技术或设计关系所决定的变动成本。经理人员不能决定技术性变动成本的发生额。酌量性变动成本是指通过管理当局的决策行动可以改变的变动成本。</w:t>
      </w:r>
    </w:p>
    <w:p w14:paraId="48CF3368">
      <w:pPr>
        <w:overflowPunct w:val="0"/>
        <w:jc w:val="center"/>
        <w:rPr>
          <w:rFonts w:ascii="宋体" w:hAnsi="宋体" w:cs="宋体"/>
          <w:b/>
          <w:bCs/>
        </w:rPr>
      </w:pPr>
      <w:r>
        <w:rPr>
          <w:rFonts w:hint="eastAsia" w:ascii="宋体" w:hAnsi="宋体" w:cs="宋体"/>
          <w:b/>
          <w:bCs/>
        </w:rPr>
        <w:t>第三节  成本性态分析</w:t>
      </w:r>
    </w:p>
    <w:p w14:paraId="016B1422">
      <w:pPr>
        <w:jc w:val="left"/>
        <w:rPr>
          <w:rFonts w:ascii="宋体" w:hAnsi="宋体" w:cs="宋体"/>
          <w:color w:val="FF0000"/>
        </w:rPr>
      </w:pPr>
      <w:r>
        <w:rPr>
          <w:rFonts w:hint="eastAsia" w:ascii="宋体" w:hAnsi="宋体" w:cs="宋体"/>
          <w:color w:val="FF0000"/>
        </w:rPr>
        <w:t>【知识点3】混合成本</w:t>
      </w:r>
    </w:p>
    <w:p w14:paraId="718441F6">
      <w:pPr>
        <w:jc w:val="left"/>
        <w:rPr>
          <w:rFonts w:ascii="宋体" w:hAnsi="宋体" w:cs="宋体"/>
        </w:rPr>
      </w:pPr>
      <w:r>
        <w:rPr>
          <w:rFonts w:hint="eastAsia" w:ascii="宋体" w:hAnsi="宋体" w:cs="宋体"/>
        </w:rPr>
        <w:t>混合成本兼有固定与变动两种性质，可进一步将其细分为半变动成本、半固定成本、延期变动成本和曲线变动成本。</w:t>
      </w:r>
    </w:p>
    <w:p w14:paraId="7A2ADFEF">
      <w:pPr>
        <w:jc w:val="left"/>
        <w:rPr>
          <w:rFonts w:ascii="宋体" w:hAnsi="宋体" w:cs="宋体"/>
          <w:color w:val="FF0000"/>
        </w:rPr>
      </w:pPr>
      <w:r>
        <w:rPr>
          <w:rFonts w:hint="eastAsia" w:ascii="宋体" w:hAnsi="宋体" w:cs="宋体"/>
          <w:color w:val="FF0000"/>
        </w:rPr>
        <w:t>（一）混合成本分类</w:t>
      </w:r>
    </w:p>
    <w:p w14:paraId="3CDE122A">
      <w:pPr>
        <w:jc w:val="left"/>
        <w:rPr>
          <w:rFonts w:ascii="宋体" w:hAnsi="宋体" w:cs="宋体"/>
          <w:color w:val="FF0000"/>
        </w:rPr>
      </w:pPr>
      <w:r>
        <w:rPr>
          <w:rFonts w:hint="eastAsia" w:ascii="宋体" w:hAnsi="宋体" w:cs="宋体"/>
          <w:color w:val="FF0000"/>
        </w:rPr>
        <w:t>1.半变动成本</w:t>
      </w:r>
    </w:p>
    <w:p w14:paraId="5B3E91BA">
      <w:pPr>
        <w:jc w:val="left"/>
        <w:rPr>
          <w:rFonts w:hint="eastAsia" w:ascii="宋体" w:hAnsi="宋体" w:cs="宋体"/>
        </w:rPr>
      </w:pPr>
      <w:r>
        <w:rPr>
          <w:rFonts w:hint="eastAsia" w:ascii="宋体" w:hAnsi="宋体" w:cs="宋体"/>
        </w:rPr>
        <w:t>有一个初始固定基数，类似于固定成本；在此基础上的其余部分，则随着业务量的增加成正比例增加。</w:t>
      </w:r>
    </w:p>
    <w:p w14:paraId="7D339C98">
      <w:pPr>
        <w:overflowPunct w:val="0"/>
        <w:jc w:val="center"/>
        <w:rPr>
          <w:rFonts w:ascii="宋体" w:hAnsi="宋体" w:cs="宋体"/>
        </w:rPr>
      </w:pPr>
      <w:r>
        <w:rPr>
          <w:rFonts w:hint="eastAsia" w:ascii="宋体" w:hAnsi="宋体" w:cs="宋体"/>
        </w:rPr>
        <w:drawing>
          <wp:inline distT="0" distB="0" distL="114300" distR="114300">
            <wp:extent cx="2348230" cy="1668145"/>
            <wp:effectExtent l="0" t="0" r="13970" b="825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57"/>
                    <a:stretch>
                      <a:fillRect/>
                    </a:stretch>
                  </pic:blipFill>
                  <pic:spPr>
                    <a:xfrm>
                      <a:off x="0" y="0"/>
                      <a:ext cx="2362581" cy="1678358"/>
                    </a:xfrm>
                    <a:prstGeom prst="rect">
                      <a:avLst/>
                    </a:prstGeom>
                    <a:noFill/>
                    <a:ln>
                      <a:noFill/>
                    </a:ln>
                  </pic:spPr>
                </pic:pic>
              </a:graphicData>
            </a:graphic>
          </wp:inline>
        </w:drawing>
      </w:r>
    </w:p>
    <w:p w14:paraId="00E0FD1E">
      <w:pPr>
        <w:overflowPunct w:val="0"/>
        <w:jc w:val="center"/>
        <w:rPr>
          <w:rFonts w:ascii="宋体" w:hAnsi="宋体" w:cs="宋体"/>
        </w:rPr>
      </w:pPr>
      <w:r>
        <w:rPr>
          <w:rFonts w:hint="eastAsia" w:ascii="宋体" w:hAnsi="宋体" w:cs="宋体"/>
        </w:rPr>
        <w:t>固定电话费</w:t>
      </w:r>
    </w:p>
    <w:p w14:paraId="1FB320B4">
      <w:pPr>
        <w:jc w:val="left"/>
        <w:rPr>
          <w:rFonts w:ascii="宋体" w:hAnsi="宋体" w:cs="宋体"/>
          <w:color w:val="FF0000"/>
        </w:rPr>
      </w:pPr>
      <w:r>
        <w:rPr>
          <w:rFonts w:hint="eastAsia" w:ascii="宋体" w:hAnsi="宋体" w:cs="宋体"/>
          <w:color w:val="FF0000"/>
        </w:rPr>
        <w:t>2.半固定成本</w:t>
      </w:r>
    </w:p>
    <w:p w14:paraId="54607EDA">
      <w:pPr>
        <w:jc w:val="left"/>
        <w:rPr>
          <w:rFonts w:hint="eastAsia" w:ascii="宋体" w:hAnsi="宋体" w:cs="宋体"/>
        </w:rPr>
      </w:pPr>
      <w:r>
        <w:rPr>
          <w:rFonts w:hint="eastAsia" w:ascii="宋体" w:hAnsi="宋体" w:cs="宋体"/>
        </w:rPr>
        <w:t>在一定业务量范围内发生额固定，当业务量增长到一定限度，其发生额跳跃到一个新的水平，然后再业务量增长的一定限度内，发生额又保持不变，直到另一个新的跳跃。</w:t>
      </w:r>
    </w:p>
    <w:p w14:paraId="27A809F1">
      <w:pPr>
        <w:overflowPunct w:val="0"/>
        <w:jc w:val="center"/>
        <w:rPr>
          <w:rFonts w:ascii="宋体" w:hAnsi="宋体" w:cs="宋体"/>
        </w:rPr>
      </w:pPr>
      <w:r>
        <w:rPr>
          <w:rFonts w:hint="eastAsia" w:ascii="宋体" w:hAnsi="宋体" w:cs="宋体"/>
        </w:rPr>
        <w:drawing>
          <wp:inline distT="0" distB="0" distL="114300" distR="114300">
            <wp:extent cx="2286000" cy="1233170"/>
            <wp:effectExtent l="0" t="0" r="0" b="508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58"/>
                    <a:stretch>
                      <a:fillRect/>
                    </a:stretch>
                  </pic:blipFill>
                  <pic:spPr>
                    <a:xfrm>
                      <a:off x="0" y="0"/>
                      <a:ext cx="2327522" cy="1255987"/>
                    </a:xfrm>
                    <a:prstGeom prst="rect">
                      <a:avLst/>
                    </a:prstGeom>
                    <a:noFill/>
                    <a:ln>
                      <a:noFill/>
                    </a:ln>
                  </pic:spPr>
                </pic:pic>
              </a:graphicData>
            </a:graphic>
          </wp:inline>
        </w:drawing>
      </w:r>
    </w:p>
    <w:p w14:paraId="0BB5032D">
      <w:pPr>
        <w:overflowPunct w:val="0"/>
        <w:jc w:val="center"/>
        <w:rPr>
          <w:rFonts w:ascii="宋体" w:hAnsi="宋体" w:cs="宋体"/>
        </w:rPr>
      </w:pPr>
      <w:r>
        <w:rPr>
          <w:rFonts w:hint="eastAsia" w:ascii="宋体" w:hAnsi="宋体" w:cs="宋体"/>
        </w:rPr>
        <w:t>企业的管理员、运货员、检验员的工资等</w:t>
      </w:r>
    </w:p>
    <w:p w14:paraId="50EE20AE">
      <w:pPr>
        <w:jc w:val="left"/>
        <w:rPr>
          <w:rFonts w:ascii="宋体" w:hAnsi="宋体" w:cs="宋体"/>
          <w:color w:val="FF0000"/>
        </w:rPr>
      </w:pPr>
      <w:r>
        <w:rPr>
          <w:rFonts w:hint="eastAsia" w:ascii="宋体" w:hAnsi="宋体" w:cs="宋体"/>
          <w:color w:val="FF0000"/>
        </w:rPr>
        <w:t>3.延期变动成本</w:t>
      </w:r>
    </w:p>
    <w:p w14:paraId="3AA9C98C">
      <w:pPr>
        <w:jc w:val="left"/>
        <w:rPr>
          <w:rFonts w:hint="eastAsia" w:ascii="宋体" w:hAnsi="宋体" w:cs="宋体"/>
        </w:rPr>
      </w:pPr>
      <w:r>
        <w:rPr>
          <w:rFonts w:hint="eastAsia" w:ascii="宋体" w:hAnsi="宋体" w:cs="宋体"/>
        </w:rPr>
        <w:t>在一定的业务量范围内有一个固定不变的基数，当业务量增长超出此范围，则与业务量的增长成正比例变动。</w:t>
      </w:r>
    </w:p>
    <w:p w14:paraId="069E7957">
      <w:pPr>
        <w:overflowPunct w:val="0"/>
        <w:jc w:val="center"/>
        <w:rPr>
          <w:rFonts w:ascii="宋体" w:hAnsi="宋体" w:cs="宋体"/>
        </w:rPr>
      </w:pPr>
      <w:r>
        <w:rPr>
          <w:rFonts w:hint="eastAsia" w:ascii="宋体" w:hAnsi="宋体" w:cs="宋体"/>
        </w:rPr>
        <w:drawing>
          <wp:inline distT="0" distB="0" distL="114300" distR="114300">
            <wp:extent cx="2193290" cy="1507490"/>
            <wp:effectExtent l="0" t="0" r="16510" b="165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9"/>
                    <a:stretch>
                      <a:fillRect/>
                    </a:stretch>
                  </pic:blipFill>
                  <pic:spPr>
                    <a:xfrm>
                      <a:off x="0" y="0"/>
                      <a:ext cx="2253596" cy="1549242"/>
                    </a:xfrm>
                    <a:prstGeom prst="rect">
                      <a:avLst/>
                    </a:prstGeom>
                    <a:noFill/>
                    <a:ln>
                      <a:noFill/>
                    </a:ln>
                  </pic:spPr>
                </pic:pic>
              </a:graphicData>
            </a:graphic>
          </wp:inline>
        </w:drawing>
      </w:r>
    </w:p>
    <w:p w14:paraId="2311B6F3">
      <w:pPr>
        <w:overflowPunct w:val="0"/>
        <w:jc w:val="center"/>
        <w:rPr>
          <w:rFonts w:ascii="宋体" w:hAnsi="宋体" w:cs="宋体"/>
        </w:rPr>
      </w:pPr>
      <w:r>
        <w:rPr>
          <w:rFonts w:hint="eastAsia" w:ascii="宋体" w:hAnsi="宋体" w:cs="宋体"/>
        </w:rPr>
        <w:t>职工的基本工资，在正常工作时间情况下是不变的；如果工作时间超出正常标准，则需按加班时间的长短成比例地支付加班薪金；手机流量费</w:t>
      </w:r>
    </w:p>
    <w:p w14:paraId="4B649F27">
      <w:pPr>
        <w:jc w:val="left"/>
        <w:rPr>
          <w:rFonts w:ascii="宋体" w:hAnsi="宋体" w:cs="宋体"/>
          <w:color w:val="FF0000"/>
        </w:rPr>
      </w:pPr>
      <w:r>
        <w:rPr>
          <w:rFonts w:hint="eastAsia" w:ascii="宋体" w:hAnsi="宋体" w:cs="宋体"/>
          <w:color w:val="FF0000"/>
        </w:rPr>
        <w:t>4.曲线变动成本</w:t>
      </w:r>
    </w:p>
    <w:p w14:paraId="2EAB3B40">
      <w:pPr>
        <w:jc w:val="left"/>
        <w:rPr>
          <w:rFonts w:hint="eastAsia" w:ascii="宋体" w:hAnsi="宋体" w:cs="宋体"/>
        </w:rPr>
      </w:pPr>
      <w:r>
        <w:rPr>
          <w:rFonts w:hint="eastAsia" w:ascii="宋体" w:hAnsi="宋体" w:cs="宋体"/>
        </w:rPr>
        <w:t>有一个不变的初始量，相当于固定成本，在此初始量基础上，随业务量增加，成本逐步变化，但与业务量的关系是非线性的。</w:t>
      </w:r>
    </w:p>
    <w:p w14:paraId="7E052B4B">
      <w:pPr>
        <w:overflowPunct w:val="0"/>
        <w:jc w:val="center"/>
        <w:rPr>
          <w:rFonts w:ascii="宋体" w:hAnsi="宋体" w:cs="宋体"/>
        </w:rPr>
      </w:pPr>
      <w:r>
        <w:rPr>
          <w:rFonts w:hint="eastAsia" w:ascii="宋体" w:hAnsi="宋体" w:cs="宋体"/>
        </w:rPr>
        <w:drawing>
          <wp:inline distT="0" distB="0" distL="114300" distR="114300">
            <wp:extent cx="3368675" cy="1731645"/>
            <wp:effectExtent l="0" t="0" r="3175" b="190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60"/>
                    <a:stretch>
                      <a:fillRect/>
                    </a:stretch>
                  </pic:blipFill>
                  <pic:spPr>
                    <a:xfrm>
                      <a:off x="0" y="0"/>
                      <a:ext cx="3397160" cy="1746560"/>
                    </a:xfrm>
                    <a:prstGeom prst="rect">
                      <a:avLst/>
                    </a:prstGeom>
                    <a:noFill/>
                    <a:ln>
                      <a:noFill/>
                    </a:ln>
                  </pic:spPr>
                </pic:pic>
              </a:graphicData>
            </a:graphic>
          </wp:inline>
        </w:drawing>
      </w:r>
    </w:p>
    <w:p w14:paraId="3B1C26C6">
      <w:pPr>
        <w:overflowPunct w:val="0"/>
        <w:jc w:val="left"/>
        <w:rPr>
          <w:rFonts w:ascii="宋体" w:hAnsi="宋体" w:cs="宋体"/>
        </w:rPr>
      </w:pPr>
      <w:r>
        <w:rPr>
          <w:rFonts w:hint="eastAsia" w:ascii="宋体" w:hAnsi="宋体" w:cs="宋体"/>
        </w:rPr>
        <w:t>（1）递增曲线成本（累进计件工资、违约金）</w:t>
      </w:r>
      <w:r>
        <w:rPr>
          <w:rFonts w:hint="eastAsia" w:ascii="宋体" w:hAnsi="宋体" w:cs="宋体"/>
        </w:rPr>
        <w:br w:type="textWrapping"/>
      </w:r>
      <w:r>
        <w:rPr>
          <w:rFonts w:hint="eastAsia" w:ascii="宋体" w:hAnsi="宋体" w:cs="宋体"/>
        </w:rPr>
        <w:t>（2）递减曲线成本（有价格折扣或优惠条件下的水、电消费成本、“费用封顶”的通信服务费）</w:t>
      </w:r>
    </w:p>
    <w:p w14:paraId="6A34FD25">
      <w:pPr>
        <w:jc w:val="left"/>
        <w:rPr>
          <w:rFonts w:ascii="宋体" w:hAnsi="宋体" w:cs="宋体"/>
        </w:rPr>
      </w:pPr>
    </w:p>
    <w:p w14:paraId="61DD0DEC">
      <w:pPr>
        <w:jc w:val="left"/>
        <w:rPr>
          <w:rFonts w:ascii="宋体" w:hAnsi="宋体" w:cs="宋体"/>
        </w:rPr>
      </w:pPr>
      <w:r>
        <w:rPr>
          <w:rFonts w:hint="eastAsia" w:ascii="宋体" w:hAnsi="宋体" w:cs="宋体"/>
        </w:rPr>
        <w:t>【单选题】（2023年）某手机话费套餐为每月固定支付 30 元，可免费通话 300 分钟，超出 300 分钟的部分，每分钟支付 0.15 元通话费，根据成本性态，该手机话费属于（  ）。</w:t>
      </w:r>
    </w:p>
    <w:p w14:paraId="24C2E184">
      <w:pPr>
        <w:jc w:val="left"/>
        <w:rPr>
          <w:rFonts w:ascii="宋体" w:hAnsi="宋体" w:cs="宋体"/>
        </w:rPr>
      </w:pPr>
      <w:r>
        <w:rPr>
          <w:rFonts w:hint="eastAsia" w:ascii="宋体" w:hAnsi="宋体" w:cs="宋体"/>
        </w:rPr>
        <w:t>A.延期变动成本</w:t>
      </w:r>
    </w:p>
    <w:p w14:paraId="1F11C2F0">
      <w:pPr>
        <w:jc w:val="left"/>
        <w:rPr>
          <w:rFonts w:ascii="宋体" w:hAnsi="宋体" w:cs="宋体"/>
        </w:rPr>
      </w:pPr>
      <w:r>
        <w:rPr>
          <w:rFonts w:hint="eastAsia" w:ascii="宋体" w:hAnsi="宋体" w:cs="宋体"/>
        </w:rPr>
        <w:t>B.半固定成本</w:t>
      </w:r>
    </w:p>
    <w:p w14:paraId="71497F04">
      <w:pPr>
        <w:jc w:val="left"/>
        <w:rPr>
          <w:rFonts w:ascii="宋体" w:hAnsi="宋体" w:cs="宋体"/>
        </w:rPr>
      </w:pPr>
      <w:r>
        <w:rPr>
          <w:rFonts w:hint="eastAsia" w:ascii="宋体" w:hAnsi="宋体" w:cs="宋体"/>
        </w:rPr>
        <w:t>C.半变动成本</w:t>
      </w:r>
    </w:p>
    <w:p w14:paraId="7593CCDF">
      <w:pPr>
        <w:jc w:val="left"/>
        <w:rPr>
          <w:rFonts w:ascii="宋体" w:hAnsi="宋体" w:cs="宋体"/>
        </w:rPr>
      </w:pPr>
      <w:r>
        <w:rPr>
          <w:rFonts w:hint="eastAsia" w:ascii="宋体" w:hAnsi="宋体" w:cs="宋体"/>
        </w:rPr>
        <w:t>D.曲线变动成本</w:t>
      </w:r>
    </w:p>
    <w:p w14:paraId="13206C77">
      <w:pPr>
        <w:jc w:val="left"/>
        <w:rPr>
          <w:rFonts w:ascii="宋体" w:hAnsi="宋体" w:cs="宋体"/>
        </w:rPr>
      </w:pPr>
      <w:r>
        <w:rPr>
          <w:rFonts w:hint="eastAsia" w:ascii="宋体" w:hAnsi="宋体" w:cs="宋体"/>
        </w:rPr>
        <w:t>答案：A</w:t>
      </w:r>
    </w:p>
    <w:p w14:paraId="7FC59788">
      <w:pPr>
        <w:jc w:val="left"/>
        <w:rPr>
          <w:rFonts w:ascii="宋体" w:hAnsi="宋体" w:cs="宋体"/>
        </w:rPr>
      </w:pPr>
      <w:r>
        <w:rPr>
          <w:rFonts w:hint="eastAsia" w:ascii="宋体" w:hAnsi="宋体" w:cs="宋体"/>
        </w:rPr>
        <w:t>解析：延期变动成本在一定的业务量范围内有一个固定不变的基数，当业务量增长超出了这个范围，与业务量的增长呈正比例变动。本题中在通话 300 分钟内每月固定支付 30元，超过 300 分钟后，花费随通话时长的增长呈正比例变动，因此该手机话费属于延期变动成本。</w:t>
      </w:r>
    </w:p>
    <w:p w14:paraId="26DA50B7">
      <w:pPr>
        <w:jc w:val="left"/>
        <w:rPr>
          <w:rFonts w:ascii="宋体" w:hAnsi="宋体" w:cs="宋体"/>
        </w:rPr>
      </w:pPr>
    </w:p>
    <w:p w14:paraId="4E11F3D6">
      <w:pPr>
        <w:jc w:val="left"/>
        <w:rPr>
          <w:rFonts w:ascii="宋体" w:hAnsi="宋体" w:cs="宋体"/>
          <w:color w:val="FF0000"/>
        </w:rPr>
      </w:pPr>
      <w:r>
        <w:rPr>
          <w:rFonts w:hint="eastAsia" w:ascii="宋体" w:hAnsi="宋体" w:cs="宋体"/>
          <w:color w:val="FF0000"/>
        </w:rPr>
        <w:t>（二）混合成本的分解</w:t>
      </w:r>
    </w:p>
    <w:p w14:paraId="284DED2A">
      <w:pPr>
        <w:jc w:val="left"/>
        <w:rPr>
          <w:rFonts w:ascii="宋体" w:hAnsi="宋体" w:cs="宋体"/>
        </w:rPr>
      </w:pPr>
      <w:r>
        <w:rPr>
          <w:rFonts w:hint="eastAsia" w:ascii="宋体" w:hAnsi="宋体" w:cs="宋体"/>
        </w:rPr>
        <w:t>混合成本的分解主要有高低点法、回归分析法、工业工程法、账户分析法、和合同确认法等。</w:t>
      </w:r>
    </w:p>
    <w:p w14:paraId="00BF4B40">
      <w:pPr>
        <w:jc w:val="left"/>
        <w:rPr>
          <w:rFonts w:ascii="宋体" w:hAnsi="宋体" w:cs="宋体"/>
          <w:color w:val="FF0000"/>
        </w:rPr>
      </w:pPr>
      <w:r>
        <w:rPr>
          <w:rFonts w:hint="eastAsia" w:ascii="宋体" w:hAnsi="宋体" w:cs="宋体"/>
          <w:color w:val="FF0000"/>
        </w:rPr>
        <w:t>1.高低点法</w:t>
      </w:r>
    </w:p>
    <w:p w14:paraId="70C6D319">
      <w:pPr>
        <w:jc w:val="left"/>
        <w:rPr>
          <w:rFonts w:hint="eastAsia" w:ascii="宋体" w:hAnsi="宋体" w:cs="宋体"/>
        </w:rPr>
      </w:pPr>
      <w:r>
        <w:rPr>
          <w:rFonts w:hint="eastAsia" w:ascii="宋体" w:hAnsi="宋体" w:cs="宋体"/>
        </w:rPr>
        <w:t>高低点法是以过去某一会计期间的总成本和业务量资料为依据，从中选取</w:t>
      </w:r>
      <w:r>
        <w:rPr>
          <w:rFonts w:hint="eastAsia" w:ascii="宋体" w:hAnsi="宋体" w:cs="宋体"/>
          <w:color w:val="FF0000"/>
        </w:rPr>
        <w:t>业务量最高点和业务量最低点，</w:t>
      </w:r>
      <w:r>
        <w:rPr>
          <w:rFonts w:hint="eastAsia" w:ascii="宋体" w:hAnsi="宋体" w:cs="宋体"/>
        </w:rPr>
        <w:t>将总成本进行分解，得出成本性态的模型。</w:t>
      </w:r>
    </w:p>
    <w:p w14:paraId="49513440">
      <w:pPr>
        <w:jc w:val="left"/>
        <w:rPr>
          <w:rFonts w:ascii="宋体" w:hAnsi="宋体" w:cs="宋体"/>
        </w:rPr>
      </w:pPr>
      <w:r>
        <w:rPr>
          <w:rFonts w:hint="eastAsia" w:ascii="宋体" w:hAnsi="宋体" w:cs="宋体"/>
        </w:rPr>
        <w:drawing>
          <wp:inline distT="0" distB="0" distL="114300" distR="114300">
            <wp:extent cx="3232150" cy="429895"/>
            <wp:effectExtent l="0" t="0" r="6350" b="825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61"/>
                    <a:stretch>
                      <a:fillRect/>
                    </a:stretch>
                  </pic:blipFill>
                  <pic:spPr>
                    <a:xfrm>
                      <a:off x="0" y="0"/>
                      <a:ext cx="3423292" cy="455882"/>
                    </a:xfrm>
                    <a:prstGeom prst="rect">
                      <a:avLst/>
                    </a:prstGeom>
                    <a:noFill/>
                    <a:ln>
                      <a:noFill/>
                    </a:ln>
                  </pic:spPr>
                </pic:pic>
              </a:graphicData>
            </a:graphic>
          </wp:inline>
        </w:drawing>
      </w:r>
    </w:p>
    <w:p w14:paraId="2D61477D">
      <w:pPr>
        <w:jc w:val="left"/>
        <w:rPr>
          <w:rFonts w:ascii="宋体" w:hAnsi="宋体" w:cs="宋体"/>
        </w:rPr>
      </w:pPr>
    </w:p>
    <w:p w14:paraId="0730EFCA">
      <w:pPr>
        <w:jc w:val="left"/>
        <w:rPr>
          <w:rFonts w:ascii="宋体" w:hAnsi="宋体" w:cs="宋体"/>
        </w:rPr>
      </w:pPr>
      <w:r>
        <w:rPr>
          <w:rFonts w:hint="eastAsia" w:ascii="宋体" w:hAnsi="宋体" w:cs="宋体"/>
        </w:rPr>
        <w:t>【例2-24】假设A公司的业务量以直接人工小时为单位，20×7年12个月份的业务量在5.0万～7.5万小时之间变化，维修成本与业务量之间的关系如表2-5所示。</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725"/>
        <w:gridCol w:w="729"/>
        <w:gridCol w:w="729"/>
        <w:gridCol w:w="732"/>
        <w:gridCol w:w="728"/>
        <w:gridCol w:w="726"/>
        <w:gridCol w:w="726"/>
        <w:gridCol w:w="724"/>
        <w:gridCol w:w="726"/>
        <w:gridCol w:w="726"/>
        <w:gridCol w:w="590"/>
        <w:gridCol w:w="539"/>
      </w:tblGrid>
      <w:tr w14:paraId="6741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6" w:type="pct"/>
          </w:tcPr>
          <w:p w14:paraId="16D75B9A">
            <w:pPr>
              <w:jc w:val="left"/>
              <w:rPr>
                <w:rFonts w:ascii="宋体" w:hAnsi="宋体" w:cs="宋体"/>
              </w:rPr>
            </w:pPr>
            <w:r>
              <w:rPr>
                <w:rFonts w:hint="eastAsia" w:ascii="宋体" w:hAnsi="宋体" w:cs="宋体"/>
              </w:rPr>
              <w:t>月份</w:t>
            </w:r>
          </w:p>
        </w:tc>
        <w:tc>
          <w:tcPr>
            <w:tcW w:w="358" w:type="pct"/>
          </w:tcPr>
          <w:p w14:paraId="53391F31">
            <w:pPr>
              <w:jc w:val="left"/>
              <w:rPr>
                <w:rFonts w:ascii="宋体" w:hAnsi="宋体" w:cs="宋体"/>
              </w:rPr>
            </w:pPr>
            <w:r>
              <w:rPr>
                <w:rFonts w:hint="eastAsia" w:ascii="宋体" w:hAnsi="宋体" w:cs="宋体"/>
              </w:rPr>
              <w:t>1</w:t>
            </w:r>
          </w:p>
        </w:tc>
        <w:tc>
          <w:tcPr>
            <w:tcW w:w="360" w:type="pct"/>
          </w:tcPr>
          <w:p w14:paraId="136CBAC0">
            <w:pPr>
              <w:jc w:val="left"/>
              <w:rPr>
                <w:rFonts w:ascii="宋体" w:hAnsi="宋体" w:cs="宋体"/>
              </w:rPr>
            </w:pPr>
            <w:r>
              <w:rPr>
                <w:rFonts w:hint="eastAsia" w:ascii="宋体" w:hAnsi="宋体" w:cs="宋体"/>
              </w:rPr>
              <w:t>2</w:t>
            </w:r>
          </w:p>
        </w:tc>
        <w:tc>
          <w:tcPr>
            <w:tcW w:w="360" w:type="pct"/>
          </w:tcPr>
          <w:p w14:paraId="065C1CE4">
            <w:pPr>
              <w:jc w:val="left"/>
              <w:rPr>
                <w:rFonts w:ascii="宋体" w:hAnsi="宋体" w:cs="宋体"/>
              </w:rPr>
            </w:pPr>
            <w:r>
              <w:rPr>
                <w:rFonts w:hint="eastAsia" w:ascii="宋体" w:hAnsi="宋体" w:cs="宋体"/>
              </w:rPr>
              <w:t>3</w:t>
            </w:r>
          </w:p>
        </w:tc>
        <w:tc>
          <w:tcPr>
            <w:tcW w:w="361" w:type="pct"/>
          </w:tcPr>
          <w:p w14:paraId="34D0AD47">
            <w:pPr>
              <w:jc w:val="left"/>
              <w:rPr>
                <w:rFonts w:ascii="宋体" w:hAnsi="宋体" w:cs="宋体"/>
              </w:rPr>
            </w:pPr>
            <w:r>
              <w:rPr>
                <w:rFonts w:hint="eastAsia" w:ascii="宋体" w:hAnsi="宋体" w:cs="宋体"/>
              </w:rPr>
              <w:t>4</w:t>
            </w:r>
          </w:p>
        </w:tc>
        <w:tc>
          <w:tcPr>
            <w:tcW w:w="359" w:type="pct"/>
          </w:tcPr>
          <w:p w14:paraId="367726DF">
            <w:pPr>
              <w:jc w:val="left"/>
              <w:rPr>
                <w:rFonts w:ascii="宋体" w:hAnsi="宋体" w:cs="宋体"/>
              </w:rPr>
            </w:pPr>
            <w:r>
              <w:rPr>
                <w:rFonts w:hint="eastAsia" w:ascii="宋体" w:hAnsi="宋体" w:cs="宋体"/>
              </w:rPr>
              <w:t>5</w:t>
            </w:r>
          </w:p>
        </w:tc>
        <w:tc>
          <w:tcPr>
            <w:tcW w:w="358" w:type="pct"/>
          </w:tcPr>
          <w:p w14:paraId="10D3B567">
            <w:pPr>
              <w:jc w:val="left"/>
              <w:rPr>
                <w:rFonts w:ascii="宋体" w:hAnsi="宋体" w:cs="宋体"/>
              </w:rPr>
            </w:pPr>
            <w:r>
              <w:rPr>
                <w:rFonts w:hint="eastAsia" w:ascii="宋体" w:hAnsi="宋体" w:cs="宋体"/>
              </w:rPr>
              <w:t>6</w:t>
            </w:r>
          </w:p>
        </w:tc>
        <w:tc>
          <w:tcPr>
            <w:tcW w:w="358" w:type="pct"/>
          </w:tcPr>
          <w:p w14:paraId="7FF379DA">
            <w:pPr>
              <w:jc w:val="left"/>
              <w:rPr>
                <w:rFonts w:ascii="宋体" w:hAnsi="宋体" w:cs="宋体"/>
              </w:rPr>
            </w:pPr>
            <w:r>
              <w:rPr>
                <w:rFonts w:hint="eastAsia" w:ascii="宋体" w:hAnsi="宋体" w:cs="宋体"/>
              </w:rPr>
              <w:t>7</w:t>
            </w:r>
          </w:p>
        </w:tc>
        <w:tc>
          <w:tcPr>
            <w:tcW w:w="357" w:type="pct"/>
          </w:tcPr>
          <w:p w14:paraId="0B0F8A86">
            <w:pPr>
              <w:jc w:val="left"/>
              <w:rPr>
                <w:rFonts w:ascii="宋体" w:hAnsi="宋体" w:cs="宋体"/>
              </w:rPr>
            </w:pPr>
            <w:r>
              <w:rPr>
                <w:rFonts w:hint="eastAsia" w:ascii="宋体" w:hAnsi="宋体" w:cs="宋体"/>
              </w:rPr>
              <w:t>8</w:t>
            </w:r>
          </w:p>
        </w:tc>
        <w:tc>
          <w:tcPr>
            <w:tcW w:w="358" w:type="pct"/>
          </w:tcPr>
          <w:p w14:paraId="5F8A5278">
            <w:pPr>
              <w:jc w:val="left"/>
              <w:rPr>
                <w:rFonts w:ascii="宋体" w:hAnsi="宋体" w:cs="宋体"/>
              </w:rPr>
            </w:pPr>
            <w:r>
              <w:rPr>
                <w:rFonts w:hint="eastAsia" w:ascii="宋体" w:hAnsi="宋体" w:cs="宋体"/>
              </w:rPr>
              <w:t>9</w:t>
            </w:r>
          </w:p>
        </w:tc>
        <w:tc>
          <w:tcPr>
            <w:tcW w:w="358" w:type="pct"/>
          </w:tcPr>
          <w:p w14:paraId="62B2A250">
            <w:pPr>
              <w:jc w:val="left"/>
              <w:rPr>
                <w:rFonts w:ascii="宋体" w:hAnsi="宋体" w:cs="宋体"/>
              </w:rPr>
            </w:pPr>
            <w:r>
              <w:rPr>
                <w:rFonts w:hint="eastAsia" w:ascii="宋体" w:hAnsi="宋体" w:cs="宋体"/>
              </w:rPr>
              <w:t>10</w:t>
            </w:r>
          </w:p>
        </w:tc>
        <w:tc>
          <w:tcPr>
            <w:tcW w:w="291" w:type="pct"/>
          </w:tcPr>
          <w:p w14:paraId="0D641AE2">
            <w:pPr>
              <w:jc w:val="left"/>
              <w:rPr>
                <w:rFonts w:ascii="宋体" w:hAnsi="宋体" w:cs="宋体"/>
              </w:rPr>
            </w:pPr>
            <w:r>
              <w:rPr>
                <w:rFonts w:hint="eastAsia" w:ascii="宋体" w:hAnsi="宋体" w:cs="宋体"/>
              </w:rPr>
              <w:t>11</w:t>
            </w:r>
          </w:p>
        </w:tc>
        <w:tc>
          <w:tcPr>
            <w:tcW w:w="268" w:type="pct"/>
          </w:tcPr>
          <w:p w14:paraId="22E06617">
            <w:pPr>
              <w:jc w:val="left"/>
              <w:rPr>
                <w:rFonts w:ascii="宋体" w:hAnsi="宋体" w:cs="宋体"/>
              </w:rPr>
            </w:pPr>
            <w:r>
              <w:rPr>
                <w:rFonts w:hint="eastAsia" w:ascii="宋体" w:hAnsi="宋体" w:cs="宋体"/>
              </w:rPr>
              <w:t>12</w:t>
            </w:r>
          </w:p>
        </w:tc>
      </w:tr>
      <w:tr w14:paraId="1C2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6948125D">
            <w:pPr>
              <w:jc w:val="left"/>
              <w:rPr>
                <w:rFonts w:ascii="宋体" w:hAnsi="宋体" w:cs="宋体"/>
              </w:rPr>
            </w:pPr>
            <w:r>
              <w:rPr>
                <w:rFonts w:hint="eastAsia" w:ascii="宋体" w:hAnsi="宋体" w:cs="宋体"/>
              </w:rPr>
              <w:t>业务量（万小时）</w:t>
            </w:r>
          </w:p>
        </w:tc>
        <w:tc>
          <w:tcPr>
            <w:tcW w:w="358" w:type="pct"/>
          </w:tcPr>
          <w:p w14:paraId="510BC559">
            <w:pPr>
              <w:jc w:val="left"/>
              <w:rPr>
                <w:rFonts w:ascii="宋体" w:hAnsi="宋体" w:cs="宋体"/>
              </w:rPr>
            </w:pPr>
            <w:r>
              <w:rPr>
                <w:rFonts w:hint="eastAsia" w:ascii="宋体" w:hAnsi="宋体" w:cs="宋体"/>
              </w:rPr>
              <w:t>5.1</w:t>
            </w:r>
          </w:p>
        </w:tc>
        <w:tc>
          <w:tcPr>
            <w:tcW w:w="360" w:type="pct"/>
          </w:tcPr>
          <w:p w14:paraId="0E2D45C3">
            <w:pPr>
              <w:jc w:val="left"/>
              <w:rPr>
                <w:rFonts w:ascii="宋体" w:hAnsi="宋体" w:cs="宋体"/>
              </w:rPr>
            </w:pPr>
            <w:r>
              <w:rPr>
                <w:rFonts w:hint="eastAsia" w:ascii="宋体" w:hAnsi="宋体" w:cs="宋体"/>
              </w:rPr>
              <w:t>5.5</w:t>
            </w:r>
          </w:p>
        </w:tc>
        <w:tc>
          <w:tcPr>
            <w:tcW w:w="360" w:type="pct"/>
          </w:tcPr>
          <w:p w14:paraId="153A1B41">
            <w:pPr>
              <w:jc w:val="left"/>
              <w:rPr>
                <w:rFonts w:ascii="宋体" w:hAnsi="宋体" w:cs="宋体"/>
              </w:rPr>
            </w:pPr>
            <w:r>
              <w:rPr>
                <w:rFonts w:hint="eastAsia" w:ascii="宋体" w:hAnsi="宋体" w:cs="宋体"/>
              </w:rPr>
              <w:t>5.6</w:t>
            </w:r>
          </w:p>
        </w:tc>
        <w:tc>
          <w:tcPr>
            <w:tcW w:w="361" w:type="pct"/>
          </w:tcPr>
          <w:p w14:paraId="229D8E37">
            <w:pPr>
              <w:jc w:val="left"/>
              <w:rPr>
                <w:rFonts w:ascii="宋体" w:hAnsi="宋体" w:cs="宋体"/>
              </w:rPr>
            </w:pPr>
            <w:r>
              <w:rPr>
                <w:rFonts w:hint="eastAsia" w:ascii="宋体" w:hAnsi="宋体" w:cs="宋体"/>
              </w:rPr>
              <w:t>6.0</w:t>
            </w:r>
          </w:p>
        </w:tc>
        <w:tc>
          <w:tcPr>
            <w:tcW w:w="359" w:type="pct"/>
          </w:tcPr>
          <w:p w14:paraId="0B4C19AC">
            <w:pPr>
              <w:jc w:val="left"/>
              <w:rPr>
                <w:rFonts w:ascii="宋体" w:hAnsi="宋体" w:cs="宋体"/>
              </w:rPr>
            </w:pPr>
            <w:r>
              <w:rPr>
                <w:rFonts w:hint="eastAsia" w:ascii="宋体" w:hAnsi="宋体" w:cs="宋体"/>
              </w:rPr>
              <w:t>6.1</w:t>
            </w:r>
          </w:p>
        </w:tc>
        <w:tc>
          <w:tcPr>
            <w:tcW w:w="358" w:type="pct"/>
          </w:tcPr>
          <w:p w14:paraId="6B9AC896">
            <w:pPr>
              <w:jc w:val="left"/>
              <w:rPr>
                <w:rFonts w:ascii="宋体" w:hAnsi="宋体" w:cs="宋体"/>
              </w:rPr>
            </w:pPr>
            <w:r>
              <w:rPr>
                <w:rFonts w:hint="eastAsia" w:ascii="宋体" w:hAnsi="宋体" w:cs="宋体"/>
              </w:rPr>
              <w:t>7.5</w:t>
            </w:r>
          </w:p>
        </w:tc>
        <w:tc>
          <w:tcPr>
            <w:tcW w:w="358" w:type="pct"/>
          </w:tcPr>
          <w:p w14:paraId="34754991">
            <w:pPr>
              <w:jc w:val="left"/>
              <w:rPr>
                <w:rFonts w:ascii="宋体" w:hAnsi="宋体" w:cs="宋体"/>
              </w:rPr>
            </w:pPr>
            <w:r>
              <w:rPr>
                <w:rFonts w:hint="eastAsia" w:ascii="宋体" w:hAnsi="宋体" w:cs="宋体"/>
              </w:rPr>
              <w:t>7.4</w:t>
            </w:r>
          </w:p>
        </w:tc>
        <w:tc>
          <w:tcPr>
            <w:tcW w:w="357" w:type="pct"/>
          </w:tcPr>
          <w:p w14:paraId="3932A8B1">
            <w:pPr>
              <w:jc w:val="left"/>
              <w:rPr>
                <w:rFonts w:ascii="宋体" w:hAnsi="宋体" w:cs="宋体"/>
              </w:rPr>
            </w:pPr>
            <w:r>
              <w:rPr>
                <w:rFonts w:hint="eastAsia" w:ascii="宋体" w:hAnsi="宋体" w:cs="宋体"/>
              </w:rPr>
              <w:t>7.2</w:t>
            </w:r>
          </w:p>
        </w:tc>
        <w:tc>
          <w:tcPr>
            <w:tcW w:w="358" w:type="pct"/>
          </w:tcPr>
          <w:p w14:paraId="103BEEBF">
            <w:pPr>
              <w:jc w:val="left"/>
              <w:rPr>
                <w:rFonts w:ascii="宋体" w:hAnsi="宋体" w:cs="宋体"/>
              </w:rPr>
            </w:pPr>
            <w:r>
              <w:rPr>
                <w:rFonts w:hint="eastAsia" w:ascii="宋体" w:hAnsi="宋体" w:cs="宋体"/>
              </w:rPr>
              <w:t>7.0</w:t>
            </w:r>
          </w:p>
        </w:tc>
        <w:tc>
          <w:tcPr>
            <w:tcW w:w="358" w:type="pct"/>
          </w:tcPr>
          <w:p w14:paraId="493CF99E">
            <w:pPr>
              <w:jc w:val="left"/>
              <w:rPr>
                <w:rFonts w:ascii="宋体" w:hAnsi="宋体" w:cs="宋体"/>
              </w:rPr>
            </w:pPr>
            <w:r>
              <w:rPr>
                <w:rFonts w:hint="eastAsia" w:ascii="宋体" w:hAnsi="宋体" w:cs="宋体"/>
              </w:rPr>
              <w:t>6.8</w:t>
            </w:r>
          </w:p>
        </w:tc>
        <w:tc>
          <w:tcPr>
            <w:tcW w:w="291" w:type="pct"/>
          </w:tcPr>
          <w:p w14:paraId="3DA22F97">
            <w:pPr>
              <w:jc w:val="left"/>
              <w:rPr>
                <w:rFonts w:ascii="宋体" w:hAnsi="宋体" w:cs="宋体"/>
              </w:rPr>
            </w:pPr>
            <w:r>
              <w:rPr>
                <w:rFonts w:hint="eastAsia" w:ascii="宋体" w:hAnsi="宋体" w:cs="宋体"/>
              </w:rPr>
              <w:t>6.5</w:t>
            </w:r>
          </w:p>
        </w:tc>
        <w:tc>
          <w:tcPr>
            <w:tcW w:w="268" w:type="pct"/>
          </w:tcPr>
          <w:p w14:paraId="4BBD6CD7">
            <w:pPr>
              <w:jc w:val="left"/>
              <w:rPr>
                <w:rFonts w:ascii="宋体" w:hAnsi="宋体" w:cs="宋体"/>
              </w:rPr>
            </w:pPr>
            <w:r>
              <w:rPr>
                <w:rFonts w:hint="eastAsia" w:ascii="宋体" w:hAnsi="宋体" w:cs="宋体"/>
              </w:rPr>
              <w:t>5.0</w:t>
            </w:r>
          </w:p>
        </w:tc>
      </w:tr>
      <w:tr w14:paraId="363B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309A729D">
            <w:pPr>
              <w:jc w:val="left"/>
              <w:rPr>
                <w:rFonts w:ascii="宋体" w:hAnsi="宋体" w:cs="宋体"/>
              </w:rPr>
            </w:pPr>
            <w:r>
              <w:rPr>
                <w:rFonts w:hint="eastAsia" w:ascii="宋体" w:hAnsi="宋体" w:cs="宋体"/>
              </w:rPr>
              <w:t>维修成本（万元）</w:t>
            </w:r>
          </w:p>
        </w:tc>
        <w:tc>
          <w:tcPr>
            <w:tcW w:w="358" w:type="pct"/>
          </w:tcPr>
          <w:p w14:paraId="0904C1D6">
            <w:pPr>
              <w:jc w:val="left"/>
              <w:rPr>
                <w:rFonts w:ascii="宋体" w:hAnsi="宋体" w:cs="宋体"/>
              </w:rPr>
            </w:pPr>
            <w:r>
              <w:rPr>
                <w:rFonts w:hint="eastAsia" w:ascii="宋体" w:hAnsi="宋体" w:cs="宋体"/>
              </w:rPr>
              <w:t>100</w:t>
            </w:r>
          </w:p>
        </w:tc>
        <w:tc>
          <w:tcPr>
            <w:tcW w:w="360" w:type="pct"/>
          </w:tcPr>
          <w:p w14:paraId="65D8C8DA">
            <w:pPr>
              <w:jc w:val="left"/>
              <w:rPr>
                <w:rFonts w:ascii="宋体" w:hAnsi="宋体" w:cs="宋体"/>
              </w:rPr>
            </w:pPr>
            <w:r>
              <w:rPr>
                <w:rFonts w:hint="eastAsia" w:ascii="宋体" w:hAnsi="宋体" w:cs="宋体"/>
              </w:rPr>
              <w:t>104</w:t>
            </w:r>
          </w:p>
        </w:tc>
        <w:tc>
          <w:tcPr>
            <w:tcW w:w="360" w:type="pct"/>
          </w:tcPr>
          <w:p w14:paraId="09CEE30A">
            <w:pPr>
              <w:jc w:val="left"/>
              <w:rPr>
                <w:rFonts w:ascii="宋体" w:hAnsi="宋体" w:cs="宋体"/>
              </w:rPr>
            </w:pPr>
            <w:r>
              <w:rPr>
                <w:rFonts w:hint="eastAsia" w:ascii="宋体" w:hAnsi="宋体" w:cs="宋体"/>
              </w:rPr>
              <w:t>105</w:t>
            </w:r>
          </w:p>
        </w:tc>
        <w:tc>
          <w:tcPr>
            <w:tcW w:w="361" w:type="pct"/>
          </w:tcPr>
          <w:p w14:paraId="3A15DE7F">
            <w:pPr>
              <w:jc w:val="left"/>
              <w:rPr>
                <w:rFonts w:ascii="宋体" w:hAnsi="宋体" w:cs="宋体"/>
              </w:rPr>
            </w:pPr>
            <w:r>
              <w:rPr>
                <w:rFonts w:hint="eastAsia" w:ascii="宋体" w:hAnsi="宋体" w:cs="宋体"/>
              </w:rPr>
              <w:t>108</w:t>
            </w:r>
          </w:p>
        </w:tc>
        <w:tc>
          <w:tcPr>
            <w:tcW w:w="359" w:type="pct"/>
          </w:tcPr>
          <w:p w14:paraId="3FA89162">
            <w:pPr>
              <w:jc w:val="left"/>
              <w:rPr>
                <w:rFonts w:ascii="宋体" w:hAnsi="宋体" w:cs="宋体"/>
              </w:rPr>
            </w:pPr>
            <w:r>
              <w:rPr>
                <w:rFonts w:hint="eastAsia" w:ascii="宋体" w:hAnsi="宋体" w:cs="宋体"/>
              </w:rPr>
              <w:t>109</w:t>
            </w:r>
          </w:p>
        </w:tc>
        <w:tc>
          <w:tcPr>
            <w:tcW w:w="358" w:type="pct"/>
          </w:tcPr>
          <w:p w14:paraId="1EEA2F68">
            <w:pPr>
              <w:jc w:val="left"/>
              <w:rPr>
                <w:rFonts w:ascii="宋体" w:hAnsi="宋体" w:cs="宋体"/>
              </w:rPr>
            </w:pPr>
            <w:r>
              <w:rPr>
                <w:rFonts w:hint="eastAsia" w:ascii="宋体" w:hAnsi="宋体" w:cs="宋体"/>
              </w:rPr>
              <w:t>120</w:t>
            </w:r>
          </w:p>
        </w:tc>
        <w:tc>
          <w:tcPr>
            <w:tcW w:w="358" w:type="pct"/>
          </w:tcPr>
          <w:p w14:paraId="1B2F5F84">
            <w:pPr>
              <w:jc w:val="left"/>
              <w:rPr>
                <w:rFonts w:ascii="宋体" w:hAnsi="宋体" w:cs="宋体"/>
              </w:rPr>
            </w:pPr>
            <w:r>
              <w:rPr>
                <w:rFonts w:hint="eastAsia" w:ascii="宋体" w:hAnsi="宋体" w:cs="宋体"/>
              </w:rPr>
              <w:t>121</w:t>
            </w:r>
          </w:p>
        </w:tc>
        <w:tc>
          <w:tcPr>
            <w:tcW w:w="357" w:type="pct"/>
          </w:tcPr>
          <w:p w14:paraId="1E630B0B">
            <w:pPr>
              <w:jc w:val="left"/>
              <w:rPr>
                <w:rFonts w:ascii="宋体" w:hAnsi="宋体" w:cs="宋体"/>
              </w:rPr>
            </w:pPr>
            <w:r>
              <w:rPr>
                <w:rFonts w:hint="eastAsia" w:ascii="宋体" w:hAnsi="宋体" w:cs="宋体"/>
              </w:rPr>
              <w:t>118</w:t>
            </w:r>
          </w:p>
        </w:tc>
        <w:tc>
          <w:tcPr>
            <w:tcW w:w="358" w:type="pct"/>
          </w:tcPr>
          <w:p w14:paraId="46108163">
            <w:pPr>
              <w:jc w:val="left"/>
              <w:rPr>
                <w:rFonts w:ascii="宋体" w:hAnsi="宋体" w:cs="宋体"/>
              </w:rPr>
            </w:pPr>
            <w:r>
              <w:rPr>
                <w:rFonts w:hint="eastAsia" w:ascii="宋体" w:hAnsi="宋体" w:cs="宋体"/>
              </w:rPr>
              <w:t>115</w:t>
            </w:r>
          </w:p>
        </w:tc>
        <w:tc>
          <w:tcPr>
            <w:tcW w:w="358" w:type="pct"/>
          </w:tcPr>
          <w:p w14:paraId="04A76A12">
            <w:pPr>
              <w:jc w:val="left"/>
              <w:rPr>
                <w:rFonts w:ascii="宋体" w:hAnsi="宋体" w:cs="宋体"/>
              </w:rPr>
            </w:pPr>
            <w:r>
              <w:rPr>
                <w:rFonts w:hint="eastAsia" w:ascii="宋体" w:hAnsi="宋体" w:cs="宋体"/>
              </w:rPr>
              <w:t>112</w:t>
            </w:r>
          </w:p>
        </w:tc>
        <w:tc>
          <w:tcPr>
            <w:tcW w:w="291" w:type="pct"/>
          </w:tcPr>
          <w:p w14:paraId="1CF78771">
            <w:pPr>
              <w:jc w:val="left"/>
              <w:rPr>
                <w:rFonts w:ascii="宋体" w:hAnsi="宋体" w:cs="宋体"/>
              </w:rPr>
            </w:pPr>
            <w:r>
              <w:rPr>
                <w:rFonts w:hint="eastAsia" w:ascii="宋体" w:hAnsi="宋体" w:cs="宋体"/>
              </w:rPr>
              <w:t>111</w:t>
            </w:r>
          </w:p>
        </w:tc>
        <w:tc>
          <w:tcPr>
            <w:tcW w:w="268" w:type="pct"/>
          </w:tcPr>
          <w:p w14:paraId="0CFE874A">
            <w:pPr>
              <w:jc w:val="left"/>
              <w:rPr>
                <w:rFonts w:ascii="宋体" w:hAnsi="宋体" w:cs="宋体"/>
              </w:rPr>
            </w:pPr>
            <w:r>
              <w:rPr>
                <w:rFonts w:hint="eastAsia" w:ascii="宋体" w:hAnsi="宋体" w:cs="宋体"/>
              </w:rPr>
              <w:t>101</w:t>
            </w:r>
          </w:p>
        </w:tc>
      </w:tr>
    </w:tbl>
    <w:p w14:paraId="67A6FBCE">
      <w:pPr>
        <w:jc w:val="left"/>
        <w:rPr>
          <w:rFonts w:ascii="宋体" w:hAnsi="宋体" w:cs="宋体"/>
        </w:rPr>
      </w:pPr>
      <w:r>
        <w:rPr>
          <w:rFonts w:hint="eastAsia" w:ascii="宋体" w:hAnsi="宋体" w:cs="宋体"/>
        </w:rPr>
        <w:t>答案：本例中，最高点业务量为7.5万小时，对应的维修成本为120万元；</w:t>
      </w:r>
    </w:p>
    <w:p w14:paraId="2DD4D7D6">
      <w:pPr>
        <w:jc w:val="left"/>
        <w:rPr>
          <w:rFonts w:ascii="宋体" w:hAnsi="宋体" w:cs="宋体"/>
        </w:rPr>
      </w:pPr>
      <w:r>
        <w:rPr>
          <w:rFonts w:hint="eastAsia" w:ascii="宋体" w:hAnsi="宋体" w:cs="宋体"/>
        </w:rPr>
        <w:t>最低点业务量为5.0万小时，对应的维修成本为101万元，所以：</w:t>
      </w:r>
    </w:p>
    <w:p w14:paraId="5795B0CE">
      <w:pPr>
        <w:jc w:val="left"/>
        <w:rPr>
          <w:rFonts w:ascii="宋体" w:hAnsi="宋体" w:cs="宋体"/>
        </w:rPr>
      </w:pPr>
      <w:r>
        <w:rPr>
          <w:rFonts w:hint="eastAsia" w:ascii="宋体" w:hAnsi="宋体" w:cs="宋体"/>
        </w:rPr>
        <w:t>单位变动成本＝（120－101）/（7.5－5.0）＝7.6（万元/万小时）</w:t>
      </w:r>
    </w:p>
    <w:p w14:paraId="3EF36C3B">
      <w:pPr>
        <w:jc w:val="left"/>
        <w:rPr>
          <w:rFonts w:ascii="宋体" w:hAnsi="宋体" w:cs="宋体"/>
        </w:rPr>
      </w:pPr>
      <w:r>
        <w:rPr>
          <w:rFonts w:hint="eastAsia" w:ascii="宋体" w:hAnsi="宋体" w:cs="宋体"/>
        </w:rPr>
        <w:t>固定成本总额＝120－7.6×7.5＝63（万元）　或＝101－5.0×7.6＝63（万元）</w:t>
      </w:r>
    </w:p>
    <w:p w14:paraId="5AB10350">
      <w:pPr>
        <w:jc w:val="left"/>
        <w:rPr>
          <w:rFonts w:ascii="宋体" w:hAnsi="宋体" w:cs="宋体"/>
        </w:rPr>
      </w:pPr>
      <w:r>
        <w:rPr>
          <w:rFonts w:hint="eastAsia" w:ascii="宋体" w:hAnsi="宋体" w:cs="宋体"/>
        </w:rPr>
        <w:t>维修成本的一般方程式为：y＝63＋7.6x</w:t>
      </w:r>
    </w:p>
    <w:p w14:paraId="0394BF82">
      <w:pPr>
        <w:jc w:val="left"/>
        <w:rPr>
          <w:rFonts w:ascii="宋体" w:hAnsi="宋体" w:cs="宋体"/>
        </w:rPr>
      </w:pPr>
      <w:r>
        <w:rPr>
          <w:rFonts w:hint="eastAsia" w:ascii="宋体" w:hAnsi="宋体" w:cs="宋体"/>
        </w:rPr>
        <w:t>这个方程式适用于50 000～75 000直接人工工时的业务量范围。例如，2018年1月份计划业务量为65 000小时，则预计维修成本为：</w:t>
      </w:r>
    </w:p>
    <w:p w14:paraId="41C8FBE3">
      <w:pPr>
        <w:jc w:val="left"/>
        <w:rPr>
          <w:rFonts w:ascii="宋体" w:hAnsi="宋体" w:cs="宋体"/>
        </w:rPr>
      </w:pPr>
      <w:r>
        <w:rPr>
          <w:rFonts w:hint="eastAsia" w:ascii="宋体" w:hAnsi="宋体" w:cs="宋体"/>
        </w:rPr>
        <w:t>y＝63＋7.6×6.5＝112.4（万元）</w:t>
      </w:r>
    </w:p>
    <w:p w14:paraId="37193C70">
      <w:pPr>
        <w:jc w:val="left"/>
        <w:rPr>
          <w:rFonts w:ascii="宋体" w:hAnsi="宋体" w:cs="宋体"/>
        </w:rPr>
      </w:pPr>
      <w:r>
        <w:rPr>
          <w:rFonts w:hint="eastAsia" w:ascii="宋体" w:hAnsi="宋体" w:cs="宋体"/>
        </w:rPr>
        <w:t>预计的结果，可能与历史成本资料中同样业务量的实际成本不同，如本例11月份业务量为6.5 万小时，实际维修成本为111万元，与预计的112.4万元不同。这并不奇怪，用方程式预计的维修成本代表历史平均水平，而实际发生额总有一定偶然性。</w:t>
      </w:r>
    </w:p>
    <w:p w14:paraId="061AE3D1">
      <w:pPr>
        <w:jc w:val="left"/>
        <w:rPr>
          <w:rFonts w:ascii="宋体" w:hAnsi="宋体" w:cs="宋体"/>
          <w:color w:val="FF0000"/>
        </w:rPr>
      </w:pPr>
      <w:r>
        <w:rPr>
          <w:rFonts w:hint="eastAsia" w:ascii="宋体" w:hAnsi="宋体" w:cs="宋体"/>
          <w:color w:val="FF0000"/>
        </w:rPr>
        <w:t>2.回归分析法</w:t>
      </w:r>
    </w:p>
    <w:p w14:paraId="06E0BEA8">
      <w:pPr>
        <w:jc w:val="left"/>
        <w:rPr>
          <w:rFonts w:ascii="宋体" w:hAnsi="宋体" w:cs="宋体"/>
        </w:rPr>
      </w:pPr>
      <w:r>
        <w:rPr>
          <w:rFonts w:hint="eastAsia" w:ascii="宋体" w:hAnsi="宋体" w:cs="宋体"/>
        </w:rPr>
        <w:t>回归直线法是一种历史成本估计方法，应用最小二乘法原理，相较于高低点法更为精准。</w:t>
      </w:r>
    </w:p>
    <w:p w14:paraId="26D26687">
      <w:pPr>
        <w:jc w:val="left"/>
        <w:rPr>
          <w:rFonts w:ascii="宋体" w:hAnsi="宋体" w:cs="宋体"/>
          <w:color w:val="FF0000"/>
        </w:rPr>
      </w:pPr>
      <w:r>
        <w:rPr>
          <w:rFonts w:hint="eastAsia" w:ascii="宋体" w:hAnsi="宋体" w:cs="宋体"/>
          <w:color w:val="FF0000"/>
        </w:rPr>
        <w:t>3.工业工程法</w:t>
      </w:r>
    </w:p>
    <w:p w14:paraId="58BC3B8A">
      <w:pPr>
        <w:jc w:val="left"/>
        <w:rPr>
          <w:rFonts w:ascii="宋体" w:hAnsi="宋体" w:cs="宋体"/>
        </w:rPr>
      </w:pPr>
      <w:r>
        <w:rPr>
          <w:rFonts w:hint="eastAsia" w:ascii="宋体" w:hAnsi="宋体" w:cs="宋体"/>
        </w:rPr>
        <w:t>又称工业工程法，它是根据生产过程中各种材料和人工成本消耗量的技术测定来划分固定成本和变动成本的方法。通常只适用于投入成本与产出数量之间有规律性联系的成本分解，可以在没有历史成本数据的情况下使用。</w:t>
      </w:r>
    </w:p>
    <w:p w14:paraId="6BED4EB9">
      <w:pPr>
        <w:jc w:val="left"/>
        <w:rPr>
          <w:rFonts w:ascii="宋体" w:hAnsi="宋体" w:cs="宋体"/>
        </w:rPr>
      </w:pPr>
    </w:p>
    <w:p w14:paraId="0EF2885C">
      <w:pPr>
        <w:jc w:val="left"/>
        <w:rPr>
          <w:rFonts w:ascii="宋体" w:hAnsi="宋体" w:cs="宋体"/>
        </w:rPr>
      </w:pPr>
      <w:r>
        <w:rPr>
          <w:rFonts w:hint="eastAsia" w:ascii="宋体" w:hAnsi="宋体" w:cs="宋体"/>
        </w:rPr>
        <w:t>【单选题】（2024年）对混合成本进行分解时，不依靠历史数据，靠投入与产出比计算的方法是（  ）。</w:t>
      </w:r>
    </w:p>
    <w:p w14:paraId="77AFD52C">
      <w:pPr>
        <w:jc w:val="left"/>
        <w:rPr>
          <w:rFonts w:ascii="宋体" w:hAnsi="宋体" w:cs="宋体"/>
        </w:rPr>
      </w:pPr>
      <w:r>
        <w:rPr>
          <w:rFonts w:hint="eastAsia" w:ascii="宋体" w:hAnsi="宋体" w:cs="宋体"/>
        </w:rPr>
        <w:t xml:space="preserve">A.回归直线法         </w:t>
      </w:r>
    </w:p>
    <w:p w14:paraId="10904D31">
      <w:pPr>
        <w:jc w:val="left"/>
        <w:rPr>
          <w:rFonts w:ascii="宋体" w:hAnsi="宋体" w:cs="宋体"/>
        </w:rPr>
      </w:pPr>
      <w:r>
        <w:rPr>
          <w:rFonts w:hint="eastAsia" w:ascii="宋体" w:hAnsi="宋体" w:cs="宋体"/>
        </w:rPr>
        <w:t xml:space="preserve">B.账户分析法        </w:t>
      </w:r>
    </w:p>
    <w:p w14:paraId="0A7D8FAF">
      <w:pPr>
        <w:jc w:val="left"/>
        <w:rPr>
          <w:rFonts w:ascii="宋体" w:hAnsi="宋体" w:cs="宋体"/>
        </w:rPr>
      </w:pPr>
      <w:r>
        <w:rPr>
          <w:rFonts w:hint="eastAsia" w:ascii="宋体" w:hAnsi="宋体" w:cs="宋体"/>
        </w:rPr>
        <w:t xml:space="preserve">C.工业工程法      </w:t>
      </w:r>
    </w:p>
    <w:p w14:paraId="05171743">
      <w:pPr>
        <w:jc w:val="left"/>
        <w:rPr>
          <w:rFonts w:ascii="宋体" w:hAnsi="宋体" w:cs="宋体"/>
        </w:rPr>
      </w:pPr>
      <w:r>
        <w:rPr>
          <w:rFonts w:hint="eastAsia" w:ascii="宋体" w:hAnsi="宋体" w:cs="宋体"/>
        </w:rPr>
        <w:t>D.合同确认法</w:t>
      </w:r>
    </w:p>
    <w:p w14:paraId="35FD9A11">
      <w:pPr>
        <w:jc w:val="left"/>
        <w:rPr>
          <w:rFonts w:ascii="宋体" w:hAnsi="宋体" w:cs="宋体"/>
        </w:rPr>
      </w:pPr>
      <w:r>
        <w:rPr>
          <w:rFonts w:hint="eastAsia" w:ascii="宋体" w:hAnsi="宋体" w:cs="宋体"/>
        </w:rPr>
        <w:t>答案：C </w:t>
      </w:r>
    </w:p>
    <w:p w14:paraId="485CA0B2">
      <w:pPr>
        <w:jc w:val="left"/>
        <w:rPr>
          <w:rFonts w:ascii="宋体" w:hAnsi="宋体" w:cs="宋体"/>
        </w:rPr>
      </w:pPr>
      <w:r>
        <w:rPr>
          <w:rFonts w:hint="eastAsia" w:ascii="宋体" w:hAnsi="宋体" w:cs="宋体"/>
        </w:rPr>
        <w:t>解析：工业工程法指运用工业工程的研究方法，逐项研究确定成本高低的每个因素，在此基础上直接估算固定成本与单位变动成本的一种方法。该方法主要是测定各项材料和人工投入的成本与产出的数量，将与产量有关的投入归集为单位变动成本，与产量无关的部分归集为固定成本。工业工程法通常适用于成本与产出数量之间有规律性联系的成本分解，可以在没有历史成本数据的情况下使用。</w:t>
      </w:r>
    </w:p>
    <w:p w14:paraId="3CC43876">
      <w:pPr>
        <w:jc w:val="left"/>
        <w:rPr>
          <w:rFonts w:ascii="宋体" w:hAnsi="宋体" w:cs="宋体"/>
        </w:rPr>
      </w:pPr>
    </w:p>
    <w:p w14:paraId="01A58941">
      <w:pPr>
        <w:jc w:val="left"/>
        <w:rPr>
          <w:rFonts w:ascii="宋体" w:hAnsi="宋体" w:cs="宋体"/>
          <w:color w:val="FF0000"/>
        </w:rPr>
      </w:pPr>
      <w:r>
        <w:rPr>
          <w:rFonts w:hint="eastAsia" w:ascii="宋体" w:hAnsi="宋体" w:cs="宋体"/>
          <w:color w:val="FF0000"/>
        </w:rPr>
        <w:t>4.账户分析法</w:t>
      </w:r>
    </w:p>
    <w:p w14:paraId="2AED0199">
      <w:pPr>
        <w:jc w:val="left"/>
        <w:rPr>
          <w:rFonts w:ascii="宋体" w:hAnsi="宋体" w:cs="宋体"/>
        </w:rPr>
      </w:pPr>
      <w:r>
        <w:rPr>
          <w:rFonts w:hint="eastAsia" w:ascii="宋体" w:hAnsi="宋体" w:cs="宋体"/>
        </w:rPr>
        <w:t>又称会计分析法，它是根据有关成本账户及其明细账的内容，结合其与产量的依存关系，判断其比较接近哪一类成本，就视其为哪一类成本。简便易行，但比较粗糙且带有主观判断。</w:t>
      </w:r>
    </w:p>
    <w:p w14:paraId="27D30A9E">
      <w:pPr>
        <w:jc w:val="left"/>
        <w:rPr>
          <w:rFonts w:ascii="宋体" w:hAnsi="宋体" w:cs="宋体"/>
          <w:color w:val="FF0000"/>
        </w:rPr>
      </w:pPr>
      <w:r>
        <w:rPr>
          <w:rFonts w:hint="eastAsia" w:ascii="宋体" w:hAnsi="宋体" w:cs="宋体"/>
          <w:color w:val="FF0000"/>
        </w:rPr>
        <w:t>5.合同确认法</w:t>
      </w:r>
    </w:p>
    <w:p w14:paraId="2C3DD44B">
      <w:pPr>
        <w:jc w:val="left"/>
        <w:rPr>
          <w:rFonts w:ascii="宋体" w:hAnsi="宋体" w:cs="宋体"/>
          <w:color w:val="FF0000"/>
        </w:rPr>
      </w:pPr>
      <w:r>
        <w:rPr>
          <w:rFonts w:hint="eastAsia" w:ascii="宋体" w:hAnsi="宋体" w:cs="宋体"/>
        </w:rPr>
        <w:t>根据企业订立的经济合同或协议中关于支付费用的规定，来确认并估算哪些项目属于变动成本，哪些项目属于固定成本的方法。</w:t>
      </w:r>
      <w:r>
        <w:rPr>
          <w:rFonts w:hint="eastAsia" w:ascii="宋体" w:hAnsi="宋体" w:cs="宋体"/>
          <w:color w:val="FF0000"/>
        </w:rPr>
        <w:t>合同确认法要配合账户分析法使用。</w:t>
      </w:r>
    </w:p>
    <w:p w14:paraId="5A2530F8">
      <w:pPr>
        <w:jc w:val="left"/>
        <w:rPr>
          <w:rFonts w:ascii="宋体" w:hAnsi="宋体" w:cs="宋体"/>
        </w:rPr>
      </w:pPr>
    </w:p>
    <w:p w14:paraId="77B416F8">
      <w:pPr>
        <w:jc w:val="left"/>
        <w:rPr>
          <w:rFonts w:ascii="宋体" w:hAnsi="宋体" w:cs="宋体"/>
        </w:rPr>
      </w:pPr>
      <w:r>
        <w:rPr>
          <w:rFonts w:hint="eastAsia" w:ascii="宋体" w:hAnsi="宋体" w:cs="宋体"/>
        </w:rPr>
        <w:t>【单选题】（2019年）某企业根据过去一段时间内的业务量和混合成本材料，应用最小二乘法原理，寻求最能代表二者关系的函数表达式，据以对混合成本进行分解，则该企业所采用的混合成本分解方法是（  ）。</w:t>
      </w:r>
    </w:p>
    <w:p w14:paraId="06687806">
      <w:pPr>
        <w:jc w:val="left"/>
        <w:rPr>
          <w:rFonts w:ascii="宋体" w:hAnsi="宋体" w:cs="宋体"/>
        </w:rPr>
      </w:pPr>
      <w:r>
        <w:rPr>
          <w:rFonts w:hint="eastAsia" w:ascii="宋体" w:hAnsi="宋体" w:cs="宋体"/>
        </w:rPr>
        <w:t xml:space="preserve">A.高低点法        </w:t>
      </w:r>
    </w:p>
    <w:p w14:paraId="47EC79F8">
      <w:pPr>
        <w:jc w:val="left"/>
        <w:rPr>
          <w:rFonts w:ascii="宋体" w:hAnsi="宋体" w:cs="宋体"/>
        </w:rPr>
      </w:pPr>
      <w:r>
        <w:rPr>
          <w:rFonts w:hint="eastAsia" w:ascii="宋体" w:hAnsi="宋体" w:cs="宋体"/>
        </w:rPr>
        <w:t xml:space="preserve">B.账户分析法         </w:t>
      </w:r>
    </w:p>
    <w:p w14:paraId="792E40FC">
      <w:pPr>
        <w:jc w:val="left"/>
        <w:rPr>
          <w:rFonts w:ascii="宋体" w:hAnsi="宋体" w:cs="宋体"/>
        </w:rPr>
      </w:pPr>
      <w:r>
        <w:rPr>
          <w:rFonts w:hint="eastAsia" w:ascii="宋体" w:hAnsi="宋体" w:cs="宋体"/>
        </w:rPr>
        <w:t xml:space="preserve">C.回归分析法             </w:t>
      </w:r>
    </w:p>
    <w:p w14:paraId="470D0D1A">
      <w:pPr>
        <w:jc w:val="left"/>
        <w:rPr>
          <w:rFonts w:ascii="宋体" w:hAnsi="宋体" w:cs="宋体"/>
        </w:rPr>
      </w:pPr>
      <w:r>
        <w:rPr>
          <w:rFonts w:hint="eastAsia" w:ascii="宋体" w:hAnsi="宋体" w:cs="宋体"/>
        </w:rPr>
        <w:t>D.技术测定法</w:t>
      </w:r>
    </w:p>
    <w:p w14:paraId="1C1A5AF8">
      <w:pPr>
        <w:jc w:val="left"/>
        <w:rPr>
          <w:rFonts w:ascii="宋体" w:hAnsi="宋体" w:cs="宋体"/>
        </w:rPr>
      </w:pPr>
      <w:r>
        <w:rPr>
          <w:rFonts w:hint="eastAsia" w:ascii="宋体" w:hAnsi="宋体" w:cs="宋体"/>
        </w:rPr>
        <w:t>答案：C</w:t>
      </w:r>
    </w:p>
    <w:p w14:paraId="364C19FC">
      <w:pPr>
        <w:jc w:val="left"/>
        <w:rPr>
          <w:rFonts w:ascii="宋体" w:hAnsi="宋体" w:cs="宋体"/>
        </w:rPr>
      </w:pPr>
      <w:r>
        <w:rPr>
          <w:rFonts w:hint="eastAsia" w:ascii="宋体" w:hAnsi="宋体" w:cs="宋体"/>
        </w:rPr>
        <w:t>解析：回归分析法是一种较为精确的方法。它根据过去一定期间的业务量和混合成本的历史资料，应用最小二乘法原理，算出最能代表业务量与混合成本关系的回归直线，借以确定混合成本中固定成本和变动成本的方法。</w:t>
      </w:r>
    </w:p>
    <w:p w14:paraId="6B2F3E78">
      <w:pPr>
        <w:jc w:val="left"/>
        <w:rPr>
          <w:rFonts w:ascii="宋体" w:hAnsi="宋体" w:cs="宋体"/>
          <w:color w:val="FF0000"/>
        </w:rPr>
      </w:pPr>
    </w:p>
    <w:p w14:paraId="191CEA8C">
      <w:pPr>
        <w:jc w:val="left"/>
        <w:rPr>
          <w:rFonts w:ascii="宋体" w:hAnsi="宋体" w:cs="宋体"/>
          <w:color w:val="FF0000"/>
        </w:rPr>
      </w:pPr>
      <w:r>
        <w:rPr>
          <w:rFonts w:hint="eastAsia" w:ascii="宋体" w:hAnsi="宋体" w:cs="宋体"/>
          <w:color w:val="FF0000"/>
        </w:rPr>
        <w:t>【知识点4】总成本模型</w:t>
      </w:r>
    </w:p>
    <w:p w14:paraId="46BB8DE5">
      <w:pPr>
        <w:jc w:val="left"/>
        <w:rPr>
          <w:rFonts w:ascii="宋体" w:hAnsi="宋体" w:cs="宋体"/>
        </w:rPr>
      </w:pPr>
      <w:r>
        <w:rPr>
          <w:rFonts w:hint="eastAsia" w:ascii="宋体" w:hAnsi="宋体" w:cs="宋体"/>
        </w:rPr>
        <w:t>总成本＝固定成本总额＋变动成本总额＝固定成本总额＋（单位变动成本×业务量）</w:t>
      </w:r>
    </w:p>
    <w:p w14:paraId="4110D6BB">
      <w:pPr>
        <w:jc w:val="left"/>
        <w:rPr>
          <w:rFonts w:ascii="宋体" w:hAnsi="宋体" w:cs="宋体"/>
          <w:color w:val="FF0000"/>
        </w:rPr>
      </w:pPr>
      <w:r>
        <w:rPr>
          <w:rFonts w:hint="eastAsia" w:ascii="宋体" w:hAnsi="宋体" w:cs="宋体"/>
          <w:color w:val="FF0000"/>
        </w:rPr>
        <w:t>本章总结</w:t>
      </w:r>
    </w:p>
    <w:p w14:paraId="3F75F97D">
      <w:pPr>
        <w:jc w:val="left"/>
        <w:rPr>
          <w:rFonts w:ascii="宋体" w:hAnsi="宋体" w:cs="宋体"/>
        </w:rPr>
      </w:pPr>
    </w:p>
    <w:p w14:paraId="540C942C">
      <w:pPr>
        <w:jc w:val="left"/>
        <w:rPr>
          <w:rFonts w:ascii="宋体" w:hAnsi="宋体" w:cs="宋体"/>
        </w:rPr>
      </w:pPr>
      <w:r>
        <w:rPr>
          <w:rFonts w:hint="eastAsia" w:ascii="宋体" w:hAnsi="宋体" w:cs="宋体"/>
        </w:rPr>
        <w:drawing>
          <wp:inline distT="0" distB="0" distL="114300" distR="114300">
            <wp:extent cx="5207000" cy="2624455"/>
            <wp:effectExtent l="0" t="0" r="12700" b="444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62"/>
                    <a:stretch>
                      <a:fillRect/>
                    </a:stretch>
                  </pic:blipFill>
                  <pic:spPr>
                    <a:xfrm>
                      <a:off x="0" y="0"/>
                      <a:ext cx="5207000" cy="2624455"/>
                    </a:xfrm>
                    <a:prstGeom prst="rect">
                      <a:avLst/>
                    </a:prstGeom>
                    <a:noFill/>
                    <a:ln>
                      <a:noFill/>
                    </a:ln>
                  </pic:spPr>
                </pic:pic>
              </a:graphicData>
            </a:graphic>
          </wp:inline>
        </w:drawing>
      </w:r>
    </w:p>
    <w:p w14:paraId="7DADEF99">
      <w:pPr>
        <w:jc w:val="left"/>
      </w:pPr>
      <w:bookmarkStart w:id="0" w:name="_GoBack"/>
      <w:bookmarkEnd w:id="0"/>
    </w:p>
    <w:sectPr>
      <w:pgSz w:w="11906" w:h="16838"/>
      <w:pgMar w:top="850" w:right="850" w:bottom="85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E419B5"/>
    <w:multiLevelType w:val="singleLevel"/>
    <w:tmpl w:val="DEE419B5"/>
    <w:lvl w:ilvl="0" w:tentative="0">
      <w:start w:val="1"/>
      <w:numFmt w:val="bullet"/>
      <w:lvlText w:val=""/>
      <w:lvlJc w:val="left"/>
      <w:pPr>
        <w:ind w:left="420" w:hanging="420"/>
      </w:pPr>
      <w:rPr>
        <w:rFonts w:hint="default" w:ascii="Wingdings" w:hAnsi="Wingdings"/>
      </w:rPr>
    </w:lvl>
  </w:abstractNum>
  <w:abstractNum w:abstractNumId="1">
    <w:nsid w:val="43A9D9C0"/>
    <w:multiLevelType w:val="singleLevel"/>
    <w:tmpl w:val="43A9D9C0"/>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YTRhZWZiMTg1YWU3YjQ2ZjIxZWJlYjA3MDI5ZjAifQ=="/>
  </w:docVars>
  <w:rsids>
    <w:rsidRoot w:val="135D5531"/>
    <w:rsid w:val="001F192C"/>
    <w:rsid w:val="002A1721"/>
    <w:rsid w:val="003B71E3"/>
    <w:rsid w:val="00401D9A"/>
    <w:rsid w:val="004F6325"/>
    <w:rsid w:val="00AA0512"/>
    <w:rsid w:val="00AE0A92"/>
    <w:rsid w:val="00B65DAE"/>
    <w:rsid w:val="04043713"/>
    <w:rsid w:val="06F537E7"/>
    <w:rsid w:val="078B5EF9"/>
    <w:rsid w:val="0B5807E8"/>
    <w:rsid w:val="0B9A495D"/>
    <w:rsid w:val="0C2030B4"/>
    <w:rsid w:val="0C7B478E"/>
    <w:rsid w:val="0E99714E"/>
    <w:rsid w:val="135D5531"/>
    <w:rsid w:val="14E37374"/>
    <w:rsid w:val="17417CFA"/>
    <w:rsid w:val="182757CA"/>
    <w:rsid w:val="1AA11864"/>
    <w:rsid w:val="212B00D9"/>
    <w:rsid w:val="236C49D9"/>
    <w:rsid w:val="2A1A518F"/>
    <w:rsid w:val="2C0559CB"/>
    <w:rsid w:val="2F154177"/>
    <w:rsid w:val="2F283EAA"/>
    <w:rsid w:val="2FDE0A0C"/>
    <w:rsid w:val="32270449"/>
    <w:rsid w:val="34715F1D"/>
    <w:rsid w:val="368C11C2"/>
    <w:rsid w:val="387719FE"/>
    <w:rsid w:val="42B86E9B"/>
    <w:rsid w:val="461A0599"/>
    <w:rsid w:val="4B550AA9"/>
    <w:rsid w:val="4E6C5709"/>
    <w:rsid w:val="514836E7"/>
    <w:rsid w:val="537D11A8"/>
    <w:rsid w:val="58B33F35"/>
    <w:rsid w:val="5FD6198B"/>
    <w:rsid w:val="5FEF7F48"/>
    <w:rsid w:val="60C34F31"/>
    <w:rsid w:val="62264F5D"/>
    <w:rsid w:val="67A535E2"/>
    <w:rsid w:val="68753EF9"/>
    <w:rsid w:val="68921DB9"/>
    <w:rsid w:val="6AC81AA4"/>
    <w:rsid w:val="6CEA433E"/>
    <w:rsid w:val="6F060E0B"/>
    <w:rsid w:val="6F315D76"/>
    <w:rsid w:val="7BA21EBB"/>
    <w:rsid w:val="7DA55C93"/>
    <w:rsid w:val="F7FFBA63"/>
    <w:rsid w:val="FAF6E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pPr>
      <w:spacing w:before="100" w:beforeAutospacing="1" w:after="100" w:afterAutospacing="1"/>
      <w:jc w:val="left"/>
    </w:pPr>
    <w:rPr>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microsoft.com/office/2007/relationships/hdphoto" Target="media/image5.wdp"/><Relationship Id="rId7" Type="http://schemas.openxmlformats.org/officeDocument/2006/relationships/image" Target="media/image4.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microsoft.com/office/2007/relationships/hdphoto" Target="media/image2.wdp"/><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microsoft.com/office/2007/relationships/hdphoto" Target="media/image34.wdp"/><Relationship Id="rId36" Type="http://schemas.openxmlformats.org/officeDocument/2006/relationships/image" Target="media/image33.png"/><Relationship Id="rId35" Type="http://schemas.openxmlformats.org/officeDocument/2006/relationships/image" Target="media/image32.jpeg"/><Relationship Id="rId34" Type="http://schemas.microsoft.com/office/2007/relationships/hdphoto" Target="media/image31.wdp"/><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microsoft.com/office/2007/relationships/hdphoto" Target="media/image18.wdp"/><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microsoft.com/office/2007/relationships/hdphoto" Target="media/image13.wdp"/><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microsoft.com/office/2007/relationships/hdphoto" Target="media/image9.wdp"/><Relationship Id="rId11" Type="http://schemas.openxmlformats.org/officeDocument/2006/relationships/image" Target="media/image8.png"/><Relationship Id="rId10" Type="http://schemas.microsoft.com/office/2007/relationships/hdphoto" Target="media/image7.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576</Words>
  <Characters>598</Characters>
  <Lines>4</Lines>
  <Paragraphs>1</Paragraphs>
  <TotalTime>0</TotalTime>
  <ScaleCrop>false</ScaleCrop>
  <LinksUpToDate>false</LinksUpToDate>
  <CharactersWithSpaces>604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2025-04-12T14:53:00Z</dcterms:created>
  <dc:creator>Administrator</dc:creator>
  <cp:lastModifiedBy>万rui</cp:lastModifiedBy>
  <dcterms:modified xsi:type="dcterms:W3CDTF">2025-05-22T08:56:04Z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2D36A11BE6C0405FA43A6AA7D427FFFD</vt:lpwstr>
  </property>
  <property fmtid="{D5CDD505-2E9C-101B-9397-08002B2CF9AE}" pid="4" name="KSOTemplateDocerSaveRecord">
    <vt:lpwstr>eyJoZGlkIjoiMDdmZTA1YTA4OTI5NmFhMzZlMzcxNDMxODgzNWVlNzAiLCJ1c2VySWQiOiIyMzc3NTM5ODgifQ==</vt:lpwstr>
  </property>
</Properties>
</file>