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A703D">
      <w:pPr>
        <w:overflowPunct w:val="0"/>
        <w:jc w:val="center"/>
        <w:rPr>
          <w:rFonts w:ascii="宋体" w:hAnsi="宋体" w:cs="宋体"/>
          <w:b/>
          <w:bCs/>
        </w:rPr>
      </w:pPr>
      <w:r>
        <w:rPr>
          <w:rFonts w:hint="eastAsia" w:ascii="宋体" w:hAnsi="宋体" w:cs="宋体"/>
          <w:b/>
          <w:bCs/>
        </w:rPr>
        <w:t>第十章</w:t>
      </w:r>
      <w:r>
        <w:rPr>
          <w:rFonts w:ascii="宋体" w:hAnsi="宋体" w:cs="宋体"/>
          <w:b/>
          <w:bCs/>
        </w:rPr>
        <w:t xml:space="preserve"> </w:t>
      </w:r>
      <w:r>
        <w:rPr>
          <w:rFonts w:hint="eastAsia" w:ascii="宋体" w:hAnsi="宋体" w:cs="宋体"/>
          <w:b/>
          <w:bCs/>
        </w:rPr>
        <w:t>股份支付</w:t>
      </w:r>
    </w:p>
    <w:p w14:paraId="0FD67CEF">
      <w:pPr>
        <w:overflowPunct w:val="0"/>
        <w:jc w:val="left"/>
        <w:rPr>
          <w:rFonts w:hint="eastAsia" w:ascii="宋体" w:hAnsi="宋体" w:cs="宋体"/>
          <w:b/>
          <w:bCs/>
        </w:rPr>
      </w:pPr>
      <w:r>
        <w:rPr>
          <w:rFonts w:hint="eastAsia" w:ascii="宋体" w:hAnsi="宋体" w:cs="宋体"/>
          <w:b/>
          <w:bCs/>
        </w:rPr>
        <w:t>考情分析</w:t>
      </w:r>
    </w:p>
    <w:p w14:paraId="559503BC">
      <w:pPr>
        <w:jc w:val="left"/>
        <w:rPr>
          <w:rFonts w:ascii="宋体" w:hAnsi="宋体" w:cs="宋体"/>
        </w:rPr>
      </w:pPr>
      <w:r>
        <w:rPr>
          <w:rFonts w:hint="eastAsia" w:ascii="宋体" w:hAnsi="宋体" w:cs="宋体"/>
        </w:rPr>
        <w:t>本章属于难点章节，很多内容来自于注会教材，重点关注股份支付的基本概念和教材3个例题，2025年预计分值6-12分左右。</w:t>
      </w:r>
    </w:p>
    <w:p w14:paraId="07D1DEE7">
      <w:pPr>
        <w:overflowPunct w:val="0"/>
        <w:jc w:val="left"/>
        <w:rPr>
          <w:rFonts w:ascii="宋体" w:hAnsi="宋体" w:cs="宋体"/>
        </w:rPr>
      </w:pPr>
    </w:p>
    <w:p w14:paraId="77D6B850">
      <w:pPr>
        <w:overflowPunct w:val="0"/>
        <w:jc w:val="center"/>
        <w:rPr>
          <w:rFonts w:ascii="宋体" w:hAnsi="宋体" w:cs="宋体"/>
          <w:b/>
          <w:bCs/>
        </w:rPr>
      </w:pPr>
      <w:r>
        <w:rPr>
          <w:rFonts w:hint="eastAsia" w:ascii="宋体" w:hAnsi="宋体" w:cs="宋体"/>
          <w:b/>
          <w:bCs/>
        </w:rPr>
        <w:t>第一节  股份支付的主要环节及类型</w:t>
      </w:r>
    </w:p>
    <w:p w14:paraId="5D67B23B">
      <w:pPr>
        <w:jc w:val="left"/>
        <w:rPr>
          <w:rFonts w:ascii="宋体" w:hAnsi="宋体" w:cs="宋体"/>
        </w:rPr>
      </w:pPr>
      <w:r>
        <w:rPr>
          <w:rFonts w:hint="eastAsia" w:ascii="宋体" w:hAnsi="宋体" w:cs="宋体"/>
        </w:rPr>
        <w:t>股份支付，是指企业为</w:t>
      </w:r>
      <w:r>
        <w:rPr>
          <w:rFonts w:hint="eastAsia" w:ascii="宋体" w:hAnsi="宋体" w:cs="宋体"/>
          <w:color w:val="FF0000"/>
        </w:rPr>
        <w:t>获取职工和其他方提供服务</w:t>
      </w:r>
      <w:r>
        <w:rPr>
          <w:rFonts w:hint="eastAsia" w:ascii="宋体" w:hAnsi="宋体" w:cs="宋体"/>
        </w:rPr>
        <w:t>而授予</w:t>
      </w:r>
      <w:r>
        <w:rPr>
          <w:rFonts w:hint="eastAsia" w:ascii="宋体" w:hAnsi="宋体" w:cs="宋体"/>
          <w:color w:val="FF0000"/>
        </w:rPr>
        <w:t>权益工具</w:t>
      </w:r>
      <w:r>
        <w:rPr>
          <w:rFonts w:hint="eastAsia" w:ascii="宋体" w:hAnsi="宋体" w:cs="宋体"/>
        </w:rPr>
        <w:t>或者</w:t>
      </w:r>
      <w:r>
        <w:rPr>
          <w:rFonts w:hint="eastAsia" w:ascii="宋体" w:hAnsi="宋体" w:cs="宋体"/>
          <w:color w:val="FF0000"/>
        </w:rPr>
        <w:t>承担以权益工具为基础确定的负债</w:t>
      </w:r>
      <w:r>
        <w:rPr>
          <w:rFonts w:hint="eastAsia" w:ascii="宋体" w:hAnsi="宋体" w:cs="宋体"/>
        </w:rPr>
        <w:t>的交易。</w:t>
      </w:r>
    </w:p>
    <w:p w14:paraId="1635053D">
      <w:pPr>
        <w:jc w:val="left"/>
        <w:rPr>
          <w:rFonts w:ascii="宋体" w:hAnsi="宋体" w:cs="宋体"/>
        </w:rPr>
      </w:pPr>
      <w:r>
        <w:rPr>
          <w:rFonts w:hint="eastAsia" w:ascii="宋体" w:hAnsi="宋体" w:cs="宋体"/>
        </w:rPr>
        <w:t>借：管理费用</w:t>
      </w:r>
    </w:p>
    <w:p w14:paraId="5CDBE5E5">
      <w:pPr>
        <w:jc w:val="left"/>
        <w:rPr>
          <w:rFonts w:ascii="宋体" w:hAnsi="宋体" w:cs="宋体"/>
          <w:color w:val="FF0000"/>
        </w:rPr>
      </w:pPr>
      <w:r>
        <w:rPr>
          <w:rFonts w:hint="eastAsia" w:ascii="宋体" w:hAnsi="宋体" w:cs="宋体"/>
        </w:rPr>
        <w:t xml:space="preserve">   贷：</w:t>
      </w:r>
      <w:r>
        <w:rPr>
          <w:rFonts w:hint="eastAsia" w:ascii="宋体" w:hAnsi="宋体" w:cs="宋体"/>
          <w:color w:val="FF0000"/>
        </w:rPr>
        <w:t>资本公积—其他资本公积</w:t>
      </w:r>
    </w:p>
    <w:p w14:paraId="7DCAB636">
      <w:pPr>
        <w:jc w:val="left"/>
        <w:rPr>
          <w:rFonts w:ascii="宋体" w:hAnsi="宋体" w:cs="宋体"/>
        </w:rPr>
      </w:pPr>
      <w:r>
        <w:rPr>
          <w:rFonts w:hint="eastAsia" w:ascii="宋体" w:hAnsi="宋体" w:cs="宋体"/>
        </w:rPr>
        <w:t>借：管理费用</w:t>
      </w:r>
    </w:p>
    <w:p w14:paraId="4ADABF0A">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贷：应付职工薪酬</w:t>
      </w:r>
    </w:p>
    <w:p w14:paraId="797CA7D9">
      <w:pPr>
        <w:jc w:val="left"/>
        <w:rPr>
          <w:rFonts w:ascii="宋体" w:hAnsi="宋体" w:cs="宋体"/>
          <w:color w:val="FF0000"/>
        </w:rPr>
      </w:pPr>
      <w:r>
        <w:rPr>
          <w:rFonts w:hint="eastAsia" w:ascii="宋体" w:hAnsi="宋体" w:cs="宋体"/>
          <w:color w:val="FF0000"/>
        </w:rPr>
        <w:t>一、股份支付的四个主要环节</w:t>
      </w:r>
    </w:p>
    <w:p w14:paraId="6E6463E4">
      <w:pPr>
        <w:jc w:val="left"/>
        <w:rPr>
          <w:rFonts w:hint="eastAsia" w:ascii="宋体" w:hAnsi="宋体" w:cs="宋体"/>
        </w:rPr>
      </w:pPr>
      <w:r>
        <w:rPr>
          <w:rFonts w:hint="eastAsia" w:ascii="宋体" w:hAnsi="宋体" w:cs="宋体"/>
        </w:rPr>
        <w:t>以薪酬性股票期权为例，典型的股份支付通常涉及四个主要环节：</w:t>
      </w:r>
      <w:r>
        <w:rPr>
          <w:rFonts w:hint="eastAsia" w:ascii="宋体" w:hAnsi="宋体" w:cs="宋体"/>
          <w:color w:val="FF0000"/>
        </w:rPr>
        <w:t>授予、可行权、行权和出售</w:t>
      </w:r>
      <w:r>
        <w:rPr>
          <w:rFonts w:hint="eastAsia" w:ascii="宋体" w:hAnsi="宋体" w:cs="宋体"/>
        </w:rPr>
        <w:t>。四个环节可见下图。</w:t>
      </w:r>
    </w:p>
    <w:p w14:paraId="053CC285">
      <w:pPr>
        <w:jc w:val="left"/>
        <w:rPr>
          <w:rFonts w:ascii="宋体" w:hAnsi="宋体" w:cs="宋体"/>
        </w:rPr>
      </w:pPr>
      <w:r>
        <w:rPr>
          <w:rFonts w:hint="eastAsia" w:ascii="宋体" w:hAnsi="宋体" w:cs="宋体"/>
        </w:rPr>
        <w:drawing>
          <wp:inline distT="0" distB="0" distL="114300" distR="114300">
            <wp:extent cx="3649980" cy="1276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668439" cy="1283058"/>
                    </a:xfrm>
                    <a:prstGeom prst="rect">
                      <a:avLst/>
                    </a:prstGeom>
                    <a:noFill/>
                    <a:ln>
                      <a:noFill/>
                    </a:ln>
                  </pic:spPr>
                </pic:pic>
              </a:graphicData>
            </a:graphic>
          </wp:inline>
        </w:drawing>
      </w:r>
    </w:p>
    <w:p w14:paraId="7BC8CA13">
      <w:pPr>
        <w:jc w:val="left"/>
        <w:rPr>
          <w:rFonts w:ascii="宋体" w:hAnsi="宋体" w:cs="宋体"/>
          <w:color w:val="FF0000"/>
        </w:rPr>
      </w:pPr>
      <w:r>
        <w:rPr>
          <w:rFonts w:hint="eastAsia" w:ascii="宋体" w:hAnsi="宋体" w:cs="宋体"/>
          <w:color w:val="FF0000"/>
        </w:rPr>
        <w:t>二、股份支付工具的类型（2种）</w:t>
      </w:r>
    </w:p>
    <w:p w14:paraId="72969C67">
      <w:pPr>
        <w:jc w:val="left"/>
        <w:rPr>
          <w:rFonts w:ascii="宋体" w:hAnsi="宋体" w:cs="宋体"/>
        </w:rPr>
      </w:pPr>
      <w:r>
        <w:rPr>
          <w:rFonts w:hint="eastAsia" w:ascii="宋体" w:hAnsi="宋体" w:cs="宋体"/>
        </w:rPr>
        <w:t>（1）权益结算的股份支付</w:t>
      </w:r>
    </w:p>
    <w:p w14:paraId="0524731F">
      <w:pPr>
        <w:jc w:val="left"/>
        <w:rPr>
          <w:rFonts w:ascii="宋体" w:hAnsi="宋体" w:cs="宋体"/>
        </w:rPr>
      </w:pPr>
      <w:r>
        <w:rPr>
          <w:rFonts w:hint="eastAsia" w:ascii="宋体" w:hAnsi="宋体" w:cs="宋体"/>
        </w:rPr>
        <w:t>以权益结算的股份支付，是指企业为获取服务以</w:t>
      </w:r>
      <w:r>
        <w:rPr>
          <w:rFonts w:hint="eastAsia" w:ascii="宋体" w:hAnsi="宋体" w:cs="宋体"/>
          <w:color w:val="FF0000"/>
        </w:rPr>
        <w:t>股份或其他权益工具作为对价</w:t>
      </w:r>
      <w:r>
        <w:rPr>
          <w:rFonts w:hint="eastAsia" w:ascii="宋体" w:hAnsi="宋体" w:cs="宋体"/>
        </w:rPr>
        <w:t>进行结算的交易。</w:t>
      </w:r>
    </w:p>
    <w:p w14:paraId="0FA5B314">
      <w:pPr>
        <w:jc w:val="left"/>
        <w:rPr>
          <w:rFonts w:ascii="宋体" w:hAnsi="宋体" w:cs="宋体"/>
          <w:color w:val="FF0000"/>
        </w:rPr>
      </w:pPr>
      <w:r>
        <w:rPr>
          <w:rFonts w:hint="eastAsia" w:ascii="宋体" w:hAnsi="宋体" w:cs="宋体"/>
          <w:color w:val="FF0000"/>
        </w:rPr>
        <w:t>最典型的是股票期权和限制性股票。</w:t>
      </w:r>
    </w:p>
    <w:p w14:paraId="599A5EEB">
      <w:pPr>
        <w:jc w:val="left"/>
        <w:rPr>
          <w:rFonts w:ascii="宋体" w:hAnsi="宋体" w:cs="宋体"/>
        </w:rPr>
      </w:pPr>
      <w:r>
        <w:rPr>
          <w:rFonts w:hint="eastAsia" w:ascii="宋体" w:hAnsi="宋体" w:cs="宋体"/>
        </w:rPr>
        <w:t>（2）现金结算的股份支付</w:t>
      </w:r>
    </w:p>
    <w:p w14:paraId="7DCC1E08">
      <w:pPr>
        <w:jc w:val="left"/>
        <w:rPr>
          <w:rFonts w:ascii="宋体" w:hAnsi="宋体" w:cs="宋体"/>
        </w:rPr>
      </w:pPr>
      <w:r>
        <w:rPr>
          <w:rFonts w:hint="eastAsia" w:ascii="宋体" w:hAnsi="宋体" w:cs="宋体"/>
        </w:rPr>
        <w:t>以现金结算的股份支付，是指企业为获取服务承担</w:t>
      </w:r>
      <w:r>
        <w:rPr>
          <w:rFonts w:hint="eastAsia" w:ascii="宋体" w:hAnsi="宋体" w:cs="宋体"/>
          <w:color w:val="FF0000"/>
        </w:rPr>
        <w:t>以股份或其他权益工具为基础计算确定的支付现金或其他资产义务</w:t>
      </w:r>
      <w:r>
        <w:rPr>
          <w:rFonts w:hint="eastAsia" w:ascii="宋体" w:hAnsi="宋体" w:cs="宋体"/>
        </w:rPr>
        <w:t>的交易。</w:t>
      </w:r>
    </w:p>
    <w:p w14:paraId="02870083">
      <w:pPr>
        <w:jc w:val="left"/>
        <w:rPr>
          <w:rFonts w:ascii="宋体" w:hAnsi="宋体" w:cs="宋体"/>
          <w:color w:val="FF0000"/>
        </w:rPr>
      </w:pPr>
      <w:r>
        <w:rPr>
          <w:rFonts w:hint="eastAsia" w:ascii="宋体" w:hAnsi="宋体" w:cs="宋体"/>
          <w:color w:val="FF0000"/>
        </w:rPr>
        <w:t>最典型的是现金股票增值权和模拟股票。</w:t>
      </w:r>
    </w:p>
    <w:p w14:paraId="4CA78FB4">
      <w:pPr>
        <w:jc w:val="left"/>
        <w:rPr>
          <w:rFonts w:ascii="宋体" w:hAnsi="宋体" w:cs="宋体"/>
        </w:rPr>
      </w:pPr>
    </w:p>
    <w:p w14:paraId="1B3BE20E">
      <w:pPr>
        <w:jc w:val="left"/>
        <w:rPr>
          <w:rFonts w:ascii="宋体" w:hAnsi="宋体" w:cs="宋体"/>
        </w:rPr>
      </w:pPr>
      <w:r>
        <w:rPr>
          <w:rFonts w:hint="eastAsia" w:ascii="宋体" w:hAnsi="宋体" w:cs="宋体"/>
        </w:rPr>
        <w:t>【例-单选题】下列各项中，应当作为以现金结算的股份支付进行会计处理的是（  ）。</w:t>
      </w:r>
    </w:p>
    <w:p w14:paraId="31C3950E">
      <w:pPr>
        <w:jc w:val="left"/>
        <w:rPr>
          <w:rFonts w:ascii="宋体" w:hAnsi="宋体" w:cs="宋体"/>
        </w:rPr>
      </w:pPr>
      <w:r>
        <w:rPr>
          <w:rFonts w:hint="eastAsia" w:ascii="宋体" w:hAnsi="宋体" w:cs="宋体"/>
        </w:rPr>
        <w:t>A.以低于市价向员工出售限制性股票的计划</w:t>
      </w:r>
    </w:p>
    <w:p w14:paraId="51363C1B">
      <w:pPr>
        <w:jc w:val="left"/>
        <w:rPr>
          <w:rFonts w:ascii="宋体" w:hAnsi="宋体" w:cs="宋体"/>
        </w:rPr>
      </w:pPr>
      <w:r>
        <w:rPr>
          <w:rFonts w:hint="eastAsia" w:ascii="宋体" w:hAnsi="宋体" w:cs="宋体"/>
        </w:rPr>
        <w:t>B.授予高管人员低于市价购买公司股票的期权计划</w:t>
      </w:r>
    </w:p>
    <w:p w14:paraId="6E5FBD44">
      <w:pPr>
        <w:jc w:val="left"/>
        <w:rPr>
          <w:rFonts w:ascii="宋体" w:hAnsi="宋体" w:cs="宋体"/>
        </w:rPr>
      </w:pPr>
      <w:r>
        <w:rPr>
          <w:rFonts w:hint="eastAsia" w:ascii="宋体" w:hAnsi="宋体" w:cs="宋体"/>
        </w:rPr>
        <w:t>C.公司承诺达到业绩条件时向员工无对价定向发行股票的计划</w:t>
      </w:r>
    </w:p>
    <w:p w14:paraId="097AE83B">
      <w:pPr>
        <w:jc w:val="left"/>
        <w:rPr>
          <w:rFonts w:ascii="宋体" w:hAnsi="宋体" w:cs="宋体"/>
        </w:rPr>
      </w:pPr>
      <w:r>
        <w:rPr>
          <w:rFonts w:hint="eastAsia" w:ascii="宋体" w:hAnsi="宋体" w:cs="宋体"/>
        </w:rPr>
        <w:t>D.授予研发人员以预期股价相对于基准日股价的上涨幅度为基础支付奖励款的计划</w:t>
      </w:r>
    </w:p>
    <w:p w14:paraId="2D2D80AF">
      <w:pPr>
        <w:jc w:val="left"/>
        <w:rPr>
          <w:rFonts w:ascii="宋体" w:hAnsi="宋体" w:cs="宋体"/>
        </w:rPr>
      </w:pPr>
      <w:r>
        <w:rPr>
          <w:rFonts w:hint="eastAsia" w:ascii="宋体" w:hAnsi="宋体" w:cs="宋体"/>
        </w:rPr>
        <w:t>答案：D</w:t>
      </w:r>
    </w:p>
    <w:p w14:paraId="5C576276">
      <w:pPr>
        <w:jc w:val="left"/>
        <w:rPr>
          <w:rFonts w:hint="eastAsia" w:ascii="宋体" w:hAnsi="宋体" w:cs="宋体"/>
        </w:rPr>
      </w:pPr>
      <w:r>
        <w:rPr>
          <w:rFonts w:hint="eastAsia" w:ascii="宋体" w:hAnsi="宋体" w:cs="宋体"/>
        </w:rPr>
        <w:t>解析：选项A、B和C，是企业为获取职工服务而以股份或其他权益工具作为对价进行结算的交易，属于以权益结算的股份支付；选项D，是企业为获取服务而承担的以股份或其他权益工具为基础计算的交付现金义务的交易，属于以现金结算的股份支付。</w:t>
      </w:r>
    </w:p>
    <w:p w14:paraId="72A241A4">
      <w:pPr>
        <w:jc w:val="left"/>
        <w:rPr>
          <w:rFonts w:hint="eastAsia" w:ascii="宋体" w:hAnsi="宋体" w:cs="宋体"/>
        </w:rPr>
      </w:pPr>
    </w:p>
    <w:p w14:paraId="786C5005">
      <w:pPr>
        <w:overflowPunct w:val="0"/>
        <w:jc w:val="center"/>
        <w:rPr>
          <w:rFonts w:ascii="宋体" w:hAnsi="宋体" w:cs="宋体"/>
          <w:b/>
          <w:bCs/>
        </w:rPr>
      </w:pPr>
      <w:r>
        <w:rPr>
          <w:rFonts w:hint="eastAsia" w:ascii="宋体" w:hAnsi="宋体" w:cs="宋体"/>
          <w:b/>
          <w:bCs/>
        </w:rPr>
        <w:t>第二节  股份支付的确认和计量</w:t>
      </w:r>
    </w:p>
    <w:p w14:paraId="1339A5E7">
      <w:pPr>
        <w:jc w:val="left"/>
        <w:rPr>
          <w:rFonts w:ascii="宋体" w:hAnsi="宋体" w:cs="宋体"/>
          <w:color w:val="FF0000"/>
        </w:rPr>
      </w:pPr>
      <w:r>
        <w:rPr>
          <w:rFonts w:hint="eastAsia" w:ascii="宋体" w:hAnsi="宋体" w:cs="宋体"/>
          <w:color w:val="FF0000"/>
        </w:rPr>
        <w:t>一、股份支付的确认和计量原则</w:t>
      </w:r>
    </w:p>
    <w:p w14:paraId="4EB118C1">
      <w:pPr>
        <w:jc w:val="left"/>
        <w:rPr>
          <w:rFonts w:ascii="宋体" w:hAnsi="宋体" w:cs="宋体"/>
        </w:rPr>
      </w:pPr>
      <w:r>
        <w:rPr>
          <w:rFonts w:hint="eastAsia" w:ascii="宋体" w:hAnsi="宋体" w:cs="宋体"/>
          <w:color w:val="FF0000"/>
        </w:rPr>
        <w:t>（1）权益结算</w:t>
      </w:r>
      <w:r>
        <w:rPr>
          <w:rFonts w:hint="eastAsia" w:ascii="宋体" w:hAnsi="宋体" w:cs="宋体"/>
        </w:rPr>
        <w:t>的股份支付的确认和计量原则</w:t>
      </w:r>
    </w:p>
    <w:p w14:paraId="643FDB66">
      <w:pPr>
        <w:jc w:val="left"/>
        <w:rPr>
          <w:rFonts w:ascii="宋体" w:hAnsi="宋体" w:cs="宋体"/>
          <w:color w:val="FF0000"/>
        </w:rPr>
      </w:pPr>
      <w:r>
        <w:rPr>
          <w:rFonts w:hint="eastAsia" w:ascii="宋体" w:hAnsi="宋体" w:cs="宋体"/>
          <w:color w:val="FF0000"/>
        </w:rPr>
        <w:t>换取职工服务</w:t>
      </w:r>
      <w:r>
        <w:rPr>
          <w:rFonts w:hint="eastAsia" w:ascii="宋体" w:hAnsi="宋体" w:cs="宋体"/>
        </w:rPr>
        <w:t>应按</w:t>
      </w:r>
      <w:r>
        <w:rPr>
          <w:rFonts w:hint="eastAsia" w:ascii="宋体" w:hAnsi="宋体" w:cs="宋体"/>
          <w:color w:val="FF0000"/>
        </w:rPr>
        <w:t xml:space="preserve">授予日权益工具的公允价值计量，不确认其后续公允价值变动。 </w:t>
      </w:r>
    </w:p>
    <w:p w14:paraId="24855D61">
      <w:pPr>
        <w:jc w:val="left"/>
        <w:rPr>
          <w:rFonts w:ascii="宋体" w:hAnsi="宋体" w:cs="宋体"/>
          <w:color w:val="FF0000"/>
        </w:rPr>
      </w:pPr>
      <w:r>
        <w:rPr>
          <w:rFonts w:hint="eastAsia" w:ascii="宋体" w:hAnsi="宋体" w:cs="宋体"/>
          <w:color w:val="FF0000"/>
        </w:rPr>
        <w:t>（记住：永远是授予日的公允价。）</w:t>
      </w:r>
    </w:p>
    <w:p w14:paraId="3295ACB8">
      <w:pPr>
        <w:jc w:val="left"/>
        <w:rPr>
          <w:rFonts w:ascii="宋体" w:hAnsi="宋体" w:cs="宋体"/>
        </w:rPr>
      </w:pPr>
      <w:r>
        <w:rPr>
          <w:rFonts w:hint="eastAsia" w:ascii="宋体" w:hAnsi="宋体" w:cs="宋体"/>
        </w:rPr>
        <w:t>对于</w:t>
      </w:r>
      <w:r>
        <w:rPr>
          <w:rFonts w:hint="eastAsia" w:ascii="宋体" w:hAnsi="宋体" w:cs="宋体"/>
          <w:color w:val="FF0000"/>
        </w:rPr>
        <w:t>换取职工服务</w:t>
      </w:r>
      <w:r>
        <w:rPr>
          <w:rFonts w:hint="eastAsia" w:ascii="宋体" w:hAnsi="宋体" w:cs="宋体"/>
        </w:rPr>
        <w:t>的股份支付，企业应当以股份支付所授予的</w:t>
      </w:r>
      <w:r>
        <w:rPr>
          <w:rFonts w:hint="eastAsia" w:ascii="宋体" w:hAnsi="宋体" w:cs="宋体"/>
          <w:color w:val="FF0000"/>
        </w:rPr>
        <w:t>权益工具的公允价值</w:t>
      </w:r>
      <w:r>
        <w:rPr>
          <w:rFonts w:hint="eastAsia" w:ascii="宋体" w:hAnsi="宋体" w:cs="宋体"/>
        </w:rPr>
        <w:t>计量。</w:t>
      </w:r>
    </w:p>
    <w:p w14:paraId="37C88F5A">
      <w:pPr>
        <w:jc w:val="left"/>
        <w:rPr>
          <w:rFonts w:ascii="宋体" w:hAnsi="宋体" w:cs="宋体"/>
          <w:color w:val="FF0000"/>
        </w:rPr>
      </w:pPr>
      <w:r>
        <w:rPr>
          <w:rFonts w:hint="eastAsia" w:ascii="宋体" w:hAnsi="宋体" w:cs="宋体"/>
        </w:rPr>
        <w:t>企业应在等待期内的</w:t>
      </w:r>
      <w:r>
        <w:rPr>
          <w:rFonts w:hint="eastAsia" w:ascii="宋体" w:hAnsi="宋体" w:cs="宋体"/>
          <w:color w:val="FF0000"/>
        </w:rPr>
        <w:t>每个资产负债表日，</w:t>
      </w:r>
      <w:r>
        <w:rPr>
          <w:rFonts w:hint="eastAsia" w:ascii="宋体" w:hAnsi="宋体" w:cs="宋体"/>
        </w:rPr>
        <w:t>以对可行权权益工具数量的</w:t>
      </w:r>
      <w:r>
        <w:rPr>
          <w:rFonts w:hint="eastAsia" w:ascii="宋体" w:hAnsi="宋体" w:cs="宋体"/>
          <w:color w:val="FF0000"/>
        </w:rPr>
        <w:t>最佳估计数</w:t>
      </w:r>
      <w:r>
        <w:rPr>
          <w:rFonts w:hint="eastAsia" w:ascii="宋体" w:hAnsi="宋体" w:cs="宋体"/>
        </w:rPr>
        <w:t>为基础，按照权益工具在</w:t>
      </w:r>
      <w:r>
        <w:rPr>
          <w:rFonts w:hint="eastAsia" w:ascii="宋体" w:hAnsi="宋体" w:cs="宋体"/>
          <w:color w:val="FF0000"/>
        </w:rPr>
        <w:t>授予日的公允价值</w:t>
      </w:r>
      <w:r>
        <w:rPr>
          <w:rFonts w:hint="eastAsia" w:ascii="宋体" w:hAnsi="宋体" w:cs="宋体"/>
        </w:rPr>
        <w:t>，将当期取得的服务</w:t>
      </w:r>
      <w:r>
        <w:rPr>
          <w:rFonts w:hint="eastAsia" w:ascii="宋体" w:hAnsi="宋体" w:cs="宋体"/>
          <w:color w:val="FF0000"/>
        </w:rPr>
        <w:t>计入相关资产成本或当期费用，</w:t>
      </w:r>
      <w:r>
        <w:rPr>
          <w:rFonts w:hint="eastAsia" w:ascii="宋体" w:hAnsi="宋体" w:cs="宋体"/>
        </w:rPr>
        <w:t>同时计入</w:t>
      </w:r>
      <w:r>
        <w:rPr>
          <w:rFonts w:hint="eastAsia" w:ascii="宋体" w:hAnsi="宋体" w:cs="宋体"/>
          <w:color w:val="FF0000"/>
        </w:rPr>
        <w:t xml:space="preserve">资本公积中的其他资本公积。   </w:t>
      </w:r>
    </w:p>
    <w:p w14:paraId="3B0E4B4A">
      <w:pPr>
        <w:jc w:val="left"/>
        <w:rPr>
          <w:rFonts w:ascii="宋体" w:hAnsi="宋体" w:cs="宋体"/>
        </w:rPr>
      </w:pPr>
      <w:r>
        <w:rPr>
          <w:rFonts w:hint="eastAsia" w:ascii="宋体" w:hAnsi="宋体" w:cs="宋体"/>
        </w:rPr>
        <w:t xml:space="preserve">借：管理费用  </w:t>
      </w:r>
    </w:p>
    <w:p w14:paraId="307716DC">
      <w:pPr>
        <w:jc w:val="left"/>
        <w:rPr>
          <w:rFonts w:ascii="宋体" w:hAnsi="宋体" w:cs="宋体"/>
        </w:rPr>
      </w:pPr>
      <w:r>
        <w:rPr>
          <w:rFonts w:hint="eastAsia" w:ascii="宋体" w:hAnsi="宋体" w:cs="宋体"/>
        </w:rPr>
        <w:t xml:space="preserve">   </w:t>
      </w:r>
      <w:r>
        <w:rPr>
          <w:rFonts w:hint="eastAsia" w:ascii="宋体" w:hAnsi="宋体" w:cs="宋体"/>
          <w:color w:val="FF0000"/>
        </w:rPr>
        <w:t>贷：资本公积—其他资本公积</w:t>
      </w:r>
    </w:p>
    <w:p w14:paraId="0F3B52A4">
      <w:pPr>
        <w:jc w:val="left"/>
        <w:rPr>
          <w:rFonts w:ascii="宋体" w:hAnsi="宋体" w:cs="宋体"/>
          <w:color w:val="FF0000"/>
        </w:rPr>
      </w:pPr>
      <w:r>
        <w:rPr>
          <w:rFonts w:hint="eastAsia" w:ascii="宋体" w:hAnsi="宋体" w:cs="宋体"/>
          <w:color w:val="FF0000"/>
        </w:rPr>
        <w:t>（2）现金结算的股份支付的确认和计量原则</w:t>
      </w:r>
    </w:p>
    <w:p w14:paraId="1CC999CF">
      <w:pPr>
        <w:jc w:val="left"/>
        <w:rPr>
          <w:rFonts w:ascii="宋体" w:hAnsi="宋体" w:cs="宋体"/>
        </w:rPr>
      </w:pPr>
      <w:r>
        <w:rPr>
          <w:rFonts w:hint="eastAsia" w:ascii="宋体" w:hAnsi="宋体" w:cs="宋体"/>
        </w:rPr>
        <w:t>企业应当在</w:t>
      </w:r>
      <w:r>
        <w:rPr>
          <w:rFonts w:hint="eastAsia" w:ascii="宋体" w:hAnsi="宋体" w:cs="宋体"/>
          <w:color w:val="FF0000"/>
        </w:rPr>
        <w:t>等待期按资产负债表日权益工具的公允价值</w:t>
      </w:r>
      <w:r>
        <w:rPr>
          <w:rFonts w:hint="eastAsia" w:ascii="宋体" w:hAnsi="宋体" w:cs="宋体"/>
        </w:rPr>
        <w:t>重新计量，确认成本费用和相应的应付职工薪酬；</w:t>
      </w:r>
    </w:p>
    <w:p w14:paraId="48A880BE">
      <w:pPr>
        <w:jc w:val="left"/>
        <w:rPr>
          <w:rFonts w:ascii="宋体" w:hAnsi="宋体" w:cs="宋体"/>
          <w:color w:val="FF0000"/>
        </w:rPr>
      </w:pPr>
      <w:r>
        <w:rPr>
          <w:rFonts w:hint="eastAsia" w:ascii="宋体" w:hAnsi="宋体" w:cs="宋体"/>
          <w:color w:val="FF0000"/>
        </w:rPr>
        <w:t xml:space="preserve">（记住：是每个期末的公允价，不固定。）  </w:t>
      </w:r>
    </w:p>
    <w:p w14:paraId="5AA52183">
      <w:pPr>
        <w:jc w:val="left"/>
        <w:rPr>
          <w:rFonts w:ascii="宋体" w:hAnsi="宋体" w:cs="宋体"/>
        </w:rPr>
      </w:pPr>
      <w:r>
        <w:rPr>
          <w:rFonts w:hint="eastAsia" w:ascii="宋体" w:hAnsi="宋体" w:cs="宋体"/>
        </w:rPr>
        <w:t>借：管理费用</w:t>
      </w:r>
    </w:p>
    <w:p w14:paraId="7FC15493">
      <w:pPr>
        <w:jc w:val="left"/>
        <w:rPr>
          <w:rFonts w:ascii="宋体" w:hAnsi="宋体" w:cs="宋体"/>
        </w:rPr>
      </w:pPr>
      <w:r>
        <w:rPr>
          <w:rFonts w:hint="eastAsia" w:ascii="宋体" w:hAnsi="宋体" w:cs="宋体"/>
        </w:rPr>
        <w:t xml:space="preserve">   贷：应付职工薪酬</w:t>
      </w:r>
    </w:p>
    <w:p w14:paraId="5F05EFB1">
      <w:pPr>
        <w:jc w:val="left"/>
        <w:rPr>
          <w:rFonts w:ascii="宋体" w:hAnsi="宋体" w:cs="宋体"/>
          <w:color w:val="FF0000"/>
        </w:rPr>
      </w:pPr>
      <w:r>
        <w:rPr>
          <w:rFonts w:hint="eastAsia" w:ascii="宋体" w:hAnsi="宋体" w:cs="宋体"/>
        </w:rPr>
        <w:t>并在</w:t>
      </w:r>
      <w:r>
        <w:rPr>
          <w:rFonts w:hint="eastAsia" w:ascii="宋体" w:hAnsi="宋体" w:cs="宋体"/>
          <w:color w:val="FF0000"/>
        </w:rPr>
        <w:t>结算前的每个资产负债表</w:t>
      </w:r>
      <w:r>
        <w:rPr>
          <w:rFonts w:hint="eastAsia" w:ascii="宋体" w:hAnsi="宋体" w:cs="宋体"/>
        </w:rPr>
        <w:t>日和</w:t>
      </w:r>
      <w:r>
        <w:rPr>
          <w:rFonts w:hint="eastAsia" w:ascii="宋体" w:hAnsi="宋体" w:cs="宋体"/>
          <w:color w:val="FF0000"/>
        </w:rPr>
        <w:t>结算日</w:t>
      </w:r>
      <w:r>
        <w:rPr>
          <w:rFonts w:hint="eastAsia" w:ascii="宋体" w:hAnsi="宋体" w:cs="宋体"/>
        </w:rPr>
        <w:t>对负债的公允价值</w:t>
      </w:r>
      <w:r>
        <w:rPr>
          <w:rFonts w:hint="eastAsia" w:ascii="宋体" w:hAnsi="宋体" w:cs="宋体"/>
          <w:color w:val="FF0000"/>
        </w:rPr>
        <w:t>重新计量，将其变动计入当期损益（公允价值变动损益）。</w:t>
      </w:r>
    </w:p>
    <w:p w14:paraId="7735F61C">
      <w:pPr>
        <w:jc w:val="left"/>
        <w:rPr>
          <w:rFonts w:ascii="宋体" w:hAnsi="宋体" w:cs="宋体"/>
        </w:rPr>
      </w:pPr>
      <w:r>
        <w:rPr>
          <w:rFonts w:hint="eastAsia" w:ascii="宋体" w:hAnsi="宋体" w:cs="宋体"/>
        </w:rPr>
        <w:t>借：应付职工薪酬</w:t>
      </w:r>
    </w:p>
    <w:p w14:paraId="4EE11214">
      <w:pPr>
        <w:jc w:val="left"/>
        <w:rPr>
          <w:rFonts w:ascii="宋体" w:hAnsi="宋体" w:cs="宋体"/>
        </w:rPr>
      </w:pPr>
      <w:r>
        <w:rPr>
          <w:rFonts w:hint="eastAsia" w:ascii="宋体" w:hAnsi="宋体" w:cs="宋体"/>
        </w:rPr>
        <w:t xml:space="preserve">   贷：银行存款等</w:t>
      </w:r>
    </w:p>
    <w:p w14:paraId="5C601A4F">
      <w:pPr>
        <w:jc w:val="left"/>
        <w:rPr>
          <w:rFonts w:ascii="宋体" w:hAnsi="宋体" w:cs="宋体"/>
          <w:color w:val="FF0000"/>
        </w:rPr>
      </w:pPr>
      <w:r>
        <w:rPr>
          <w:rFonts w:hint="eastAsia" w:ascii="宋体" w:hAnsi="宋体" w:cs="宋体"/>
          <w:color w:val="FF0000"/>
        </w:rPr>
        <w:t>借：公允价值变动损益</w:t>
      </w:r>
    </w:p>
    <w:p w14:paraId="49C083C4">
      <w:pPr>
        <w:jc w:val="left"/>
        <w:rPr>
          <w:rFonts w:ascii="宋体" w:hAnsi="宋体" w:cs="宋体"/>
        </w:rPr>
      </w:pPr>
      <w:r>
        <w:rPr>
          <w:rFonts w:hint="eastAsia" w:ascii="宋体" w:hAnsi="宋体" w:cs="宋体"/>
        </w:rPr>
        <w:t xml:space="preserve">   贷：应付职工薪酬 </w:t>
      </w:r>
    </w:p>
    <w:p w14:paraId="5CB657AC">
      <w:pPr>
        <w:jc w:val="left"/>
        <w:rPr>
          <w:rFonts w:ascii="宋体" w:hAnsi="宋体" w:cs="宋体"/>
          <w:color w:val="FF0000"/>
        </w:rPr>
      </w:pPr>
      <w:r>
        <w:rPr>
          <w:rFonts w:hint="eastAsia" w:ascii="宋体" w:hAnsi="宋体" w:cs="宋体"/>
          <w:color w:val="FF0000"/>
        </w:rPr>
        <w:t>二、可行权条件的种类、处理和修改</w:t>
      </w:r>
    </w:p>
    <w:p w14:paraId="02D45E0C">
      <w:pPr>
        <w:jc w:val="left"/>
        <w:rPr>
          <w:rFonts w:ascii="宋体" w:hAnsi="宋体" w:cs="宋体"/>
          <w:color w:val="FF0000"/>
        </w:rPr>
      </w:pPr>
      <w:r>
        <w:rPr>
          <w:rFonts w:hint="eastAsia" w:ascii="宋体" w:hAnsi="宋体" w:cs="宋体"/>
          <w:color w:val="FF0000"/>
        </w:rPr>
        <w:t>可行权条件</w:t>
      </w:r>
      <w:r>
        <w:rPr>
          <w:rFonts w:hint="eastAsia" w:ascii="宋体" w:hAnsi="宋体" w:cs="宋体"/>
        </w:rPr>
        <w:t>是指能够确定企业是否得到职工或其他方提供的服务、且该服务使职工或其他方具有获取股份支付协议规定的权益工具或现金等权利的条件；</w:t>
      </w:r>
      <w:r>
        <w:rPr>
          <w:rFonts w:hint="eastAsia" w:ascii="宋体" w:hAnsi="宋体" w:cs="宋体"/>
          <w:color w:val="FF0000"/>
        </w:rPr>
        <w:t>反之，为非可行权条件。</w:t>
      </w:r>
    </w:p>
    <w:p w14:paraId="7D594106">
      <w:pPr>
        <w:jc w:val="left"/>
        <w:rPr>
          <w:rFonts w:hint="eastAsia" w:ascii="宋体" w:hAnsi="宋体" w:cs="宋体"/>
          <w:color w:val="FF0000"/>
        </w:rPr>
      </w:pPr>
      <w:r>
        <w:rPr>
          <w:rFonts w:hint="eastAsia" w:ascii="宋体" w:hAnsi="宋体" w:cs="宋体"/>
          <w:color w:val="FF0000"/>
        </w:rPr>
        <w:t>（1）市场条件和非市场条件及其处理</w:t>
      </w:r>
    </w:p>
    <w:p w14:paraId="15A50812">
      <w:pPr>
        <w:jc w:val="left"/>
        <w:rPr>
          <w:rFonts w:ascii="宋体" w:hAnsi="宋体" w:cs="宋体"/>
        </w:rPr>
      </w:pPr>
      <w:r>
        <w:rPr>
          <w:rFonts w:hint="eastAsia" w:ascii="宋体" w:hAnsi="宋体" w:cs="宋体"/>
        </w:rPr>
        <w:drawing>
          <wp:inline distT="0" distB="0" distL="114300" distR="114300">
            <wp:extent cx="3812540" cy="1609090"/>
            <wp:effectExtent l="0" t="0" r="1651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841620" cy="1621445"/>
                    </a:xfrm>
                    <a:prstGeom prst="rect">
                      <a:avLst/>
                    </a:prstGeom>
                    <a:noFill/>
                    <a:ln>
                      <a:noFill/>
                    </a:ln>
                  </pic:spPr>
                </pic:pic>
              </a:graphicData>
            </a:graphic>
          </wp:inline>
        </w:drawing>
      </w:r>
    </w:p>
    <w:p w14:paraId="0DC36733">
      <w:pPr>
        <w:jc w:val="left"/>
        <w:rPr>
          <w:rFonts w:ascii="宋体" w:hAnsi="宋体" w:cs="宋体"/>
          <w:color w:val="FF0000"/>
        </w:rPr>
      </w:pPr>
      <w:r>
        <w:rPr>
          <w:rFonts w:hint="eastAsia" w:ascii="宋体" w:hAnsi="宋体" w:cs="宋体"/>
          <w:color w:val="FF0000"/>
        </w:rPr>
        <w:t>①服务期限条件：</w:t>
      </w:r>
    </w:p>
    <w:p w14:paraId="1FDF0E89">
      <w:pPr>
        <w:jc w:val="left"/>
        <w:rPr>
          <w:rFonts w:ascii="宋体" w:hAnsi="宋体" w:cs="宋体"/>
        </w:rPr>
      </w:pPr>
      <w:r>
        <w:rPr>
          <w:rFonts w:hint="eastAsia" w:ascii="宋体" w:hAnsi="宋体" w:cs="宋体"/>
        </w:rPr>
        <w:t>是指职工完成规定服务期限才可行权的条件。</w:t>
      </w:r>
    </w:p>
    <w:p w14:paraId="130E26E6">
      <w:pPr>
        <w:jc w:val="left"/>
        <w:rPr>
          <w:rFonts w:ascii="宋体" w:hAnsi="宋体" w:cs="宋体"/>
        </w:rPr>
      </w:pPr>
      <w:r>
        <w:rPr>
          <w:rFonts w:hint="eastAsia" w:ascii="宋体" w:hAnsi="宋体" w:cs="宋体"/>
          <w:color w:val="FF0000"/>
        </w:rPr>
        <w:t>【例】</w:t>
      </w:r>
      <w:r>
        <w:rPr>
          <w:rFonts w:hint="eastAsia" w:ascii="宋体" w:hAnsi="宋体" w:cs="宋体"/>
        </w:rPr>
        <w:t>服务期限条件：经股东大会批准，A公司实施股权激励计划，向其10名高管人员每人授予10万份股票期权。</w:t>
      </w:r>
      <w:r>
        <w:rPr>
          <w:rFonts w:hint="eastAsia" w:ascii="宋体" w:hAnsi="宋体" w:cs="宋体"/>
          <w:color w:val="FF0000"/>
        </w:rPr>
        <w:t>可行权条件为连续服务3年，</w:t>
      </w:r>
      <w:r>
        <w:rPr>
          <w:rFonts w:hint="eastAsia" w:ascii="宋体" w:hAnsi="宋体" w:cs="宋体"/>
        </w:rPr>
        <w:t>如果可行权的条件满足时，高管人员即可按低于市价的价格购买一定数量的本公司股票？</w:t>
      </w:r>
    </w:p>
    <w:p w14:paraId="4B624C34">
      <w:pPr>
        <w:jc w:val="left"/>
        <w:rPr>
          <w:rFonts w:ascii="宋体" w:hAnsi="宋体" w:cs="宋体"/>
          <w:color w:val="FF0000"/>
        </w:rPr>
      </w:pPr>
      <w:r>
        <w:rPr>
          <w:rFonts w:hint="eastAsia" w:ascii="宋体" w:hAnsi="宋体" w:cs="宋体"/>
          <w:color w:val="FF0000"/>
        </w:rPr>
        <w:t>等待期为3年，不需要单独计算等待期的长短。</w:t>
      </w:r>
    </w:p>
    <w:p w14:paraId="6E786F19">
      <w:pPr>
        <w:jc w:val="left"/>
        <w:rPr>
          <w:rFonts w:ascii="宋体" w:hAnsi="宋体" w:cs="宋体"/>
          <w:color w:val="FF0000"/>
        </w:rPr>
      </w:pPr>
      <w:r>
        <w:rPr>
          <w:rFonts w:hint="eastAsia" w:ascii="宋体" w:hAnsi="宋体" w:cs="宋体"/>
          <w:color w:val="FF0000"/>
        </w:rPr>
        <w:t xml:space="preserve">②业绩条件（市场条件和非市场条件）   </w:t>
      </w:r>
    </w:p>
    <w:p w14:paraId="7E232AB8">
      <w:pPr>
        <w:jc w:val="left"/>
        <w:rPr>
          <w:rFonts w:ascii="宋体" w:hAnsi="宋体" w:cs="宋体"/>
          <w:color w:val="FF0000"/>
        </w:rPr>
      </w:pPr>
      <w:r>
        <w:rPr>
          <w:rFonts w:hint="eastAsia" w:ascii="宋体" w:hAnsi="宋体" w:cs="宋体"/>
        </w:rPr>
        <w:t>指职工或其他方完成规定服务期限且企业达到特定业绩目标职工才可行权的条件，具体包括</w:t>
      </w:r>
      <w:r>
        <w:rPr>
          <w:rFonts w:hint="eastAsia" w:ascii="宋体" w:hAnsi="宋体" w:cs="宋体"/>
          <w:color w:val="FF0000"/>
        </w:rPr>
        <w:t>市场条件和非市场条件。</w:t>
      </w:r>
    </w:p>
    <w:p w14:paraId="26D4FC6E">
      <w:pPr>
        <w:jc w:val="left"/>
        <w:rPr>
          <w:rFonts w:ascii="宋体" w:hAnsi="宋体" w:cs="宋体"/>
          <w:color w:val="FF0000"/>
        </w:rPr>
      </w:pPr>
      <w:r>
        <w:rPr>
          <w:rFonts w:hint="eastAsia" w:ascii="宋体" w:hAnsi="宋体" w:cs="宋体"/>
          <w:color w:val="FF0000"/>
        </w:rPr>
        <w:t>1）市场条件</w:t>
      </w:r>
    </w:p>
    <w:p w14:paraId="7108A2B2">
      <w:pPr>
        <w:jc w:val="left"/>
        <w:rPr>
          <w:rFonts w:ascii="宋体" w:hAnsi="宋体" w:cs="宋体"/>
        </w:rPr>
      </w:pPr>
      <w:r>
        <w:rPr>
          <w:rFonts w:hint="eastAsia" w:ascii="宋体" w:hAnsi="宋体" w:cs="宋体"/>
        </w:rPr>
        <w:t>市场条件是指</w:t>
      </w:r>
      <w:r>
        <w:rPr>
          <w:rFonts w:hint="eastAsia" w:ascii="宋体" w:hAnsi="宋体" w:cs="宋体"/>
          <w:color w:val="FF0000"/>
        </w:rPr>
        <w:t>行权价格</w:t>
      </w:r>
      <w:r>
        <w:rPr>
          <w:rFonts w:hint="eastAsia" w:ascii="宋体" w:hAnsi="宋体" w:cs="宋体"/>
        </w:rPr>
        <w:t>、可行权条件以及行权可能性与</w:t>
      </w:r>
      <w:r>
        <w:rPr>
          <w:rFonts w:hint="eastAsia" w:ascii="宋体" w:hAnsi="宋体" w:cs="宋体"/>
          <w:color w:val="FF0000"/>
        </w:rPr>
        <w:t>权益工具的市场价格</w:t>
      </w:r>
      <w:r>
        <w:rPr>
          <w:rFonts w:hint="eastAsia" w:ascii="宋体" w:hAnsi="宋体" w:cs="宋体"/>
        </w:rPr>
        <w:t>相关的业绩条件，如股份支付协议中</w:t>
      </w:r>
      <w:r>
        <w:rPr>
          <w:rFonts w:hint="eastAsia" w:ascii="宋体" w:hAnsi="宋体" w:cs="宋体"/>
          <w:color w:val="FF0000"/>
        </w:rPr>
        <w:t>关于股价上升至何种水平</w:t>
      </w:r>
      <w:r>
        <w:rPr>
          <w:rFonts w:hint="eastAsia" w:ascii="宋体" w:hAnsi="宋体" w:cs="宋体"/>
        </w:rPr>
        <w:t xml:space="preserve">职工或其他方可相应取得多少股份的规定。 </w:t>
      </w:r>
    </w:p>
    <w:p w14:paraId="49AE7F23">
      <w:pPr>
        <w:jc w:val="left"/>
        <w:rPr>
          <w:rFonts w:ascii="宋体" w:hAnsi="宋体" w:cs="宋体"/>
        </w:rPr>
      </w:pPr>
      <w:r>
        <w:rPr>
          <w:rFonts w:hint="eastAsia" w:ascii="宋体" w:hAnsi="宋体" w:cs="宋体"/>
          <w:color w:val="FF0000"/>
        </w:rPr>
        <w:t>市场条件是否得到满足不影响企业对预计可行权情况的估计。</w:t>
      </w:r>
      <w:r>
        <w:rPr>
          <w:rFonts w:hint="eastAsia" w:ascii="宋体" w:hAnsi="宋体" w:cs="宋体"/>
        </w:rPr>
        <w:t>对于可行权条件为市场条件的股份支付，只要职工满足了其他所有非市场条件</w:t>
      </w:r>
      <w:r>
        <w:rPr>
          <w:rFonts w:hint="eastAsia" w:ascii="宋体" w:hAnsi="宋体" w:cs="宋体"/>
          <w:color w:val="FF0000"/>
        </w:rPr>
        <w:t>（如利润增长率、服务期限等）</w:t>
      </w:r>
      <w:r>
        <w:rPr>
          <w:rFonts w:hint="eastAsia" w:ascii="宋体" w:hAnsi="宋体" w:cs="宋体"/>
        </w:rPr>
        <w:t xml:space="preserve">，企业就应当确认已取得的服务。 </w:t>
      </w:r>
    </w:p>
    <w:p w14:paraId="74A54B69">
      <w:pPr>
        <w:jc w:val="left"/>
        <w:rPr>
          <w:rFonts w:ascii="宋体" w:hAnsi="宋体" w:cs="宋体"/>
          <w:color w:val="FF0000"/>
        </w:rPr>
      </w:pPr>
      <w:r>
        <w:rPr>
          <w:rFonts w:hint="eastAsia" w:ascii="宋体" w:hAnsi="宋体" w:cs="宋体"/>
          <w:color w:val="FF0000"/>
        </w:rPr>
        <w:t>2）非市场条件</w:t>
      </w:r>
    </w:p>
    <w:p w14:paraId="15156D0F">
      <w:pPr>
        <w:jc w:val="left"/>
        <w:rPr>
          <w:rFonts w:ascii="宋体" w:hAnsi="宋体" w:cs="宋体"/>
        </w:rPr>
      </w:pPr>
      <w:r>
        <w:rPr>
          <w:rFonts w:hint="eastAsia" w:ascii="宋体" w:hAnsi="宋体" w:cs="宋体"/>
        </w:rPr>
        <w:t>非市场条件是指除市场条件之外的其他业绩条件，如股份支付协议中关于达到</w:t>
      </w:r>
      <w:r>
        <w:rPr>
          <w:rFonts w:hint="eastAsia" w:ascii="宋体" w:hAnsi="宋体" w:cs="宋体"/>
          <w:color w:val="FF0000"/>
        </w:rPr>
        <w:t>最低盈利目标或销售目标</w:t>
      </w:r>
      <w:r>
        <w:rPr>
          <w:rFonts w:hint="eastAsia" w:ascii="宋体" w:hAnsi="宋体" w:cs="宋体"/>
        </w:rPr>
        <w:t xml:space="preserve">才可行权的规定。 </w:t>
      </w:r>
    </w:p>
    <w:p w14:paraId="266CAEAC">
      <w:pPr>
        <w:jc w:val="left"/>
        <w:rPr>
          <w:rFonts w:ascii="宋体" w:hAnsi="宋体" w:cs="宋体"/>
        </w:rPr>
      </w:pPr>
      <w:r>
        <w:rPr>
          <w:rFonts w:hint="eastAsia" w:ascii="宋体" w:hAnsi="宋体" w:cs="宋体"/>
        </w:rPr>
        <w:t>股份支付存在非市场条件的，只有职工满足了非市场条件（如利润增长率、服务期限等），企业才应当确认已取得的服务。</w:t>
      </w:r>
    </w:p>
    <w:p w14:paraId="63CF1E76">
      <w:pPr>
        <w:jc w:val="left"/>
        <w:rPr>
          <w:rFonts w:ascii="宋体" w:hAnsi="宋体" w:cs="宋体"/>
        </w:rPr>
      </w:pPr>
      <w:r>
        <w:rPr>
          <w:rFonts w:hint="eastAsia" w:ascii="宋体" w:hAnsi="宋体" w:cs="宋体"/>
        </w:rPr>
        <w:t>即</w:t>
      </w:r>
      <w:r>
        <w:rPr>
          <w:rFonts w:hint="eastAsia" w:ascii="宋体" w:hAnsi="宋体" w:cs="宋体"/>
          <w:color w:val="FF0000"/>
        </w:rPr>
        <w:t>非市场条件是否得到满足影响企业对预计可行权情况的估计</w:t>
      </w:r>
      <w:r>
        <w:rPr>
          <w:rFonts w:hint="eastAsia" w:ascii="宋体" w:hAnsi="宋体" w:cs="宋体"/>
        </w:rPr>
        <w:t>。即没有满足非市场条件时，不应确认相关费用。</w:t>
      </w:r>
    </w:p>
    <w:p w14:paraId="29A36C06">
      <w:pPr>
        <w:jc w:val="left"/>
        <w:rPr>
          <w:rFonts w:ascii="宋体" w:hAnsi="宋体" w:cs="宋体"/>
        </w:rPr>
      </w:pPr>
      <w:r>
        <w:rPr>
          <w:rFonts w:hint="eastAsia" w:ascii="宋体" w:hAnsi="宋体" w:cs="宋体"/>
          <w:color w:val="FF0000"/>
        </w:rPr>
        <w:t>【例10-1】</w:t>
      </w:r>
      <w:r>
        <w:rPr>
          <w:rFonts w:hint="eastAsia" w:ascii="宋体" w:hAnsi="宋体" w:cs="宋体"/>
        </w:rPr>
        <w:t>2023年1月，为奖励并激励高管，上市公司A公司与其管理层成员签署股份支付协议，规定如果管理层成员在其后</w:t>
      </w:r>
      <w:r>
        <w:rPr>
          <w:rFonts w:hint="eastAsia" w:ascii="宋体" w:hAnsi="宋体" w:cs="宋体"/>
          <w:color w:val="FF0000"/>
        </w:rPr>
        <w:t>3年中</w:t>
      </w:r>
      <w:r>
        <w:rPr>
          <w:rFonts w:hint="eastAsia" w:ascii="宋体" w:hAnsi="宋体" w:cs="宋体"/>
        </w:rPr>
        <w:t>都在公司中任职服务，并且公司</w:t>
      </w:r>
      <w:r>
        <w:rPr>
          <w:rFonts w:hint="eastAsia" w:ascii="宋体" w:hAnsi="宋体" w:cs="宋体"/>
          <w:color w:val="FF0000"/>
        </w:rPr>
        <w:t>股价每年均提高10%以上</w:t>
      </w:r>
      <w:r>
        <w:rPr>
          <w:rFonts w:hint="eastAsia" w:ascii="宋体" w:hAnsi="宋体" w:cs="宋体"/>
        </w:rPr>
        <w:t>，管理层成员即可以低于市价的价格购买一定数量的本公司股票。</w:t>
      </w:r>
    </w:p>
    <w:p w14:paraId="5B07E2BB">
      <w:pPr>
        <w:jc w:val="left"/>
        <w:rPr>
          <w:rFonts w:ascii="宋体" w:hAnsi="宋体" w:cs="宋体"/>
          <w:color w:val="FF0000"/>
        </w:rPr>
      </w:pPr>
      <w:r>
        <w:rPr>
          <w:rFonts w:hint="eastAsia" w:ascii="宋体" w:hAnsi="宋体" w:cs="宋体"/>
        </w:rPr>
        <w:t>同时作为协议的</w:t>
      </w:r>
      <w:r>
        <w:rPr>
          <w:rFonts w:hint="eastAsia" w:ascii="宋体" w:hAnsi="宋体" w:cs="宋体"/>
          <w:color w:val="FF0000"/>
        </w:rPr>
        <w:t>补充</w:t>
      </w:r>
      <w:r>
        <w:rPr>
          <w:rFonts w:hint="eastAsia" w:ascii="宋体" w:hAnsi="宋体" w:cs="宋体"/>
        </w:rPr>
        <w:t>，公司把全体管理层成员的年薪提高了50 000元，但公司将这部分年薪按月存入公司专门建立的内部基金，3年后，管理层成员可用属于其个人的部分抵减未来行权时支付的购买股票款项。</w:t>
      </w:r>
      <w:r>
        <w:rPr>
          <w:rFonts w:hint="eastAsia" w:ascii="宋体" w:hAnsi="宋体" w:cs="宋体"/>
          <w:color w:val="FF0000"/>
        </w:rPr>
        <w:t xml:space="preserve">如果管理层成员决定退出这项基金，可随时全额提取。 </w:t>
      </w:r>
    </w:p>
    <w:p w14:paraId="00BA68BF">
      <w:pPr>
        <w:jc w:val="left"/>
        <w:rPr>
          <w:rFonts w:ascii="宋体" w:hAnsi="宋体" w:cs="宋体"/>
          <w:color w:val="FF0000"/>
        </w:rPr>
      </w:pPr>
      <w:r>
        <w:rPr>
          <w:rFonts w:hint="eastAsia" w:ascii="宋体" w:hAnsi="宋体" w:cs="宋体"/>
        </w:rPr>
        <w:t>A公司以期权定价模型估计授予的此项期权在授予日的公允价值为</w:t>
      </w:r>
      <w:r>
        <w:rPr>
          <w:rFonts w:hint="eastAsia" w:ascii="宋体" w:hAnsi="宋体" w:cs="宋体"/>
          <w:color w:val="FF0000"/>
        </w:rPr>
        <w:t>3 000 000元。（300万）</w:t>
      </w:r>
    </w:p>
    <w:p w14:paraId="0578A5B9">
      <w:pPr>
        <w:jc w:val="left"/>
        <w:rPr>
          <w:rFonts w:ascii="宋体" w:hAnsi="宋体" w:cs="宋体"/>
        </w:rPr>
      </w:pPr>
      <w:r>
        <w:rPr>
          <w:rFonts w:hint="eastAsia" w:ascii="宋体" w:hAnsi="宋体" w:cs="宋体"/>
          <w:color w:val="FF0000"/>
        </w:rPr>
        <w:t>在授予日，</w:t>
      </w:r>
      <w:r>
        <w:rPr>
          <w:rFonts w:hint="eastAsia" w:ascii="宋体" w:hAnsi="宋体" w:cs="宋体"/>
        </w:rPr>
        <w:t>A公司估计3年内管理层离职的比例为每年10%；第二年年末，A公司调整其估计离职率为</w:t>
      </w:r>
      <w:r>
        <w:rPr>
          <w:rFonts w:hint="eastAsia" w:ascii="宋体" w:hAnsi="宋体" w:cs="宋体"/>
          <w:color w:val="FF0000"/>
        </w:rPr>
        <w:t>5%；</w:t>
      </w:r>
      <w:r>
        <w:rPr>
          <w:rFonts w:hint="eastAsia" w:ascii="宋体" w:hAnsi="宋体" w:cs="宋体"/>
        </w:rPr>
        <w:t>到第三年年末，公司实际离职率为</w:t>
      </w:r>
      <w:r>
        <w:rPr>
          <w:rFonts w:hint="eastAsia" w:ascii="宋体" w:hAnsi="宋体" w:cs="宋体"/>
          <w:color w:val="FF0000"/>
        </w:rPr>
        <w:t>6%</w:t>
      </w:r>
      <w:r>
        <w:rPr>
          <w:rFonts w:hint="eastAsia" w:ascii="宋体" w:hAnsi="宋体" w:cs="宋体"/>
        </w:rPr>
        <w:t>。</w:t>
      </w:r>
    </w:p>
    <w:p w14:paraId="03C7D18B">
      <w:pPr>
        <w:jc w:val="left"/>
        <w:rPr>
          <w:rFonts w:ascii="宋体" w:hAnsi="宋体" w:cs="宋体"/>
        </w:rPr>
      </w:pPr>
      <w:r>
        <w:rPr>
          <w:rFonts w:hint="eastAsia" w:ascii="宋体" w:hAnsi="宋体" w:cs="宋体"/>
        </w:rPr>
        <w:t>在第一年中，公司股价</w:t>
      </w:r>
      <w:r>
        <w:rPr>
          <w:rFonts w:hint="eastAsia" w:ascii="宋体" w:hAnsi="宋体" w:cs="宋体"/>
          <w:color w:val="FF0000"/>
        </w:rPr>
        <w:t>提高了10.5%，</w:t>
      </w:r>
      <w:r>
        <w:rPr>
          <w:rFonts w:hint="eastAsia" w:ascii="宋体" w:hAnsi="宋体" w:cs="宋体"/>
        </w:rPr>
        <w:t>第二年提高了</w:t>
      </w:r>
      <w:r>
        <w:rPr>
          <w:rFonts w:hint="eastAsia" w:ascii="宋体" w:hAnsi="宋体" w:cs="宋体"/>
          <w:color w:val="FF0000"/>
        </w:rPr>
        <w:t>11%，</w:t>
      </w:r>
      <w:r>
        <w:rPr>
          <w:rFonts w:hint="eastAsia" w:ascii="宋体" w:hAnsi="宋体" w:cs="宋体"/>
        </w:rPr>
        <w:t>第三年提高了</w:t>
      </w:r>
      <w:r>
        <w:rPr>
          <w:rFonts w:hint="eastAsia" w:ascii="宋体" w:hAnsi="宋体" w:cs="宋体"/>
          <w:color w:val="FF0000"/>
        </w:rPr>
        <w:t>6%</w:t>
      </w:r>
      <w:r>
        <w:rPr>
          <w:rFonts w:hint="eastAsia" w:ascii="宋体" w:hAnsi="宋体" w:cs="宋体"/>
        </w:rPr>
        <w:t>。公司在第一年、第二年年末均预计下年能实现当年股价增长10%以上的目标。</w:t>
      </w:r>
    </w:p>
    <w:p w14:paraId="10465C80">
      <w:pPr>
        <w:jc w:val="left"/>
        <w:rPr>
          <w:rFonts w:ascii="宋体" w:hAnsi="宋体" w:cs="宋体"/>
          <w:color w:val="FF0000"/>
        </w:rPr>
      </w:pPr>
      <w:r>
        <w:rPr>
          <w:rFonts w:hint="eastAsia" w:ascii="宋体" w:hAnsi="宋体" w:cs="宋体"/>
          <w:color w:val="FF0000"/>
        </w:rPr>
        <w:t xml:space="preserve">请问此例中涉及哪些条款和条件？A公司应如何处理？ </w:t>
      </w:r>
    </w:p>
    <w:p w14:paraId="470CE96E">
      <w:pPr>
        <w:jc w:val="left"/>
        <w:rPr>
          <w:rFonts w:ascii="宋体" w:hAnsi="宋体" w:cs="宋体"/>
          <w:color w:val="FF0000"/>
        </w:rPr>
      </w:pPr>
      <w:r>
        <w:rPr>
          <w:rFonts w:hint="eastAsia" w:ascii="宋体" w:hAnsi="宋体" w:cs="宋体"/>
          <w:color w:val="FF0000"/>
        </w:rPr>
        <w:t>【分析】</w:t>
      </w:r>
      <w:r>
        <w:rPr>
          <w:rFonts w:hint="eastAsia" w:ascii="宋体" w:hAnsi="宋体" w:cs="宋体"/>
        </w:rPr>
        <w:t>如果不同时满足</w:t>
      </w:r>
      <w:r>
        <w:rPr>
          <w:rFonts w:hint="eastAsia" w:ascii="宋体" w:hAnsi="宋体" w:cs="宋体"/>
          <w:color w:val="FF0000"/>
        </w:rPr>
        <w:t>服务3年</w:t>
      </w:r>
      <w:r>
        <w:rPr>
          <w:rFonts w:hint="eastAsia" w:ascii="宋体" w:hAnsi="宋体" w:cs="宋体"/>
        </w:rPr>
        <w:t>和</w:t>
      </w:r>
      <w:r>
        <w:rPr>
          <w:rFonts w:hint="eastAsia" w:ascii="宋体" w:hAnsi="宋体" w:cs="宋体"/>
          <w:color w:val="FF0000"/>
        </w:rPr>
        <w:t>公司股价年增长10%以上</w:t>
      </w:r>
      <w:r>
        <w:rPr>
          <w:rFonts w:hint="eastAsia" w:ascii="宋体" w:hAnsi="宋体" w:cs="宋体"/>
        </w:rPr>
        <w:t>的要求，管理层成员就无权行使其股票期权，因此两者都属于</w:t>
      </w:r>
      <w:r>
        <w:rPr>
          <w:rFonts w:hint="eastAsia" w:ascii="宋体" w:hAnsi="宋体" w:cs="宋体"/>
          <w:color w:val="FF0000"/>
        </w:rPr>
        <w:t>可行权条件。</w:t>
      </w:r>
    </w:p>
    <w:p w14:paraId="2C4FA040">
      <w:pPr>
        <w:jc w:val="left"/>
        <w:rPr>
          <w:rFonts w:ascii="宋体" w:hAnsi="宋体" w:cs="宋体"/>
          <w:color w:val="FF0000"/>
        </w:rPr>
      </w:pPr>
      <w:r>
        <w:rPr>
          <w:rFonts w:hint="eastAsia" w:ascii="宋体" w:hAnsi="宋体" w:cs="宋体"/>
        </w:rPr>
        <w:t>其中服务满3年是一项</w:t>
      </w:r>
      <w:r>
        <w:rPr>
          <w:rFonts w:hint="eastAsia" w:ascii="宋体" w:hAnsi="宋体" w:cs="宋体"/>
          <w:color w:val="FF0000"/>
        </w:rPr>
        <w:t>服务期限条件</w:t>
      </w:r>
      <w:r>
        <w:rPr>
          <w:rFonts w:hint="eastAsia" w:ascii="宋体" w:hAnsi="宋体" w:cs="宋体"/>
        </w:rPr>
        <w:t>，10%的股价增长要求是一项</w:t>
      </w:r>
      <w:r>
        <w:rPr>
          <w:rFonts w:hint="eastAsia" w:ascii="宋体" w:hAnsi="宋体" w:cs="宋体"/>
          <w:color w:val="FF0000"/>
        </w:rPr>
        <w:t>市场业绩条件。</w:t>
      </w:r>
    </w:p>
    <w:p w14:paraId="04179A18">
      <w:pPr>
        <w:jc w:val="left"/>
        <w:rPr>
          <w:rFonts w:ascii="宋体" w:hAnsi="宋体" w:cs="宋体"/>
          <w:color w:val="FF0000"/>
        </w:rPr>
      </w:pPr>
      <w:r>
        <w:rPr>
          <w:rFonts w:hint="eastAsia" w:ascii="宋体" w:hAnsi="宋体" w:cs="宋体"/>
        </w:rPr>
        <w:t>虽然公司要求管理层成员将</w:t>
      </w:r>
      <w:r>
        <w:rPr>
          <w:rFonts w:hint="eastAsia" w:ascii="宋体" w:hAnsi="宋体" w:cs="宋体"/>
          <w:color w:val="FF0000"/>
        </w:rPr>
        <w:t>部分薪金存入统一账户保管</w:t>
      </w:r>
      <w:r>
        <w:rPr>
          <w:rFonts w:hint="eastAsia" w:ascii="宋体" w:hAnsi="宋体" w:cs="宋体"/>
        </w:rPr>
        <w:t>，但不影响其可行权，因此统一账户条款是</w:t>
      </w:r>
      <w:r>
        <w:rPr>
          <w:rFonts w:hint="eastAsia" w:ascii="宋体" w:hAnsi="宋体" w:cs="宋体"/>
          <w:color w:val="FF0000"/>
        </w:rPr>
        <w:t>非可行权条件。</w:t>
      </w:r>
    </w:p>
    <w:p w14:paraId="1F075FE8">
      <w:pPr>
        <w:jc w:val="left"/>
        <w:rPr>
          <w:rFonts w:ascii="宋体" w:hAnsi="宋体" w:cs="宋体"/>
        </w:rPr>
      </w:pPr>
      <w:r>
        <w:rPr>
          <w:rFonts w:hint="eastAsia" w:ascii="宋体" w:hAnsi="宋体" w:cs="宋体"/>
        </w:rPr>
        <w:t>按照股份支付准则规定：</w:t>
      </w:r>
    </w:p>
    <w:p w14:paraId="3B6ADF1C">
      <w:pPr>
        <w:jc w:val="left"/>
        <w:rPr>
          <w:rFonts w:ascii="宋体" w:hAnsi="宋体" w:cs="宋体"/>
          <w:color w:val="FF0000"/>
        </w:rPr>
      </w:pPr>
      <w:r>
        <w:rPr>
          <w:rFonts w:hint="eastAsia" w:ascii="宋体" w:hAnsi="宋体" w:cs="宋体"/>
          <w:color w:val="FF0000"/>
        </w:rPr>
        <w:t>第一年末确认服务费用为：</w:t>
      </w:r>
    </w:p>
    <w:p w14:paraId="3F61EE53">
      <w:pPr>
        <w:jc w:val="left"/>
        <w:rPr>
          <w:rFonts w:ascii="宋体" w:hAnsi="宋体" w:cs="宋体"/>
        </w:rPr>
      </w:pPr>
      <w:r>
        <w:rPr>
          <w:rFonts w:hint="eastAsia" w:ascii="宋体" w:hAnsi="宋体" w:cs="宋体"/>
        </w:rPr>
        <w:t>3 000 000 ×1/3×90%= 900 000（元）</w:t>
      </w:r>
    </w:p>
    <w:p w14:paraId="532A3026">
      <w:pPr>
        <w:jc w:val="left"/>
        <w:rPr>
          <w:rFonts w:ascii="宋体" w:hAnsi="宋体" w:cs="宋体"/>
        </w:rPr>
      </w:pPr>
      <w:r>
        <w:rPr>
          <w:rFonts w:hint="eastAsia" w:ascii="宋体" w:hAnsi="宋体" w:cs="宋体"/>
        </w:rPr>
        <w:t>第二年末累计确认服务费用为：</w:t>
      </w:r>
    </w:p>
    <w:p w14:paraId="387F6EB5">
      <w:pPr>
        <w:jc w:val="left"/>
        <w:rPr>
          <w:rFonts w:ascii="宋体" w:hAnsi="宋体" w:cs="宋体"/>
        </w:rPr>
      </w:pPr>
      <w:r>
        <w:rPr>
          <w:rFonts w:hint="eastAsia" w:ascii="宋体" w:hAnsi="宋体" w:cs="宋体"/>
        </w:rPr>
        <w:t>3 000 000 ×2/3×95%=1 900 000（元）</w:t>
      </w:r>
    </w:p>
    <w:p w14:paraId="5206CDD8">
      <w:pPr>
        <w:jc w:val="left"/>
        <w:rPr>
          <w:rFonts w:ascii="宋体" w:hAnsi="宋体" w:cs="宋体"/>
          <w:color w:val="FF0000"/>
        </w:rPr>
      </w:pPr>
      <w:r>
        <w:rPr>
          <w:rFonts w:hint="eastAsia" w:ascii="宋体" w:hAnsi="宋体" w:cs="宋体"/>
          <w:color w:val="FF0000"/>
        </w:rPr>
        <w:t>由此，第二年应确认的费用为：</w:t>
      </w:r>
    </w:p>
    <w:p w14:paraId="2C1F4DB7">
      <w:pPr>
        <w:jc w:val="left"/>
        <w:rPr>
          <w:rFonts w:ascii="宋体" w:hAnsi="宋体" w:cs="宋体"/>
          <w:color w:val="FF0000"/>
        </w:rPr>
      </w:pPr>
      <w:r>
        <w:rPr>
          <w:rFonts w:hint="eastAsia" w:ascii="宋体" w:hAnsi="宋体" w:cs="宋体"/>
          <w:color w:val="FF0000"/>
        </w:rPr>
        <w:t>1 900 000-900 000= 1 000 000（元）</w:t>
      </w:r>
    </w:p>
    <w:p w14:paraId="25F52326">
      <w:pPr>
        <w:jc w:val="left"/>
        <w:rPr>
          <w:rFonts w:ascii="宋体" w:hAnsi="宋体" w:cs="宋体"/>
        </w:rPr>
      </w:pPr>
      <w:r>
        <w:rPr>
          <w:rFonts w:hint="eastAsia" w:ascii="宋体" w:hAnsi="宋体" w:cs="宋体"/>
        </w:rPr>
        <w:t>第三年末累计应确认的服务费用为：</w:t>
      </w:r>
    </w:p>
    <w:p w14:paraId="7E78F0E5">
      <w:pPr>
        <w:jc w:val="left"/>
        <w:rPr>
          <w:rFonts w:ascii="宋体" w:hAnsi="宋体" w:cs="宋体"/>
        </w:rPr>
      </w:pPr>
      <w:r>
        <w:rPr>
          <w:rFonts w:hint="eastAsia" w:ascii="宋体" w:hAnsi="宋体" w:cs="宋体"/>
        </w:rPr>
        <w:t>3 000 000×94%= 2 820 000（元）</w:t>
      </w:r>
    </w:p>
    <w:p w14:paraId="398A14F1">
      <w:pPr>
        <w:jc w:val="left"/>
        <w:rPr>
          <w:rFonts w:ascii="宋体" w:hAnsi="宋体" w:cs="宋体"/>
          <w:color w:val="FF0000"/>
        </w:rPr>
      </w:pPr>
      <w:r>
        <w:rPr>
          <w:rFonts w:hint="eastAsia" w:ascii="宋体" w:hAnsi="宋体" w:cs="宋体"/>
          <w:color w:val="FF0000"/>
        </w:rPr>
        <w:t>第三年应确认的费用为：</w:t>
      </w:r>
    </w:p>
    <w:p w14:paraId="71A84700">
      <w:pPr>
        <w:jc w:val="left"/>
        <w:rPr>
          <w:rFonts w:ascii="宋体" w:hAnsi="宋体" w:cs="宋体"/>
          <w:color w:val="FF0000"/>
        </w:rPr>
      </w:pPr>
      <w:r>
        <w:rPr>
          <w:rFonts w:hint="eastAsia" w:ascii="宋体" w:hAnsi="宋体" w:cs="宋体"/>
          <w:color w:val="FF0000"/>
        </w:rPr>
        <w:t>2 820 000-1 900 000= 920 000（元）</w:t>
      </w:r>
    </w:p>
    <w:p w14:paraId="25CF1029">
      <w:pPr>
        <w:jc w:val="left"/>
        <w:rPr>
          <w:rFonts w:hint="eastAsia" w:ascii="宋体" w:hAnsi="宋体" w:cs="宋体"/>
          <w:color w:val="FF0000"/>
        </w:rPr>
      </w:pPr>
      <w:r>
        <w:rPr>
          <w:rFonts w:hint="eastAsia" w:ascii="宋体" w:hAnsi="宋体" w:cs="宋体"/>
        </w:rPr>
        <w:t>最后，94%的管理层成员满足了市场条件之外的全部可行权条件。尽管股价年增长10%以上的市场条件未得到满足，</w:t>
      </w:r>
      <w:r>
        <w:rPr>
          <w:rFonts w:hint="eastAsia" w:ascii="宋体" w:hAnsi="宋体" w:cs="宋体"/>
          <w:color w:val="FF0000"/>
        </w:rPr>
        <w:t xml:space="preserve">A公司在3年的年末也均确认了收到的管理层提供的服务，并相应确认了费用。 </w:t>
      </w:r>
    </w:p>
    <w:p w14:paraId="624E4A52">
      <w:pPr>
        <w:overflowPunct w:val="0"/>
        <w:jc w:val="center"/>
        <w:rPr>
          <w:rFonts w:ascii="宋体" w:hAnsi="宋体" w:cs="宋体"/>
          <w:b/>
          <w:bCs/>
        </w:rPr>
      </w:pPr>
      <w:r>
        <w:rPr>
          <w:rFonts w:hint="eastAsia" w:ascii="宋体" w:hAnsi="宋体" w:cs="宋体"/>
          <w:b/>
          <w:bCs/>
        </w:rPr>
        <w:t>第二节  股份支付的确认和计量</w:t>
      </w:r>
    </w:p>
    <w:p w14:paraId="2A5C4C75">
      <w:pPr>
        <w:jc w:val="left"/>
        <w:rPr>
          <w:rFonts w:ascii="宋体" w:hAnsi="宋体" w:cs="宋体"/>
          <w:color w:val="FF0000"/>
        </w:rPr>
      </w:pPr>
      <w:r>
        <w:rPr>
          <w:rFonts w:hint="eastAsia" w:ascii="宋体" w:hAnsi="宋体" w:cs="宋体"/>
          <w:color w:val="FF0000"/>
        </w:rPr>
        <w:t>（2）股份支付条件和条款的修改</w:t>
      </w:r>
    </w:p>
    <w:p w14:paraId="3E6CD48B">
      <w:pPr>
        <w:jc w:val="left"/>
        <w:rPr>
          <w:rFonts w:ascii="宋体" w:hAnsi="宋体" w:cs="宋体"/>
          <w:color w:val="FF0000"/>
        </w:rPr>
      </w:pPr>
      <w:r>
        <w:rPr>
          <w:rFonts w:hint="eastAsia" w:ascii="宋体" w:hAnsi="宋体" w:cs="宋体"/>
        </w:rPr>
        <w:t>①条款和条件的</w:t>
      </w:r>
      <w:r>
        <w:rPr>
          <w:rFonts w:hint="eastAsia" w:ascii="宋体" w:hAnsi="宋体" w:cs="宋体"/>
          <w:color w:val="FF0000"/>
        </w:rPr>
        <w:t>有利修改</w:t>
      </w:r>
    </w:p>
    <w:p w14:paraId="433A7F48">
      <w:pPr>
        <w:jc w:val="left"/>
        <w:rPr>
          <w:rFonts w:ascii="宋体" w:hAnsi="宋体" w:cs="宋体"/>
          <w:color w:val="FF0000"/>
        </w:rPr>
      </w:pPr>
      <w:r>
        <w:rPr>
          <w:rFonts w:hint="eastAsia" w:ascii="宋体" w:hAnsi="宋体" w:cs="宋体"/>
        </w:rPr>
        <w:t>应考虑修改后的可行权条件，将</w:t>
      </w:r>
      <w:r>
        <w:rPr>
          <w:rFonts w:hint="eastAsia" w:ascii="宋体" w:hAnsi="宋体" w:cs="宋体"/>
          <w:color w:val="FF0000"/>
        </w:rPr>
        <w:t>增加的权益工具的公允价值相应地确认为取得服务的增加。</w:t>
      </w:r>
    </w:p>
    <w:p w14:paraId="67C8C39B">
      <w:pPr>
        <w:jc w:val="left"/>
        <w:rPr>
          <w:rFonts w:ascii="宋体" w:hAnsi="宋体" w:cs="宋体"/>
          <w:color w:val="FF0000"/>
        </w:rPr>
      </w:pPr>
      <w:r>
        <w:rPr>
          <w:rFonts w:hint="eastAsia" w:ascii="宋体" w:hAnsi="宋体" w:cs="宋体"/>
        </w:rPr>
        <w:t>②条款和条件的</w:t>
      </w:r>
      <w:r>
        <w:rPr>
          <w:rFonts w:hint="eastAsia" w:ascii="宋体" w:hAnsi="宋体" w:cs="宋体"/>
          <w:color w:val="FF0000"/>
        </w:rPr>
        <w:t>不利修改</w:t>
      </w:r>
    </w:p>
    <w:p w14:paraId="4EC1BA7F">
      <w:pPr>
        <w:jc w:val="left"/>
        <w:rPr>
          <w:rFonts w:ascii="宋体" w:hAnsi="宋体" w:cs="宋体"/>
        </w:rPr>
      </w:pPr>
      <w:r>
        <w:rPr>
          <w:rFonts w:hint="eastAsia" w:ascii="宋体" w:hAnsi="宋体" w:cs="宋体"/>
          <w:color w:val="FF0000"/>
        </w:rPr>
        <w:t>如同该变更从未发生，</w:t>
      </w:r>
      <w:r>
        <w:rPr>
          <w:rFonts w:hint="eastAsia" w:ascii="宋体" w:hAnsi="宋体" w:cs="宋体"/>
        </w:rPr>
        <w:t>除非企业取消了部分或全部已授予的权益工具。</w:t>
      </w:r>
    </w:p>
    <w:p w14:paraId="2AFAAEBE">
      <w:pPr>
        <w:jc w:val="left"/>
        <w:rPr>
          <w:rFonts w:ascii="宋体" w:hAnsi="宋体" w:cs="宋体"/>
          <w:color w:val="FF0000"/>
        </w:rPr>
      </w:pPr>
      <w:r>
        <w:rPr>
          <w:rFonts w:hint="eastAsia" w:ascii="宋体" w:hAnsi="宋体" w:cs="宋体"/>
          <w:color w:val="FF0000"/>
        </w:rPr>
        <w:t>三、股份支付的处理</w:t>
      </w:r>
    </w:p>
    <w:p w14:paraId="082AB960">
      <w:pPr>
        <w:jc w:val="left"/>
        <w:rPr>
          <w:rFonts w:ascii="宋体" w:hAnsi="宋体" w:cs="宋体"/>
          <w:color w:val="FF0000"/>
        </w:rPr>
      </w:pPr>
      <w:r>
        <w:rPr>
          <w:rFonts w:hint="eastAsia" w:ascii="宋体" w:hAnsi="宋体" w:cs="宋体"/>
          <w:color w:val="FF0000"/>
        </w:rPr>
        <w:t>（一）权益结算</w:t>
      </w:r>
    </w:p>
    <w:p w14:paraId="7EC54EE8">
      <w:pPr>
        <w:jc w:val="left"/>
        <w:rPr>
          <w:rFonts w:ascii="宋体" w:hAnsi="宋体" w:cs="宋体"/>
          <w:color w:val="FF0000"/>
        </w:rPr>
      </w:pPr>
      <w:r>
        <w:rPr>
          <w:rFonts w:hint="eastAsia" w:ascii="宋体" w:hAnsi="宋体" w:cs="宋体"/>
          <w:color w:val="FF0000"/>
        </w:rPr>
        <w:t>（1）授予日</w:t>
      </w:r>
    </w:p>
    <w:p w14:paraId="0A94705E">
      <w:pPr>
        <w:jc w:val="left"/>
        <w:rPr>
          <w:rFonts w:ascii="宋体" w:hAnsi="宋体" w:cs="宋体"/>
          <w:color w:val="FF0000"/>
        </w:rPr>
      </w:pPr>
      <w:r>
        <w:rPr>
          <w:rFonts w:hint="eastAsia" w:ascii="宋体" w:hAnsi="宋体" w:cs="宋体"/>
        </w:rPr>
        <w:t>除了立即可行权的股份支付外，</w:t>
      </w:r>
      <w:r>
        <w:rPr>
          <w:rFonts w:hint="eastAsia" w:ascii="宋体" w:hAnsi="宋体" w:cs="宋体"/>
          <w:color w:val="FF0000"/>
        </w:rPr>
        <w:t>企业在授予日不做会计处理。</w:t>
      </w:r>
    </w:p>
    <w:p w14:paraId="0A0FE740">
      <w:pPr>
        <w:jc w:val="left"/>
        <w:rPr>
          <w:rFonts w:ascii="宋体" w:hAnsi="宋体" w:cs="宋体"/>
          <w:color w:val="FF0000"/>
        </w:rPr>
      </w:pPr>
      <w:r>
        <w:rPr>
          <w:rFonts w:hint="eastAsia" w:ascii="宋体" w:hAnsi="宋体" w:cs="宋体"/>
          <w:color w:val="FF0000"/>
        </w:rPr>
        <w:t>（2）等待期内每个资产负债表日</w:t>
      </w:r>
    </w:p>
    <w:p w14:paraId="1F94A06B">
      <w:pPr>
        <w:jc w:val="left"/>
        <w:rPr>
          <w:rFonts w:ascii="宋体" w:hAnsi="宋体" w:cs="宋体"/>
          <w:color w:val="FF0000"/>
        </w:rPr>
      </w:pPr>
      <w:r>
        <w:rPr>
          <w:rFonts w:hint="eastAsia" w:ascii="宋体" w:hAnsi="宋体" w:cs="宋体"/>
        </w:rPr>
        <w:t>将取得职工或其他方提供的服务</w:t>
      </w:r>
      <w:r>
        <w:rPr>
          <w:rFonts w:hint="eastAsia" w:ascii="宋体" w:hAnsi="宋体" w:cs="宋体"/>
          <w:color w:val="FF0000"/>
        </w:rPr>
        <w:t>计入成本费用，同时</w:t>
      </w:r>
      <w:r>
        <w:rPr>
          <w:rFonts w:hint="eastAsia" w:ascii="宋体" w:hAnsi="宋体" w:cs="宋体"/>
        </w:rPr>
        <w:t>按照</w:t>
      </w:r>
      <w:r>
        <w:rPr>
          <w:rFonts w:hint="eastAsia" w:ascii="宋体" w:hAnsi="宋体" w:cs="宋体"/>
          <w:color w:val="FF0000"/>
        </w:rPr>
        <w:t>授予日权益工具的公允价值</w:t>
      </w:r>
      <w:r>
        <w:rPr>
          <w:rFonts w:hint="eastAsia" w:ascii="宋体" w:hAnsi="宋体" w:cs="宋体"/>
        </w:rPr>
        <w:t>计入资本公积</w:t>
      </w:r>
      <w:r>
        <w:rPr>
          <w:rFonts w:hint="eastAsia" w:ascii="宋体" w:hAnsi="宋体" w:cs="宋体"/>
          <w:color w:val="FF0000"/>
        </w:rPr>
        <w:t>（其他资本公积），不确认其后续公允价值变动。</w:t>
      </w:r>
    </w:p>
    <w:p w14:paraId="5846A90B">
      <w:pPr>
        <w:jc w:val="left"/>
        <w:rPr>
          <w:rFonts w:ascii="宋体" w:hAnsi="宋体" w:cs="宋体"/>
        </w:rPr>
      </w:pPr>
      <w:r>
        <w:rPr>
          <w:rFonts w:hint="eastAsia" w:ascii="宋体" w:hAnsi="宋体" w:cs="宋体"/>
        </w:rPr>
        <w:t>借：管理费用等</w:t>
      </w:r>
    </w:p>
    <w:p w14:paraId="5E1D7B66">
      <w:pPr>
        <w:jc w:val="left"/>
        <w:rPr>
          <w:rFonts w:ascii="宋体" w:hAnsi="宋体" w:cs="宋体"/>
          <w:color w:val="FF0000"/>
        </w:rPr>
      </w:pPr>
      <w:r>
        <w:rPr>
          <w:rFonts w:hint="eastAsia" w:ascii="宋体" w:hAnsi="宋体" w:cs="宋体"/>
        </w:rPr>
        <w:t xml:space="preserve">   贷：资本公积—其他资本公积</w:t>
      </w:r>
      <w:r>
        <w:rPr>
          <w:rFonts w:hint="eastAsia" w:ascii="宋体" w:hAnsi="宋体" w:cs="宋体"/>
          <w:color w:val="FF0000"/>
        </w:rPr>
        <w:t>（授予日公允）</w:t>
      </w:r>
    </w:p>
    <w:p w14:paraId="38B164BF">
      <w:pPr>
        <w:jc w:val="left"/>
        <w:rPr>
          <w:rFonts w:ascii="宋体" w:hAnsi="宋体" w:cs="宋体"/>
          <w:color w:val="FF0000"/>
        </w:rPr>
      </w:pPr>
      <w:r>
        <w:rPr>
          <w:rFonts w:hint="eastAsia" w:ascii="宋体" w:hAnsi="宋体" w:cs="宋体"/>
          <w:color w:val="FF0000"/>
        </w:rPr>
        <w:t>（3）可行权日之后</w:t>
      </w:r>
    </w:p>
    <w:p w14:paraId="4D8C99DD">
      <w:pPr>
        <w:jc w:val="left"/>
        <w:rPr>
          <w:rFonts w:ascii="宋体" w:hAnsi="宋体" w:cs="宋体"/>
        </w:rPr>
      </w:pPr>
      <w:r>
        <w:rPr>
          <w:rFonts w:hint="eastAsia" w:ascii="宋体" w:hAnsi="宋体" w:cs="宋体"/>
        </w:rPr>
        <w:t>在可行权日之后</w:t>
      </w:r>
      <w:r>
        <w:rPr>
          <w:rFonts w:hint="eastAsia" w:ascii="宋体" w:hAnsi="宋体" w:cs="宋体"/>
          <w:color w:val="FF0000"/>
        </w:rPr>
        <w:t>不再</w:t>
      </w:r>
      <w:r>
        <w:rPr>
          <w:rFonts w:hint="eastAsia" w:ascii="宋体" w:hAnsi="宋体" w:cs="宋体"/>
        </w:rPr>
        <w:t>对已确认的成本费用和所有者权益总额进行</w:t>
      </w:r>
      <w:r>
        <w:rPr>
          <w:rFonts w:hint="eastAsia" w:ascii="宋体" w:hAnsi="宋体" w:cs="宋体"/>
          <w:color w:val="FF0000"/>
        </w:rPr>
        <w:t>调整。行权时：</w:t>
      </w:r>
      <w:r>
        <w:rPr>
          <w:rFonts w:hint="eastAsia" w:ascii="宋体" w:hAnsi="宋体" w:cs="宋体"/>
        </w:rPr>
        <w:t xml:space="preserve">    </w:t>
      </w:r>
    </w:p>
    <w:p w14:paraId="451ED016">
      <w:pPr>
        <w:jc w:val="left"/>
        <w:rPr>
          <w:rFonts w:ascii="宋体" w:hAnsi="宋体" w:cs="宋体"/>
        </w:rPr>
      </w:pPr>
      <w:r>
        <w:rPr>
          <w:rFonts w:hint="eastAsia" w:ascii="宋体" w:hAnsi="宋体" w:cs="宋体"/>
        </w:rPr>
        <w:t>借：银行存款</w:t>
      </w:r>
    </w:p>
    <w:p w14:paraId="4CC42219">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资本公积——其他资本公积</w:t>
      </w:r>
    </w:p>
    <w:p w14:paraId="5DD318EB">
      <w:pPr>
        <w:jc w:val="left"/>
        <w:rPr>
          <w:rFonts w:ascii="宋体" w:hAnsi="宋体" w:cs="宋体"/>
        </w:rPr>
      </w:pPr>
      <w:r>
        <w:rPr>
          <w:rFonts w:hint="eastAsia" w:ascii="宋体" w:hAnsi="宋体" w:cs="宋体"/>
        </w:rPr>
        <w:t xml:space="preserve">   贷：股本（或库存股）</w:t>
      </w:r>
    </w:p>
    <w:p w14:paraId="4F24CA04">
      <w:pPr>
        <w:jc w:val="left"/>
        <w:rPr>
          <w:rFonts w:ascii="宋体" w:hAnsi="宋体" w:cs="宋体"/>
        </w:rPr>
      </w:pPr>
      <w:r>
        <w:rPr>
          <w:rFonts w:hint="eastAsia" w:ascii="宋体" w:hAnsi="宋体" w:cs="宋体"/>
        </w:rPr>
        <w:t xml:space="preserve">     </w:t>
      </w:r>
      <w:r>
        <w:rPr>
          <w:rFonts w:hint="eastAsia" w:ascii="宋体" w:hAnsi="宋体" w:cs="宋体"/>
          <w:color w:val="FF0000"/>
        </w:rPr>
        <w:t xml:space="preserve">  资本公积——股本溢价 </w:t>
      </w:r>
    </w:p>
    <w:p w14:paraId="78DF4726">
      <w:pPr>
        <w:jc w:val="left"/>
        <w:rPr>
          <w:rFonts w:ascii="宋体" w:hAnsi="宋体" w:cs="宋体"/>
          <w:color w:val="FF0000"/>
        </w:rPr>
      </w:pPr>
      <w:r>
        <w:rPr>
          <w:rFonts w:hint="eastAsia" w:ascii="宋体" w:hAnsi="宋体" w:cs="宋体"/>
          <w:color w:val="FF0000"/>
        </w:rPr>
        <w:t>【例10-2】A</w:t>
      </w:r>
      <w:r>
        <w:rPr>
          <w:rFonts w:hint="eastAsia" w:ascii="宋体" w:hAnsi="宋体" w:cs="宋体"/>
        </w:rPr>
        <w:t>公司为一上市公司。2019年1月1日，公司向其</w:t>
      </w:r>
      <w:r>
        <w:rPr>
          <w:rFonts w:hint="eastAsia" w:ascii="宋体" w:hAnsi="宋体" w:cs="宋体"/>
          <w:color w:val="FF0000"/>
        </w:rPr>
        <w:t>200名管理人员</w:t>
      </w:r>
      <w:r>
        <w:rPr>
          <w:rFonts w:hint="eastAsia" w:ascii="宋体" w:hAnsi="宋体" w:cs="宋体"/>
        </w:rPr>
        <w:t>每人授予</w:t>
      </w:r>
      <w:r>
        <w:rPr>
          <w:rFonts w:hint="eastAsia" w:ascii="宋体" w:hAnsi="宋体" w:cs="宋体"/>
          <w:color w:val="FF0000"/>
        </w:rPr>
        <w:t>100股股票期权，</w:t>
      </w:r>
      <w:r>
        <w:rPr>
          <w:rFonts w:hint="eastAsia" w:ascii="宋体" w:hAnsi="宋体" w:cs="宋体"/>
        </w:rPr>
        <w:t>这些职员从2019年1月1日起在该公司</w:t>
      </w:r>
      <w:r>
        <w:rPr>
          <w:rFonts w:hint="eastAsia" w:ascii="宋体" w:hAnsi="宋体" w:cs="宋体"/>
          <w:color w:val="FF0000"/>
        </w:rPr>
        <w:t>连续服务3年</w:t>
      </w:r>
      <w:r>
        <w:rPr>
          <w:rFonts w:hint="eastAsia" w:ascii="宋体" w:hAnsi="宋体" w:cs="宋体"/>
        </w:rPr>
        <w:t>，即可以</w:t>
      </w:r>
      <w:r>
        <w:rPr>
          <w:rFonts w:hint="eastAsia" w:ascii="宋体" w:hAnsi="宋体" w:cs="宋体"/>
          <w:color w:val="FF0000"/>
        </w:rPr>
        <w:t>4元</w:t>
      </w:r>
      <w:r>
        <w:rPr>
          <w:rFonts w:hint="eastAsia" w:ascii="宋体" w:hAnsi="宋体" w:cs="宋体"/>
        </w:rPr>
        <w:t>每股购买100股A公司股票，从而获益。公司估计该期权在</w:t>
      </w:r>
      <w:r>
        <w:rPr>
          <w:rFonts w:hint="eastAsia" w:ascii="宋体" w:hAnsi="宋体" w:cs="宋体"/>
          <w:color w:val="FF0000"/>
        </w:rPr>
        <w:t>授予日的公允价值为15元。</w:t>
      </w:r>
    </w:p>
    <w:p w14:paraId="55BC132F">
      <w:pPr>
        <w:jc w:val="left"/>
        <w:rPr>
          <w:rFonts w:ascii="宋体" w:hAnsi="宋体" w:cs="宋体"/>
          <w:color w:val="FF0000"/>
        </w:rPr>
      </w:pPr>
      <w:r>
        <w:rPr>
          <w:rFonts w:hint="eastAsia" w:ascii="宋体" w:hAnsi="宋体" w:cs="宋体"/>
        </w:rPr>
        <w:t>第一年有20名职员离开A公司，A公司估计三年中离开的职员的比例将达到20%</w:t>
      </w:r>
      <w:r>
        <w:rPr>
          <w:rFonts w:hint="eastAsia" w:ascii="宋体" w:hAnsi="宋体" w:cs="宋体"/>
          <w:color w:val="FF0000"/>
        </w:rPr>
        <w:t>（1-20%）；</w:t>
      </w:r>
    </w:p>
    <w:p w14:paraId="264447C2">
      <w:pPr>
        <w:jc w:val="left"/>
        <w:rPr>
          <w:rFonts w:ascii="宋体" w:hAnsi="宋体" w:cs="宋体"/>
          <w:color w:val="FF0000"/>
        </w:rPr>
      </w:pPr>
      <w:r>
        <w:rPr>
          <w:rFonts w:hint="eastAsia" w:ascii="宋体" w:hAnsi="宋体" w:cs="宋体"/>
        </w:rPr>
        <w:t>第二年又有10名职员离开公司，公司将估计的职员离开比例修正为15%</w:t>
      </w:r>
      <w:r>
        <w:rPr>
          <w:rFonts w:hint="eastAsia" w:ascii="宋体" w:hAnsi="宋体" w:cs="宋体"/>
          <w:color w:val="FF0000"/>
        </w:rPr>
        <w:t>（1-15%）；</w:t>
      </w:r>
    </w:p>
    <w:p w14:paraId="5EEDE28B">
      <w:pPr>
        <w:jc w:val="left"/>
        <w:rPr>
          <w:rFonts w:ascii="宋体" w:hAnsi="宋体" w:cs="宋体"/>
          <w:color w:val="FF0000"/>
        </w:rPr>
      </w:pPr>
      <w:r>
        <w:rPr>
          <w:rFonts w:hint="eastAsia" w:ascii="宋体" w:hAnsi="宋体" w:cs="宋体"/>
        </w:rPr>
        <w:t>第三年又有15名职员离开。</w:t>
      </w:r>
      <w:r>
        <w:rPr>
          <w:rFonts w:hint="eastAsia" w:ascii="宋体" w:hAnsi="宋体" w:cs="宋体"/>
          <w:color w:val="FF0000"/>
        </w:rPr>
        <w:t>（200-20-10-15=155人）。</w:t>
      </w:r>
    </w:p>
    <w:p w14:paraId="62CA1D59">
      <w:pPr>
        <w:jc w:val="left"/>
        <w:rPr>
          <w:rFonts w:ascii="宋体" w:hAnsi="宋体" w:cs="宋体"/>
        </w:rPr>
      </w:pPr>
      <w:r>
        <w:rPr>
          <w:rFonts w:hint="eastAsia" w:ascii="宋体" w:hAnsi="宋体" w:cs="宋体"/>
        </w:rPr>
        <w:t>（1）费用和资本公积计算过程如表10-1所示。</w:t>
      </w:r>
    </w:p>
    <w:p w14:paraId="64695946">
      <w:pPr>
        <w:jc w:val="left"/>
        <w:rPr>
          <w:rFonts w:hint="eastAsia" w:ascii="宋体" w:hAnsi="宋体" w:cs="宋体"/>
        </w:rPr>
      </w:pPr>
      <w:r>
        <w:rPr>
          <w:rFonts w:hint="eastAsia" w:ascii="宋体" w:hAnsi="宋体" w:cs="宋体"/>
        </w:rPr>
        <w:t xml:space="preserve">               表10-1                                 单位：元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5074"/>
        <w:gridCol w:w="2031"/>
        <w:gridCol w:w="2021"/>
      </w:tblGrid>
      <w:tr w14:paraId="0844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2EE6013">
            <w:pPr>
              <w:overflowPunct w:val="0"/>
              <w:jc w:val="center"/>
              <w:rPr>
                <w:rFonts w:ascii="宋体" w:hAnsi="宋体" w:cs="宋体"/>
              </w:rPr>
            </w:pPr>
            <w:r>
              <w:rPr>
                <w:rFonts w:hint="eastAsia" w:ascii="宋体" w:hAnsi="宋体" w:cs="宋体"/>
              </w:rPr>
              <w:t>年份</w:t>
            </w:r>
          </w:p>
        </w:tc>
        <w:tc>
          <w:tcPr>
            <w:tcW w:w="2503" w:type="pct"/>
          </w:tcPr>
          <w:p w14:paraId="67FEDE74">
            <w:pPr>
              <w:overflowPunct w:val="0"/>
              <w:jc w:val="center"/>
              <w:rPr>
                <w:rFonts w:ascii="宋体" w:hAnsi="宋体" w:cs="宋体"/>
              </w:rPr>
            </w:pPr>
            <w:r>
              <w:rPr>
                <w:rFonts w:hint="eastAsia" w:ascii="宋体" w:hAnsi="宋体" w:cs="宋体"/>
              </w:rPr>
              <w:t>计算</w:t>
            </w:r>
          </w:p>
        </w:tc>
        <w:tc>
          <w:tcPr>
            <w:tcW w:w="1002" w:type="pct"/>
          </w:tcPr>
          <w:p w14:paraId="73E56FD1">
            <w:pPr>
              <w:overflowPunct w:val="0"/>
              <w:jc w:val="center"/>
              <w:rPr>
                <w:rFonts w:ascii="宋体" w:hAnsi="宋体" w:cs="宋体"/>
              </w:rPr>
            </w:pPr>
            <w:r>
              <w:rPr>
                <w:rFonts w:hint="eastAsia" w:ascii="宋体" w:hAnsi="宋体" w:cs="宋体"/>
              </w:rPr>
              <w:t>当期费用</w:t>
            </w:r>
          </w:p>
        </w:tc>
        <w:tc>
          <w:tcPr>
            <w:tcW w:w="997" w:type="pct"/>
          </w:tcPr>
          <w:p w14:paraId="7CCFE5EE">
            <w:pPr>
              <w:overflowPunct w:val="0"/>
              <w:jc w:val="center"/>
              <w:rPr>
                <w:rFonts w:ascii="宋体" w:hAnsi="宋体" w:cs="宋体"/>
              </w:rPr>
            </w:pPr>
            <w:r>
              <w:rPr>
                <w:rFonts w:hint="eastAsia" w:ascii="宋体" w:hAnsi="宋体" w:cs="宋体"/>
              </w:rPr>
              <w:t>累计费用</w:t>
            </w:r>
          </w:p>
        </w:tc>
      </w:tr>
      <w:tr w14:paraId="2947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E59D7BD">
            <w:pPr>
              <w:overflowPunct w:val="0"/>
              <w:jc w:val="center"/>
              <w:rPr>
                <w:rFonts w:ascii="宋体" w:hAnsi="宋体" w:cs="宋体"/>
              </w:rPr>
            </w:pPr>
            <w:r>
              <w:rPr>
                <w:rFonts w:hint="eastAsia" w:ascii="宋体" w:hAnsi="宋体" w:cs="宋体"/>
              </w:rPr>
              <w:t>2019</w:t>
            </w:r>
          </w:p>
        </w:tc>
        <w:tc>
          <w:tcPr>
            <w:tcW w:w="2503" w:type="pct"/>
          </w:tcPr>
          <w:p w14:paraId="566963A5">
            <w:pPr>
              <w:overflowPunct w:val="0"/>
              <w:jc w:val="center"/>
              <w:rPr>
                <w:rFonts w:ascii="宋体" w:hAnsi="宋体" w:cs="宋体"/>
              </w:rPr>
            </w:pPr>
            <w:r>
              <w:rPr>
                <w:rFonts w:hint="eastAsia" w:ascii="宋体" w:hAnsi="宋体" w:cs="宋体"/>
              </w:rPr>
              <w:t>200×100×（1-20%）×</w:t>
            </w:r>
            <w:r>
              <w:rPr>
                <w:rFonts w:hint="eastAsia" w:ascii="宋体" w:hAnsi="宋体" w:cs="宋体"/>
                <w:color w:val="FF0000"/>
              </w:rPr>
              <w:t>15</w:t>
            </w:r>
            <w:r>
              <w:rPr>
                <w:rFonts w:hint="eastAsia" w:ascii="宋体" w:hAnsi="宋体" w:cs="宋体"/>
              </w:rPr>
              <w:t>×1/3</w:t>
            </w:r>
          </w:p>
        </w:tc>
        <w:tc>
          <w:tcPr>
            <w:tcW w:w="1002" w:type="pct"/>
          </w:tcPr>
          <w:p w14:paraId="3EFAB8A5">
            <w:pPr>
              <w:overflowPunct w:val="0"/>
              <w:jc w:val="center"/>
              <w:rPr>
                <w:rFonts w:ascii="宋体" w:hAnsi="宋体" w:cs="宋体"/>
                <w:color w:val="FF0000"/>
              </w:rPr>
            </w:pPr>
            <w:r>
              <w:rPr>
                <w:rFonts w:hint="eastAsia" w:ascii="宋体" w:hAnsi="宋体" w:cs="宋体"/>
                <w:color w:val="FF0000"/>
              </w:rPr>
              <w:t>80 000</w:t>
            </w:r>
          </w:p>
        </w:tc>
        <w:tc>
          <w:tcPr>
            <w:tcW w:w="997" w:type="pct"/>
          </w:tcPr>
          <w:p w14:paraId="6728D8D7">
            <w:pPr>
              <w:overflowPunct w:val="0"/>
              <w:jc w:val="center"/>
              <w:rPr>
                <w:rFonts w:ascii="宋体" w:hAnsi="宋体" w:cs="宋体"/>
              </w:rPr>
            </w:pPr>
            <w:r>
              <w:rPr>
                <w:rFonts w:hint="eastAsia" w:ascii="宋体" w:hAnsi="宋体" w:cs="宋体"/>
              </w:rPr>
              <w:t>80 000</w:t>
            </w:r>
          </w:p>
        </w:tc>
      </w:tr>
      <w:tr w14:paraId="7E27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tcPr>
          <w:p w14:paraId="0E7BCE03">
            <w:pPr>
              <w:overflowPunct w:val="0"/>
              <w:jc w:val="center"/>
              <w:rPr>
                <w:rFonts w:ascii="宋体" w:hAnsi="宋体" w:cs="宋体"/>
              </w:rPr>
            </w:pPr>
            <w:r>
              <w:rPr>
                <w:rFonts w:hint="eastAsia" w:ascii="宋体" w:hAnsi="宋体" w:cs="宋体"/>
              </w:rPr>
              <w:t>2020</w:t>
            </w:r>
          </w:p>
        </w:tc>
        <w:tc>
          <w:tcPr>
            <w:tcW w:w="2503" w:type="pct"/>
          </w:tcPr>
          <w:p w14:paraId="452E669B">
            <w:pPr>
              <w:overflowPunct w:val="0"/>
              <w:jc w:val="center"/>
              <w:rPr>
                <w:rFonts w:ascii="宋体" w:hAnsi="宋体" w:cs="宋体"/>
              </w:rPr>
            </w:pPr>
            <w:r>
              <w:rPr>
                <w:rFonts w:hint="eastAsia" w:ascii="宋体" w:hAnsi="宋体" w:cs="宋体"/>
              </w:rPr>
              <w:t>200×100×（1-15%）×</w:t>
            </w:r>
            <w:r>
              <w:rPr>
                <w:rFonts w:hint="eastAsia" w:ascii="宋体" w:hAnsi="宋体" w:cs="宋体"/>
                <w:color w:val="FF0000"/>
              </w:rPr>
              <w:t>15</w:t>
            </w:r>
            <w:r>
              <w:rPr>
                <w:rFonts w:hint="eastAsia" w:ascii="宋体" w:hAnsi="宋体" w:cs="宋体"/>
              </w:rPr>
              <w:t>×2/3-80 000</w:t>
            </w:r>
          </w:p>
        </w:tc>
        <w:tc>
          <w:tcPr>
            <w:tcW w:w="1002" w:type="pct"/>
          </w:tcPr>
          <w:p w14:paraId="1663BBD9">
            <w:pPr>
              <w:overflowPunct w:val="0"/>
              <w:jc w:val="center"/>
              <w:rPr>
                <w:rFonts w:ascii="宋体" w:hAnsi="宋体" w:cs="宋体"/>
                <w:color w:val="FF0000"/>
              </w:rPr>
            </w:pPr>
            <w:r>
              <w:rPr>
                <w:rFonts w:hint="eastAsia" w:ascii="宋体" w:hAnsi="宋体" w:cs="宋体"/>
                <w:color w:val="FF0000"/>
              </w:rPr>
              <w:t>90 000</w:t>
            </w:r>
          </w:p>
        </w:tc>
        <w:tc>
          <w:tcPr>
            <w:tcW w:w="997" w:type="pct"/>
          </w:tcPr>
          <w:p w14:paraId="35AF87FE">
            <w:pPr>
              <w:overflowPunct w:val="0"/>
              <w:jc w:val="center"/>
              <w:rPr>
                <w:rFonts w:ascii="宋体" w:hAnsi="宋体" w:cs="宋体"/>
              </w:rPr>
            </w:pPr>
            <w:r>
              <w:rPr>
                <w:rFonts w:hint="eastAsia" w:ascii="宋体" w:hAnsi="宋体" w:cs="宋体"/>
              </w:rPr>
              <w:t>170 000</w:t>
            </w:r>
          </w:p>
        </w:tc>
      </w:tr>
      <w:tr w14:paraId="4E78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tcPr>
          <w:p w14:paraId="2F11BF4E">
            <w:pPr>
              <w:overflowPunct w:val="0"/>
              <w:jc w:val="center"/>
              <w:rPr>
                <w:rFonts w:ascii="宋体" w:hAnsi="宋体" w:cs="宋体"/>
              </w:rPr>
            </w:pPr>
            <w:r>
              <w:rPr>
                <w:rFonts w:hint="eastAsia" w:ascii="宋体" w:hAnsi="宋体" w:cs="宋体"/>
              </w:rPr>
              <w:t>2021</w:t>
            </w:r>
          </w:p>
        </w:tc>
        <w:tc>
          <w:tcPr>
            <w:tcW w:w="2503" w:type="pct"/>
          </w:tcPr>
          <w:p w14:paraId="0AF1EC4F">
            <w:pPr>
              <w:overflowPunct w:val="0"/>
              <w:jc w:val="center"/>
              <w:rPr>
                <w:rFonts w:ascii="宋体" w:hAnsi="宋体" w:cs="宋体"/>
              </w:rPr>
            </w:pPr>
            <w:r>
              <w:rPr>
                <w:rFonts w:hint="eastAsia" w:ascii="宋体" w:hAnsi="宋体" w:cs="宋体"/>
              </w:rPr>
              <w:t>155×100×</w:t>
            </w:r>
            <w:r>
              <w:rPr>
                <w:rFonts w:hint="eastAsia" w:ascii="宋体" w:hAnsi="宋体" w:cs="宋体"/>
                <w:color w:val="FF0000"/>
              </w:rPr>
              <w:t>15</w:t>
            </w:r>
            <w:r>
              <w:rPr>
                <w:rFonts w:hint="eastAsia" w:ascii="宋体" w:hAnsi="宋体" w:cs="宋体"/>
              </w:rPr>
              <w:t>-170 000</w:t>
            </w:r>
          </w:p>
        </w:tc>
        <w:tc>
          <w:tcPr>
            <w:tcW w:w="1002" w:type="pct"/>
          </w:tcPr>
          <w:p w14:paraId="3DEF9BAE">
            <w:pPr>
              <w:overflowPunct w:val="0"/>
              <w:jc w:val="center"/>
              <w:rPr>
                <w:rFonts w:ascii="宋体" w:hAnsi="宋体" w:cs="宋体"/>
                <w:color w:val="FF0000"/>
              </w:rPr>
            </w:pPr>
            <w:r>
              <w:rPr>
                <w:rFonts w:hint="eastAsia" w:ascii="宋体" w:hAnsi="宋体" w:cs="宋体"/>
                <w:color w:val="FF0000"/>
              </w:rPr>
              <w:t>62 500</w:t>
            </w:r>
          </w:p>
        </w:tc>
        <w:tc>
          <w:tcPr>
            <w:tcW w:w="997" w:type="pct"/>
          </w:tcPr>
          <w:p w14:paraId="48F334FC">
            <w:pPr>
              <w:overflowPunct w:val="0"/>
              <w:jc w:val="center"/>
              <w:rPr>
                <w:rFonts w:ascii="宋体" w:hAnsi="宋体" w:cs="宋体"/>
              </w:rPr>
            </w:pPr>
            <w:r>
              <w:rPr>
                <w:rFonts w:hint="eastAsia" w:ascii="宋体" w:hAnsi="宋体" w:cs="宋体"/>
              </w:rPr>
              <w:t>232 500</w:t>
            </w:r>
          </w:p>
        </w:tc>
      </w:tr>
    </w:tbl>
    <w:p w14:paraId="15AEE978">
      <w:pPr>
        <w:jc w:val="left"/>
        <w:rPr>
          <w:rFonts w:ascii="宋体" w:hAnsi="宋体" w:cs="宋体"/>
          <w:color w:val="FF0000"/>
        </w:rPr>
      </w:pPr>
      <w:r>
        <w:rPr>
          <w:rFonts w:hint="eastAsia" w:ascii="宋体" w:hAnsi="宋体" w:cs="宋体"/>
          <w:color w:val="FF0000"/>
        </w:rPr>
        <w:t xml:space="preserve">（2）账务处理如下：  </w:t>
      </w:r>
    </w:p>
    <w:p w14:paraId="2BB83256">
      <w:pPr>
        <w:jc w:val="left"/>
        <w:rPr>
          <w:rFonts w:ascii="宋体" w:hAnsi="宋体" w:cs="宋体"/>
        </w:rPr>
      </w:pPr>
      <w:r>
        <w:rPr>
          <w:rFonts w:hint="eastAsia" w:ascii="宋体" w:hAnsi="宋体" w:cs="宋体"/>
        </w:rPr>
        <w:t>①2019年1月1日：</w:t>
      </w:r>
    </w:p>
    <w:p w14:paraId="5500B3C8">
      <w:pPr>
        <w:jc w:val="left"/>
        <w:rPr>
          <w:rFonts w:ascii="宋体" w:hAnsi="宋体" w:cs="宋体"/>
          <w:color w:val="FF0000"/>
        </w:rPr>
      </w:pPr>
      <w:r>
        <w:rPr>
          <w:rFonts w:hint="eastAsia" w:ascii="宋体" w:hAnsi="宋体" w:cs="宋体"/>
          <w:color w:val="FF0000"/>
        </w:rPr>
        <w:t>授予日不作账务处理。</w:t>
      </w:r>
    </w:p>
    <w:p w14:paraId="1A7C092B">
      <w:pPr>
        <w:jc w:val="left"/>
        <w:rPr>
          <w:rFonts w:ascii="宋体" w:hAnsi="宋体" w:cs="宋体"/>
        </w:rPr>
      </w:pPr>
      <w:r>
        <w:rPr>
          <w:rFonts w:hint="eastAsia" w:ascii="宋体" w:hAnsi="宋体" w:cs="宋体"/>
        </w:rPr>
        <w:t>②2019年12月31日：</w:t>
      </w:r>
    </w:p>
    <w:p w14:paraId="39D1C65C">
      <w:pPr>
        <w:jc w:val="left"/>
        <w:rPr>
          <w:rFonts w:ascii="宋体" w:hAnsi="宋体" w:cs="宋体"/>
        </w:rPr>
      </w:pPr>
      <w:r>
        <w:rPr>
          <w:rFonts w:hint="eastAsia" w:ascii="宋体" w:hAnsi="宋体" w:cs="宋体"/>
        </w:rPr>
        <w:t>借：管理费用　　　　　　　               80 000</w:t>
      </w:r>
    </w:p>
    <w:p w14:paraId="02E852FA">
      <w:pPr>
        <w:jc w:val="left"/>
        <w:rPr>
          <w:rFonts w:ascii="宋体" w:hAnsi="宋体" w:cs="宋体"/>
        </w:rPr>
      </w:pPr>
      <w:r>
        <w:rPr>
          <w:rFonts w:hint="eastAsia" w:ascii="宋体" w:hAnsi="宋体" w:cs="宋体"/>
        </w:rPr>
        <w:t xml:space="preserve">   贷：资本公积—其他资本公积   　              80 000</w:t>
      </w:r>
    </w:p>
    <w:p w14:paraId="2BA4CD70">
      <w:pPr>
        <w:jc w:val="left"/>
        <w:rPr>
          <w:rFonts w:ascii="宋体" w:hAnsi="宋体" w:cs="宋体"/>
        </w:rPr>
      </w:pPr>
      <w:r>
        <w:rPr>
          <w:rFonts w:hint="eastAsia" w:ascii="宋体" w:hAnsi="宋体" w:cs="宋体"/>
        </w:rPr>
        <w:t>③2020年12月31日：</w:t>
      </w:r>
    </w:p>
    <w:p w14:paraId="04B34A6E">
      <w:pPr>
        <w:jc w:val="left"/>
        <w:rPr>
          <w:rFonts w:ascii="宋体" w:hAnsi="宋体" w:cs="宋体"/>
        </w:rPr>
      </w:pPr>
      <w:r>
        <w:rPr>
          <w:rFonts w:hint="eastAsia" w:ascii="宋体" w:hAnsi="宋体" w:cs="宋体"/>
        </w:rPr>
        <w:t>借：管理费用　　　　　　 　            90 000</w:t>
      </w:r>
    </w:p>
    <w:p w14:paraId="39C62336">
      <w:pPr>
        <w:jc w:val="left"/>
        <w:rPr>
          <w:rFonts w:ascii="宋体" w:hAnsi="宋体" w:cs="宋体"/>
        </w:rPr>
      </w:pPr>
      <w:r>
        <w:rPr>
          <w:rFonts w:hint="eastAsia" w:ascii="宋体" w:hAnsi="宋体" w:cs="宋体"/>
        </w:rPr>
        <w:t xml:space="preserve">   贷：资本公积—其他资本公积　               90 000</w:t>
      </w:r>
    </w:p>
    <w:p w14:paraId="4D4A4EED">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（累计170 000）</w:t>
      </w:r>
    </w:p>
    <w:p w14:paraId="1B3BF22C">
      <w:pPr>
        <w:jc w:val="left"/>
        <w:rPr>
          <w:rFonts w:ascii="宋体" w:hAnsi="宋体" w:cs="宋体"/>
        </w:rPr>
      </w:pPr>
      <w:r>
        <w:rPr>
          <w:rFonts w:hint="eastAsia" w:ascii="宋体" w:hAnsi="宋体" w:cs="宋体"/>
        </w:rPr>
        <w:t>④2021年12月31日：</w:t>
      </w:r>
    </w:p>
    <w:p w14:paraId="3A23C9C4">
      <w:pPr>
        <w:jc w:val="left"/>
        <w:rPr>
          <w:rFonts w:ascii="宋体" w:hAnsi="宋体" w:cs="宋体"/>
        </w:rPr>
      </w:pPr>
      <w:r>
        <w:rPr>
          <w:rFonts w:hint="eastAsia" w:ascii="宋体" w:hAnsi="宋体" w:cs="宋体"/>
        </w:rPr>
        <w:t>借：管理费用　　　　　　           62 500</w:t>
      </w:r>
    </w:p>
    <w:p w14:paraId="613B8E7A">
      <w:pPr>
        <w:jc w:val="left"/>
        <w:rPr>
          <w:rFonts w:ascii="宋体" w:hAnsi="宋体" w:cs="宋体"/>
        </w:rPr>
      </w:pPr>
      <w:r>
        <w:rPr>
          <w:rFonts w:hint="eastAsia" w:ascii="宋体" w:hAnsi="宋体" w:cs="宋体"/>
        </w:rPr>
        <w:t xml:space="preserve">   贷：资本公积—其他资本公积           62 500</w:t>
      </w:r>
    </w:p>
    <w:p w14:paraId="4FFDE834">
      <w:pPr>
        <w:jc w:val="left"/>
        <w:rPr>
          <w:rFonts w:ascii="宋体" w:hAnsi="宋体" w:cs="宋体"/>
          <w:color w:val="FF0000"/>
        </w:rPr>
      </w:pPr>
      <w:r>
        <w:rPr>
          <w:rFonts w:hint="eastAsia" w:ascii="宋体" w:hAnsi="宋体" w:cs="宋体"/>
        </w:rPr>
        <w:t xml:space="preserve">                                     </w:t>
      </w:r>
      <w:r>
        <w:rPr>
          <w:rFonts w:ascii="宋体" w:hAnsi="宋体" w:cs="宋体"/>
        </w:rPr>
        <w:t xml:space="preserve"> </w:t>
      </w:r>
      <w:r>
        <w:rPr>
          <w:rFonts w:hint="eastAsia" w:ascii="宋体" w:hAnsi="宋体" w:cs="宋体"/>
          <w:color w:val="FF0000"/>
        </w:rPr>
        <w:t>（累计232 500）</w:t>
      </w:r>
    </w:p>
    <w:p w14:paraId="69B2D60B">
      <w:pPr>
        <w:jc w:val="left"/>
        <w:rPr>
          <w:rFonts w:ascii="宋体" w:hAnsi="宋体" w:cs="宋体"/>
        </w:rPr>
      </w:pPr>
      <w:r>
        <w:rPr>
          <w:rFonts w:hint="eastAsia" w:ascii="宋体" w:hAnsi="宋体" w:cs="宋体"/>
        </w:rPr>
        <w:t xml:space="preserve">⑤假设全部155名职员都在2022年12月31日行权：  </w:t>
      </w:r>
    </w:p>
    <w:p w14:paraId="182C2DC2">
      <w:pPr>
        <w:jc w:val="left"/>
        <w:rPr>
          <w:rFonts w:ascii="宋体" w:hAnsi="宋体" w:cs="宋体"/>
        </w:rPr>
      </w:pPr>
      <w:r>
        <w:rPr>
          <w:rFonts w:hint="eastAsia" w:ascii="宋体" w:hAnsi="宋体" w:cs="宋体"/>
        </w:rPr>
        <w:t>借：银行存款　　　　                      62 000（155×100×4）</w:t>
      </w:r>
    </w:p>
    <w:p w14:paraId="459EAB0F">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资本公积——其他资本公积　  232 500</w:t>
      </w:r>
    </w:p>
    <w:p w14:paraId="3EF1224C">
      <w:pPr>
        <w:jc w:val="left"/>
        <w:rPr>
          <w:rFonts w:ascii="宋体" w:hAnsi="宋体" w:cs="宋体"/>
        </w:rPr>
      </w:pPr>
      <w:r>
        <w:rPr>
          <w:rFonts w:hint="eastAsia" w:ascii="宋体" w:hAnsi="宋体" w:cs="宋体"/>
        </w:rPr>
        <w:t xml:space="preserve">   贷：股本　　　　　　                           15 500</w:t>
      </w:r>
    </w:p>
    <w:p w14:paraId="612E3797">
      <w:pPr>
        <w:jc w:val="left"/>
        <w:rPr>
          <w:rFonts w:ascii="宋体" w:hAnsi="宋体" w:cs="宋体"/>
          <w:color w:val="FF0000"/>
        </w:rPr>
      </w:pPr>
      <w:r>
        <w:rPr>
          <w:rFonts w:hint="eastAsia" w:ascii="宋体" w:hAnsi="宋体" w:cs="宋体"/>
        </w:rPr>
        <w:t xml:space="preserve">       </w:t>
      </w:r>
      <w:r>
        <w:rPr>
          <w:rFonts w:hint="eastAsia" w:ascii="宋体" w:hAnsi="宋体" w:cs="宋体"/>
          <w:color w:val="FF0000"/>
        </w:rPr>
        <w:t>资本公积——股本溢价　                 279 000</w:t>
      </w:r>
    </w:p>
    <w:p w14:paraId="129175DE">
      <w:pPr>
        <w:jc w:val="left"/>
        <w:rPr>
          <w:rFonts w:ascii="宋体" w:hAnsi="宋体" w:cs="宋体"/>
        </w:rPr>
      </w:pPr>
      <w:r>
        <w:rPr>
          <w:rFonts w:hint="eastAsia" w:ascii="宋体" w:hAnsi="宋体" w:cs="宋体"/>
          <w:color w:val="FF0000"/>
        </w:rPr>
        <w:t>【例10-3增】</w:t>
      </w:r>
      <w:r>
        <w:rPr>
          <w:rFonts w:hint="eastAsia" w:ascii="宋体" w:hAnsi="宋体" w:cs="宋体"/>
        </w:rPr>
        <w:t>2020年1月1日，A公司为其</w:t>
      </w:r>
      <w:r>
        <w:rPr>
          <w:rFonts w:hint="eastAsia" w:ascii="宋体" w:hAnsi="宋体" w:cs="宋体"/>
          <w:color w:val="FF0000"/>
        </w:rPr>
        <w:t>100名</w:t>
      </w:r>
      <w:r>
        <w:rPr>
          <w:rFonts w:hint="eastAsia" w:ascii="宋体" w:hAnsi="宋体" w:cs="宋体"/>
        </w:rPr>
        <w:t>管理人员每人授予</w:t>
      </w:r>
      <w:r>
        <w:rPr>
          <w:rFonts w:hint="eastAsia" w:ascii="宋体" w:hAnsi="宋体" w:cs="宋体"/>
          <w:color w:val="FF0000"/>
        </w:rPr>
        <w:t>100份股票期权：</w:t>
      </w:r>
    </w:p>
    <w:p w14:paraId="1F8F6904">
      <w:pPr>
        <w:jc w:val="left"/>
        <w:rPr>
          <w:rFonts w:ascii="宋体" w:hAnsi="宋体" w:cs="宋体"/>
          <w:color w:val="FF0000"/>
        </w:rPr>
      </w:pPr>
      <w:r>
        <w:rPr>
          <w:rFonts w:hint="eastAsia" w:ascii="宋体" w:hAnsi="宋体" w:cs="宋体"/>
        </w:rPr>
        <w:t>第一年年末的可行权条件为企业</w:t>
      </w:r>
      <w:r>
        <w:rPr>
          <w:rFonts w:hint="eastAsia" w:ascii="宋体" w:hAnsi="宋体" w:cs="宋体"/>
          <w:color w:val="FF0000"/>
        </w:rPr>
        <w:t>净利润增长率达到20%；</w:t>
      </w:r>
    </w:p>
    <w:p w14:paraId="09DD0DCD">
      <w:pPr>
        <w:jc w:val="left"/>
        <w:rPr>
          <w:rFonts w:ascii="宋体" w:hAnsi="宋体" w:cs="宋体"/>
          <w:color w:val="FF0000"/>
        </w:rPr>
      </w:pPr>
      <w:r>
        <w:rPr>
          <w:rFonts w:hint="eastAsia" w:ascii="宋体" w:hAnsi="宋体" w:cs="宋体"/>
        </w:rPr>
        <w:t>第二年年末的可行权条件为企业净利润</w:t>
      </w:r>
      <w:r>
        <w:rPr>
          <w:rFonts w:hint="eastAsia" w:ascii="宋体" w:hAnsi="宋体" w:cs="宋体"/>
          <w:color w:val="FF0000"/>
        </w:rPr>
        <w:t>两年平均增长15%；</w:t>
      </w:r>
    </w:p>
    <w:p w14:paraId="4165833D">
      <w:pPr>
        <w:jc w:val="left"/>
        <w:rPr>
          <w:rFonts w:ascii="宋体" w:hAnsi="宋体" w:cs="宋体"/>
          <w:color w:val="FF0000"/>
        </w:rPr>
      </w:pPr>
      <w:r>
        <w:rPr>
          <w:rFonts w:hint="eastAsia" w:ascii="宋体" w:hAnsi="宋体" w:cs="宋体"/>
        </w:rPr>
        <w:t>第三年年末的可行权条件为企业净利润</w:t>
      </w:r>
      <w:r>
        <w:rPr>
          <w:rFonts w:hint="eastAsia" w:ascii="宋体" w:hAnsi="宋体" w:cs="宋体"/>
          <w:color w:val="FF0000"/>
        </w:rPr>
        <w:t>三年平均增长10%。</w:t>
      </w:r>
    </w:p>
    <w:p w14:paraId="7AA4D09F">
      <w:pPr>
        <w:jc w:val="left"/>
        <w:rPr>
          <w:rFonts w:ascii="宋体" w:hAnsi="宋体" w:cs="宋体"/>
          <w:color w:val="FF0000"/>
        </w:rPr>
      </w:pPr>
      <w:r>
        <w:rPr>
          <w:rFonts w:hint="eastAsia" w:ascii="宋体" w:hAnsi="宋体" w:cs="宋体"/>
        </w:rPr>
        <w:t>每份期权在</w:t>
      </w:r>
      <w:r>
        <w:rPr>
          <w:rFonts w:hint="eastAsia" w:ascii="宋体" w:hAnsi="宋体" w:cs="宋体"/>
          <w:color w:val="FF0000"/>
        </w:rPr>
        <w:t>2020年1月1日的公允价值为24元。</w:t>
      </w:r>
    </w:p>
    <w:p w14:paraId="0D748BE1">
      <w:pPr>
        <w:jc w:val="left"/>
        <w:rPr>
          <w:rFonts w:ascii="宋体" w:hAnsi="宋体" w:cs="宋体"/>
          <w:color w:val="FF0000"/>
        </w:rPr>
      </w:pPr>
      <w:r>
        <w:rPr>
          <w:rFonts w:hint="eastAsia" w:ascii="宋体" w:hAnsi="宋体" w:cs="宋体"/>
        </w:rPr>
        <w:t>2020年12月31日，权益净利润增长了18%</w:t>
      </w:r>
      <w:r>
        <w:rPr>
          <w:rFonts w:hint="eastAsia" w:ascii="宋体" w:hAnsi="宋体" w:cs="宋体"/>
          <w:color w:val="FF0000"/>
        </w:rPr>
        <w:t>（没达到要求的20%）</w:t>
      </w:r>
      <w:r>
        <w:rPr>
          <w:rFonts w:hint="eastAsia" w:ascii="宋体" w:hAnsi="宋体" w:cs="宋体"/>
        </w:rPr>
        <w:t>，同时有</w:t>
      </w:r>
      <w:r>
        <w:rPr>
          <w:rFonts w:hint="eastAsia" w:ascii="宋体" w:hAnsi="宋体" w:cs="宋体"/>
          <w:color w:val="FF0000"/>
        </w:rPr>
        <w:t>8名</w:t>
      </w:r>
      <w:r>
        <w:rPr>
          <w:rFonts w:hint="eastAsia" w:ascii="宋体" w:hAnsi="宋体" w:cs="宋体"/>
        </w:rPr>
        <w:t>管理人员离开，公司预计2021年将以同样速度增长，因此预计将于2021年12月31日可行权。另外，公司预计第二年</w:t>
      </w:r>
      <w:r>
        <w:rPr>
          <w:rFonts w:hint="eastAsia" w:ascii="宋体" w:hAnsi="宋体" w:cs="宋体"/>
          <w:color w:val="FF0000"/>
        </w:rPr>
        <w:t>又将有8名管理人员离开企业。（100-8-8=84人）（等待期2年）。</w:t>
      </w:r>
    </w:p>
    <w:p w14:paraId="021064CE">
      <w:pPr>
        <w:jc w:val="left"/>
        <w:rPr>
          <w:rFonts w:ascii="宋体" w:hAnsi="宋体" w:cs="宋体"/>
        </w:rPr>
      </w:pPr>
      <w:r>
        <w:rPr>
          <w:rFonts w:hint="eastAsia" w:ascii="宋体" w:hAnsi="宋体" w:cs="宋体"/>
        </w:rPr>
        <w:t>2021年12月31日，公司净利润仅增长了10%</w:t>
      </w:r>
      <w:r>
        <w:rPr>
          <w:rFonts w:hint="eastAsia" w:ascii="宋体" w:hAnsi="宋体" w:cs="宋体"/>
          <w:color w:val="FF0000"/>
        </w:rPr>
        <w:t>（两年平均（10%+18%）/2=14%，没达到要求的15%），</w:t>
      </w:r>
      <w:r>
        <w:rPr>
          <w:rFonts w:hint="eastAsia" w:ascii="宋体" w:hAnsi="宋体" w:cs="宋体"/>
        </w:rPr>
        <w:t>因此无法达到可行权状态。另外实际有</w:t>
      </w:r>
      <w:r>
        <w:rPr>
          <w:rFonts w:hint="eastAsia" w:ascii="宋体" w:hAnsi="宋体" w:cs="宋体"/>
          <w:color w:val="FF0000"/>
        </w:rPr>
        <w:t>10名</w:t>
      </w:r>
      <w:r>
        <w:rPr>
          <w:rFonts w:hint="eastAsia" w:ascii="宋体" w:hAnsi="宋体" w:cs="宋体"/>
        </w:rPr>
        <w:t>管理人员离开，预计第三年将有</w:t>
      </w:r>
      <w:r>
        <w:rPr>
          <w:rFonts w:hint="eastAsia" w:ascii="宋体" w:hAnsi="宋体" w:cs="宋体"/>
          <w:color w:val="FF0000"/>
        </w:rPr>
        <w:t>12名</w:t>
      </w:r>
      <w:r>
        <w:rPr>
          <w:rFonts w:hint="eastAsia" w:ascii="宋体" w:hAnsi="宋体" w:cs="宋体"/>
        </w:rPr>
        <w:t>管理人员离开公司。</w:t>
      </w:r>
    </w:p>
    <w:p w14:paraId="384F7B28">
      <w:pPr>
        <w:jc w:val="left"/>
        <w:rPr>
          <w:rFonts w:ascii="宋体" w:hAnsi="宋体" w:cs="宋体"/>
          <w:color w:val="FF0000"/>
        </w:rPr>
      </w:pPr>
      <w:r>
        <w:rPr>
          <w:rFonts w:hint="eastAsia" w:ascii="宋体" w:hAnsi="宋体" w:cs="宋体"/>
          <w:color w:val="FF0000"/>
        </w:rPr>
        <w:t>（100-8-10-12=70人）（等待期调为3年）</w:t>
      </w:r>
    </w:p>
    <w:p w14:paraId="2645ED25">
      <w:pPr>
        <w:jc w:val="left"/>
        <w:rPr>
          <w:rFonts w:ascii="宋体" w:hAnsi="宋体" w:cs="宋体"/>
          <w:color w:val="FF0000"/>
        </w:rPr>
      </w:pPr>
      <w:r>
        <w:rPr>
          <w:rFonts w:hint="eastAsia" w:ascii="宋体" w:hAnsi="宋体" w:cs="宋体"/>
        </w:rPr>
        <w:t>2022年12月31日，公司净利润增长了8%，三年平均增长率为12%，</w:t>
      </w:r>
      <w:r>
        <w:rPr>
          <w:rFonts w:hint="eastAsia" w:ascii="宋体" w:hAnsi="宋体" w:cs="宋体"/>
          <w:color w:val="FF0000"/>
        </w:rPr>
        <w:t>因此达到可行权状态。当年有8名管理人员离开。（100-8-10-8=74人行权）</w:t>
      </w:r>
    </w:p>
    <w:p w14:paraId="37DDE210">
      <w:pPr>
        <w:jc w:val="left"/>
        <w:rPr>
          <w:rFonts w:ascii="宋体" w:hAnsi="宋体" w:cs="宋体"/>
          <w:color w:val="FF0000"/>
        </w:rPr>
      </w:pPr>
      <w:r>
        <w:rPr>
          <w:rFonts w:hint="eastAsia" w:ascii="宋体" w:hAnsi="宋体" w:cs="宋体"/>
          <w:color w:val="FF0000"/>
        </w:rPr>
        <w:t>【分析】</w:t>
      </w:r>
      <w:r>
        <w:rPr>
          <w:rFonts w:hint="eastAsia" w:ascii="宋体" w:hAnsi="宋体" w:cs="宋体"/>
        </w:rPr>
        <w:t>按照股份支付会计准则，本例中的可行权条件是一项</w:t>
      </w:r>
      <w:r>
        <w:rPr>
          <w:rFonts w:hint="eastAsia" w:ascii="宋体" w:hAnsi="宋体" w:cs="宋体"/>
          <w:color w:val="FF0000"/>
        </w:rPr>
        <w:t>非市场业绩条件。</w:t>
      </w:r>
    </w:p>
    <w:p w14:paraId="6D5EEEF7">
      <w:pPr>
        <w:jc w:val="left"/>
        <w:rPr>
          <w:rFonts w:ascii="宋体" w:hAnsi="宋体" w:cs="宋体"/>
        </w:rPr>
      </w:pPr>
      <w:r>
        <w:rPr>
          <w:rFonts w:hint="eastAsia" w:ascii="宋体" w:hAnsi="宋体" w:cs="宋体"/>
          <w:color w:val="FF0000"/>
        </w:rPr>
        <w:t>第一年年末，</w:t>
      </w:r>
      <w:r>
        <w:rPr>
          <w:rFonts w:hint="eastAsia" w:ascii="宋体" w:hAnsi="宋体" w:cs="宋体"/>
        </w:rPr>
        <w:t>虽然没有实现净利润增长20%的要求，但公司预计下年将以同样速度增长，因此能实现两年平均年增长15%的要求。所以公司将其预计</w:t>
      </w:r>
      <w:r>
        <w:rPr>
          <w:rFonts w:hint="eastAsia" w:ascii="宋体" w:hAnsi="宋体" w:cs="宋体"/>
          <w:color w:val="FF0000"/>
        </w:rPr>
        <w:t>等待期调整为2年</w:t>
      </w:r>
      <w:r>
        <w:rPr>
          <w:rFonts w:hint="eastAsia" w:ascii="宋体" w:hAnsi="宋体" w:cs="宋体"/>
        </w:rPr>
        <w:t>。由于有8名管理人员离开，公司同时调整了期满（两年）后预计可行权期权的数量。</w:t>
      </w:r>
    </w:p>
    <w:p w14:paraId="10CC7B18">
      <w:pPr>
        <w:jc w:val="left"/>
        <w:rPr>
          <w:rFonts w:ascii="宋体" w:hAnsi="宋体" w:cs="宋体"/>
          <w:color w:val="FF0000"/>
        </w:rPr>
      </w:pPr>
      <w:r>
        <w:rPr>
          <w:rFonts w:hint="eastAsia" w:ascii="宋体" w:hAnsi="宋体" w:cs="宋体"/>
          <w:color w:val="FF0000"/>
        </w:rPr>
        <w:t>（100-8-8）×100×24×1/2=10.08（万元）。</w:t>
      </w:r>
    </w:p>
    <w:p w14:paraId="5C79CE61">
      <w:pPr>
        <w:jc w:val="left"/>
        <w:rPr>
          <w:rFonts w:ascii="宋体" w:hAnsi="宋体" w:cs="宋体"/>
        </w:rPr>
      </w:pPr>
      <w:r>
        <w:rPr>
          <w:rFonts w:hint="eastAsia" w:ascii="宋体" w:hAnsi="宋体" w:cs="宋体"/>
        </w:rPr>
        <w:t>第二年年末，虽然两年实现15%增长的目标再次落空，但公司仍然</w:t>
      </w:r>
      <w:r>
        <w:rPr>
          <w:rFonts w:hint="eastAsia" w:ascii="宋体" w:hAnsi="宋体" w:cs="宋体"/>
          <w:color w:val="FF0000"/>
        </w:rPr>
        <w:t>估计能够在第三年取得</w:t>
      </w:r>
      <w:r>
        <w:rPr>
          <w:rFonts w:hint="eastAsia" w:ascii="宋体" w:hAnsi="宋体" w:cs="宋体"/>
        </w:rPr>
        <w:t>较理想的业绩，从而实现3年平均增长10%的目标。所以公司</w:t>
      </w:r>
      <w:r>
        <w:rPr>
          <w:rFonts w:hint="eastAsia" w:ascii="宋体" w:hAnsi="宋体" w:cs="宋体"/>
          <w:color w:val="FF0000"/>
        </w:rPr>
        <w:t>将其预计等待期调整为3年。</w:t>
      </w:r>
      <w:r>
        <w:rPr>
          <w:rFonts w:hint="eastAsia" w:ascii="宋体" w:hAnsi="宋体" w:cs="宋体"/>
        </w:rPr>
        <w:t>由于第二年有10名管理人员离开，高于预计数字，因此公司相应调增了第三年预计离开的人数。</w:t>
      </w:r>
    </w:p>
    <w:p w14:paraId="61EE76F0">
      <w:pPr>
        <w:jc w:val="left"/>
        <w:rPr>
          <w:rFonts w:ascii="宋体" w:hAnsi="宋体" w:cs="宋体"/>
          <w:color w:val="FF0000"/>
        </w:rPr>
      </w:pPr>
      <w:r>
        <w:rPr>
          <w:rFonts w:hint="eastAsia" w:ascii="宋体" w:hAnsi="宋体" w:cs="宋体"/>
          <w:color w:val="FF0000"/>
        </w:rPr>
        <w:t>（100-8-10-12）×100×24×2/3=11.2（万元），11.2-10.08=1.12（万元）。</w:t>
      </w:r>
    </w:p>
    <w:p w14:paraId="6D7FD1E1">
      <w:pPr>
        <w:jc w:val="left"/>
        <w:rPr>
          <w:rFonts w:ascii="宋体" w:hAnsi="宋体" w:cs="宋体"/>
        </w:rPr>
      </w:pPr>
      <w:r>
        <w:rPr>
          <w:rFonts w:hint="eastAsia" w:ascii="宋体" w:hAnsi="宋体" w:cs="宋体"/>
        </w:rPr>
        <w:t>第三年年末，目标实现，实际离开人数为8人。公司根据实际情况确定累计费用，并据此确认了第三年费用和调整。</w:t>
      </w:r>
    </w:p>
    <w:p w14:paraId="7F1FD54D">
      <w:pPr>
        <w:jc w:val="left"/>
        <w:rPr>
          <w:rFonts w:ascii="宋体" w:hAnsi="宋体" w:cs="宋体"/>
          <w:color w:val="FF0000"/>
        </w:rPr>
      </w:pPr>
      <w:r>
        <w:rPr>
          <w:rFonts w:hint="eastAsia" w:ascii="宋体" w:hAnsi="宋体" w:cs="宋体"/>
          <w:color w:val="FF0000"/>
        </w:rPr>
        <w:t>（100-8-10-8）×100×24=17.76（万元），17.76-11.2=6.56（万元）。</w:t>
      </w:r>
    </w:p>
    <w:p w14:paraId="0D7D916E">
      <w:pPr>
        <w:jc w:val="left"/>
        <w:rPr>
          <w:rFonts w:ascii="宋体" w:hAnsi="宋体" w:cs="宋体"/>
        </w:rPr>
      </w:pPr>
      <w:r>
        <w:rPr>
          <w:rFonts w:hint="eastAsia" w:ascii="宋体" w:hAnsi="宋体" w:cs="宋体"/>
        </w:rPr>
        <w:t>费用和资本公积计算过程如表所示。</w:t>
      </w:r>
    </w:p>
    <w:p w14:paraId="14FABCBA">
      <w:pPr>
        <w:jc w:val="left"/>
        <w:rPr>
          <w:rFonts w:hint="eastAsia" w:ascii="宋体" w:hAnsi="宋体" w:cs="宋体"/>
        </w:rPr>
      </w:pPr>
      <w:r>
        <w:rPr>
          <w:rFonts w:hint="eastAsia" w:ascii="宋体" w:hAnsi="宋体" w:cs="宋体"/>
        </w:rPr>
        <w:t xml:space="preserve">      表　                                                                   单位：元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4929"/>
        <w:gridCol w:w="1661"/>
        <w:gridCol w:w="2537"/>
      </w:tblGrid>
      <w:tr w14:paraId="039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9D90C6B">
            <w:pPr>
              <w:overflowPunct w:val="0"/>
              <w:jc w:val="center"/>
              <w:rPr>
                <w:rFonts w:ascii="宋体" w:hAnsi="宋体" w:cs="宋体"/>
              </w:rPr>
            </w:pPr>
            <w:r>
              <w:rPr>
                <w:rFonts w:hint="eastAsia" w:ascii="宋体" w:hAnsi="宋体" w:cs="宋体"/>
              </w:rPr>
              <w:t>年份</w:t>
            </w:r>
          </w:p>
        </w:tc>
        <w:tc>
          <w:tcPr>
            <w:tcW w:w="2431" w:type="pct"/>
          </w:tcPr>
          <w:p w14:paraId="1155CC37">
            <w:pPr>
              <w:overflowPunct w:val="0"/>
              <w:jc w:val="center"/>
              <w:rPr>
                <w:rFonts w:ascii="宋体" w:hAnsi="宋体" w:cs="宋体"/>
              </w:rPr>
            </w:pPr>
            <w:r>
              <w:rPr>
                <w:rFonts w:hint="eastAsia" w:ascii="宋体" w:hAnsi="宋体" w:cs="宋体"/>
              </w:rPr>
              <w:t>计算</w:t>
            </w:r>
          </w:p>
        </w:tc>
        <w:tc>
          <w:tcPr>
            <w:tcW w:w="819" w:type="pct"/>
          </w:tcPr>
          <w:p w14:paraId="5A951F3B">
            <w:pPr>
              <w:overflowPunct w:val="0"/>
              <w:jc w:val="center"/>
              <w:rPr>
                <w:rFonts w:ascii="宋体" w:hAnsi="宋体" w:cs="宋体"/>
              </w:rPr>
            </w:pPr>
            <w:r>
              <w:rPr>
                <w:rFonts w:hint="eastAsia" w:ascii="宋体" w:hAnsi="宋体" w:cs="宋体"/>
              </w:rPr>
              <w:t>当期费用</w:t>
            </w:r>
          </w:p>
        </w:tc>
        <w:tc>
          <w:tcPr>
            <w:tcW w:w="1251" w:type="pct"/>
          </w:tcPr>
          <w:p w14:paraId="5306DE0D">
            <w:pPr>
              <w:overflowPunct w:val="0"/>
              <w:jc w:val="center"/>
              <w:rPr>
                <w:rFonts w:ascii="宋体" w:hAnsi="宋体" w:cs="宋体"/>
              </w:rPr>
            </w:pPr>
            <w:r>
              <w:rPr>
                <w:rFonts w:hint="eastAsia" w:ascii="宋体" w:hAnsi="宋体" w:cs="宋体"/>
              </w:rPr>
              <w:t>累计费用</w:t>
            </w:r>
          </w:p>
        </w:tc>
      </w:tr>
      <w:tr w14:paraId="5DF4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B0AFC68">
            <w:pPr>
              <w:overflowPunct w:val="0"/>
              <w:jc w:val="center"/>
              <w:rPr>
                <w:rFonts w:ascii="宋体" w:hAnsi="宋体" w:cs="宋体"/>
              </w:rPr>
            </w:pPr>
            <w:r>
              <w:rPr>
                <w:rFonts w:hint="eastAsia" w:ascii="宋体" w:hAnsi="宋体" w:cs="宋体"/>
              </w:rPr>
              <w:t>2020</w:t>
            </w:r>
          </w:p>
        </w:tc>
        <w:tc>
          <w:tcPr>
            <w:tcW w:w="2431" w:type="pct"/>
          </w:tcPr>
          <w:p w14:paraId="4701B2F4">
            <w:pPr>
              <w:overflowPunct w:val="0"/>
              <w:jc w:val="left"/>
              <w:rPr>
                <w:rFonts w:ascii="宋体" w:hAnsi="宋体" w:cs="宋体"/>
              </w:rPr>
            </w:pPr>
            <w:r>
              <w:rPr>
                <w:rFonts w:hint="eastAsia" w:ascii="宋体" w:hAnsi="宋体" w:cs="宋体"/>
              </w:rPr>
              <w:t>（100-8-8）×100×</w:t>
            </w:r>
            <w:r>
              <w:rPr>
                <w:rFonts w:hint="eastAsia" w:ascii="宋体" w:hAnsi="宋体" w:cs="宋体"/>
                <w:color w:val="FF0000"/>
              </w:rPr>
              <w:t>24</w:t>
            </w:r>
            <w:r>
              <w:rPr>
                <w:rFonts w:hint="eastAsia" w:ascii="宋体" w:hAnsi="宋体" w:cs="宋体"/>
              </w:rPr>
              <w:t>×1/2</w:t>
            </w:r>
          </w:p>
        </w:tc>
        <w:tc>
          <w:tcPr>
            <w:tcW w:w="819" w:type="pct"/>
          </w:tcPr>
          <w:p w14:paraId="55021056">
            <w:pPr>
              <w:overflowPunct w:val="0"/>
              <w:jc w:val="center"/>
              <w:rPr>
                <w:rFonts w:ascii="宋体" w:hAnsi="宋体" w:cs="宋体"/>
                <w:color w:val="FF0000"/>
              </w:rPr>
            </w:pPr>
            <w:r>
              <w:rPr>
                <w:rFonts w:hint="eastAsia" w:ascii="宋体" w:hAnsi="宋体" w:cs="宋体"/>
                <w:color w:val="FF0000"/>
              </w:rPr>
              <w:t>100 800</w:t>
            </w:r>
          </w:p>
        </w:tc>
        <w:tc>
          <w:tcPr>
            <w:tcW w:w="1251" w:type="pct"/>
          </w:tcPr>
          <w:p w14:paraId="1FAEF477">
            <w:pPr>
              <w:overflowPunct w:val="0"/>
              <w:jc w:val="center"/>
              <w:rPr>
                <w:rFonts w:ascii="宋体" w:hAnsi="宋体" w:cs="宋体"/>
              </w:rPr>
            </w:pPr>
            <w:r>
              <w:rPr>
                <w:rFonts w:hint="eastAsia" w:ascii="宋体" w:hAnsi="宋体" w:cs="宋体"/>
              </w:rPr>
              <w:t>100 800</w:t>
            </w:r>
          </w:p>
        </w:tc>
      </w:tr>
      <w:tr w14:paraId="53ED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56B994D">
            <w:pPr>
              <w:overflowPunct w:val="0"/>
              <w:jc w:val="center"/>
              <w:rPr>
                <w:rFonts w:ascii="宋体" w:hAnsi="宋体" w:cs="宋体"/>
              </w:rPr>
            </w:pPr>
            <w:r>
              <w:rPr>
                <w:rFonts w:hint="eastAsia" w:ascii="宋体" w:hAnsi="宋体" w:cs="宋体"/>
              </w:rPr>
              <w:t>2021</w:t>
            </w:r>
          </w:p>
        </w:tc>
        <w:tc>
          <w:tcPr>
            <w:tcW w:w="2431" w:type="pct"/>
          </w:tcPr>
          <w:p w14:paraId="16DCF3DD">
            <w:pPr>
              <w:overflowPunct w:val="0"/>
              <w:jc w:val="left"/>
              <w:rPr>
                <w:rFonts w:ascii="宋体" w:hAnsi="宋体" w:cs="宋体"/>
              </w:rPr>
            </w:pPr>
            <w:r>
              <w:rPr>
                <w:rFonts w:hint="eastAsia" w:ascii="宋体" w:hAnsi="宋体" w:cs="宋体"/>
              </w:rPr>
              <w:t>（100-8-10-12）×100×24×</w:t>
            </w:r>
            <w:r>
              <w:rPr>
                <w:rFonts w:hint="eastAsia" w:ascii="宋体" w:hAnsi="宋体" w:cs="宋体"/>
                <w:color w:val="FF0000"/>
              </w:rPr>
              <w:t>2/3</w:t>
            </w:r>
            <w:r>
              <w:rPr>
                <w:rFonts w:hint="eastAsia" w:ascii="宋体" w:hAnsi="宋体" w:cs="宋体"/>
              </w:rPr>
              <w:t xml:space="preserve"> -100 800 </w:t>
            </w:r>
          </w:p>
        </w:tc>
        <w:tc>
          <w:tcPr>
            <w:tcW w:w="819" w:type="pct"/>
          </w:tcPr>
          <w:p w14:paraId="1AEE3D68">
            <w:pPr>
              <w:overflowPunct w:val="0"/>
              <w:jc w:val="center"/>
              <w:rPr>
                <w:rFonts w:ascii="宋体" w:hAnsi="宋体" w:cs="宋体"/>
                <w:color w:val="FF0000"/>
              </w:rPr>
            </w:pPr>
            <w:r>
              <w:rPr>
                <w:rFonts w:hint="eastAsia" w:ascii="宋体" w:hAnsi="宋体" w:cs="宋体"/>
                <w:color w:val="FF0000"/>
              </w:rPr>
              <w:t>11 200</w:t>
            </w:r>
          </w:p>
        </w:tc>
        <w:tc>
          <w:tcPr>
            <w:tcW w:w="1251" w:type="pct"/>
          </w:tcPr>
          <w:p w14:paraId="29F7E793">
            <w:pPr>
              <w:overflowPunct w:val="0"/>
              <w:jc w:val="center"/>
              <w:rPr>
                <w:rFonts w:ascii="宋体" w:hAnsi="宋体" w:cs="宋体"/>
              </w:rPr>
            </w:pPr>
            <w:r>
              <w:rPr>
                <w:rFonts w:hint="eastAsia" w:ascii="宋体" w:hAnsi="宋体" w:cs="宋体"/>
              </w:rPr>
              <w:t>112 000</w:t>
            </w:r>
          </w:p>
        </w:tc>
      </w:tr>
      <w:tr w14:paraId="4AD7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tcPr>
          <w:p w14:paraId="2A988F80">
            <w:pPr>
              <w:overflowPunct w:val="0"/>
              <w:jc w:val="center"/>
              <w:rPr>
                <w:rFonts w:ascii="宋体" w:hAnsi="宋体" w:cs="宋体"/>
              </w:rPr>
            </w:pPr>
            <w:r>
              <w:rPr>
                <w:rFonts w:hint="eastAsia" w:ascii="宋体" w:hAnsi="宋体" w:cs="宋体"/>
              </w:rPr>
              <w:t>2022</w:t>
            </w:r>
          </w:p>
        </w:tc>
        <w:tc>
          <w:tcPr>
            <w:tcW w:w="2431" w:type="pct"/>
          </w:tcPr>
          <w:p w14:paraId="6ACD460B">
            <w:pPr>
              <w:overflowPunct w:val="0"/>
              <w:jc w:val="left"/>
              <w:rPr>
                <w:rFonts w:ascii="宋体" w:hAnsi="宋体" w:cs="宋体"/>
              </w:rPr>
            </w:pPr>
            <w:r>
              <w:rPr>
                <w:rFonts w:hint="eastAsia" w:ascii="宋体" w:hAnsi="宋体" w:cs="宋体"/>
              </w:rPr>
              <w:t>（100-8-10-8）×100×24-112 000</w:t>
            </w:r>
          </w:p>
        </w:tc>
        <w:tc>
          <w:tcPr>
            <w:tcW w:w="819" w:type="pct"/>
          </w:tcPr>
          <w:p w14:paraId="590A5A15">
            <w:pPr>
              <w:overflowPunct w:val="0"/>
              <w:jc w:val="center"/>
              <w:rPr>
                <w:rFonts w:ascii="宋体" w:hAnsi="宋体" w:cs="宋体"/>
                <w:color w:val="FF0000"/>
              </w:rPr>
            </w:pPr>
            <w:r>
              <w:rPr>
                <w:rFonts w:hint="eastAsia" w:ascii="宋体" w:hAnsi="宋体" w:cs="宋体"/>
                <w:color w:val="FF0000"/>
              </w:rPr>
              <w:t>65 600</w:t>
            </w:r>
          </w:p>
        </w:tc>
        <w:tc>
          <w:tcPr>
            <w:tcW w:w="1251" w:type="pct"/>
          </w:tcPr>
          <w:p w14:paraId="32E7204A">
            <w:pPr>
              <w:overflowPunct w:val="0"/>
              <w:jc w:val="center"/>
              <w:rPr>
                <w:rFonts w:ascii="宋体" w:hAnsi="宋体" w:cs="宋体"/>
              </w:rPr>
            </w:pPr>
            <w:r>
              <w:rPr>
                <w:rFonts w:hint="eastAsia" w:ascii="宋体" w:hAnsi="宋体" w:cs="宋体"/>
              </w:rPr>
              <w:t>177 600</w:t>
            </w:r>
          </w:p>
        </w:tc>
      </w:tr>
    </w:tbl>
    <w:p w14:paraId="5D230C2D">
      <w:pPr>
        <w:jc w:val="left"/>
        <w:rPr>
          <w:rFonts w:ascii="宋体" w:hAnsi="宋体" w:cs="宋体"/>
          <w:color w:val="FF0000"/>
        </w:rPr>
      </w:pPr>
      <w:r>
        <w:rPr>
          <w:rFonts w:hint="eastAsia" w:ascii="宋体" w:hAnsi="宋体" w:cs="宋体"/>
          <w:color w:val="FF0000"/>
        </w:rPr>
        <w:t>账务处理如下</w:t>
      </w:r>
    </w:p>
    <w:p w14:paraId="48716FA3">
      <w:pPr>
        <w:jc w:val="left"/>
        <w:rPr>
          <w:rFonts w:ascii="宋体" w:hAnsi="宋体" w:cs="宋体"/>
          <w:color w:val="FF0000"/>
        </w:rPr>
      </w:pPr>
      <w:r>
        <w:rPr>
          <w:rFonts w:hint="eastAsia" w:ascii="宋体" w:hAnsi="宋体" w:cs="宋体"/>
          <w:color w:val="FF0000"/>
        </w:rPr>
        <w:t>①2020年1月1日：</w:t>
      </w:r>
    </w:p>
    <w:p w14:paraId="4CEB2D18">
      <w:pPr>
        <w:jc w:val="left"/>
        <w:rPr>
          <w:rFonts w:ascii="宋体" w:hAnsi="宋体" w:cs="宋体"/>
        </w:rPr>
      </w:pPr>
      <w:r>
        <w:rPr>
          <w:rFonts w:hint="eastAsia" w:ascii="宋体" w:hAnsi="宋体" w:cs="宋体"/>
        </w:rPr>
        <w:t>授予日不作账务处理。</w:t>
      </w:r>
    </w:p>
    <w:p w14:paraId="7CF9D78B">
      <w:pPr>
        <w:jc w:val="left"/>
        <w:rPr>
          <w:rFonts w:ascii="宋体" w:hAnsi="宋体" w:cs="宋体"/>
        </w:rPr>
      </w:pPr>
      <w:r>
        <w:rPr>
          <w:rFonts w:hint="eastAsia" w:ascii="宋体" w:hAnsi="宋体" w:cs="宋体"/>
        </w:rPr>
        <w:t>②2020年12月31日：</w:t>
      </w:r>
    </w:p>
    <w:p w14:paraId="40647CA3">
      <w:pPr>
        <w:jc w:val="left"/>
        <w:rPr>
          <w:rFonts w:ascii="宋体" w:hAnsi="宋体" w:cs="宋体"/>
        </w:rPr>
      </w:pPr>
      <w:r>
        <w:rPr>
          <w:rFonts w:hint="eastAsia" w:ascii="宋体" w:hAnsi="宋体" w:cs="宋体"/>
        </w:rPr>
        <w:t>借：管理费用　　　　　　                   100 800</w:t>
      </w:r>
    </w:p>
    <w:p w14:paraId="68FBFCFC">
      <w:pPr>
        <w:jc w:val="left"/>
        <w:rPr>
          <w:rFonts w:ascii="宋体" w:hAnsi="宋体" w:cs="宋体"/>
        </w:rPr>
      </w:pPr>
      <w:r>
        <w:rPr>
          <w:rFonts w:hint="eastAsia" w:ascii="宋体" w:hAnsi="宋体" w:cs="宋体"/>
        </w:rPr>
        <w:t xml:space="preserve">   贷：资本公积—其他资本公积                    100 800</w:t>
      </w:r>
    </w:p>
    <w:p w14:paraId="3B6510DF">
      <w:pPr>
        <w:jc w:val="left"/>
        <w:rPr>
          <w:rFonts w:ascii="宋体" w:hAnsi="宋体" w:cs="宋体"/>
          <w:color w:val="FF0000"/>
        </w:rPr>
      </w:pPr>
      <w:r>
        <w:rPr>
          <w:rFonts w:hint="eastAsia" w:ascii="宋体" w:hAnsi="宋体" w:cs="宋体"/>
          <w:color w:val="FF0000"/>
        </w:rPr>
        <w:t>③2021年12月31日：</w:t>
      </w:r>
    </w:p>
    <w:p w14:paraId="33927205">
      <w:pPr>
        <w:jc w:val="left"/>
        <w:rPr>
          <w:rFonts w:ascii="宋体" w:hAnsi="宋体" w:cs="宋体"/>
        </w:rPr>
      </w:pPr>
      <w:r>
        <w:rPr>
          <w:rFonts w:hint="eastAsia" w:ascii="宋体" w:hAnsi="宋体" w:cs="宋体"/>
        </w:rPr>
        <w:t>借：管理费用　　　　        　　                11 200</w:t>
      </w:r>
    </w:p>
    <w:p w14:paraId="1626BA1D">
      <w:pPr>
        <w:jc w:val="left"/>
        <w:rPr>
          <w:rFonts w:ascii="宋体" w:hAnsi="宋体" w:cs="宋体"/>
        </w:rPr>
      </w:pPr>
      <w:r>
        <w:rPr>
          <w:rFonts w:hint="eastAsia" w:ascii="宋体" w:hAnsi="宋体" w:cs="宋体"/>
        </w:rPr>
        <w:t xml:space="preserve">   贷：资本公积—其他资本公积                       11 200</w:t>
      </w:r>
    </w:p>
    <w:p w14:paraId="3D722D75">
      <w:pPr>
        <w:jc w:val="left"/>
        <w:rPr>
          <w:rFonts w:ascii="宋体" w:hAnsi="宋体" w:cs="宋体"/>
        </w:rPr>
      </w:pPr>
      <w:r>
        <w:rPr>
          <w:rFonts w:hint="eastAsia" w:ascii="宋体" w:hAnsi="宋体" w:cs="宋体"/>
        </w:rPr>
        <w:t>④2022年12月31日：</w:t>
      </w:r>
    </w:p>
    <w:p w14:paraId="10A9409B">
      <w:pPr>
        <w:jc w:val="left"/>
        <w:rPr>
          <w:rFonts w:ascii="宋体" w:hAnsi="宋体" w:cs="宋体"/>
        </w:rPr>
      </w:pPr>
      <w:r>
        <w:rPr>
          <w:rFonts w:hint="eastAsia" w:ascii="宋体" w:hAnsi="宋体" w:cs="宋体"/>
        </w:rPr>
        <w:t>借：管理费用　　　　　　                 65 600</w:t>
      </w:r>
    </w:p>
    <w:p w14:paraId="560C18AE">
      <w:pPr>
        <w:jc w:val="left"/>
        <w:rPr>
          <w:rFonts w:ascii="宋体" w:hAnsi="宋体" w:cs="宋体"/>
        </w:rPr>
      </w:pPr>
      <w:r>
        <w:rPr>
          <w:rFonts w:hint="eastAsia" w:ascii="宋体" w:hAnsi="宋体" w:cs="宋体"/>
        </w:rPr>
        <w:t xml:space="preserve">   贷：资本公积—其他资本公积　　          65 600</w:t>
      </w:r>
    </w:p>
    <w:p w14:paraId="0EFA29F5">
      <w:pPr>
        <w:jc w:val="left"/>
        <w:rPr>
          <w:rFonts w:ascii="宋体" w:hAnsi="宋体" w:cs="宋体"/>
        </w:rPr>
      </w:pPr>
      <w:r>
        <w:rPr>
          <w:rFonts w:hint="eastAsia" w:ascii="宋体" w:hAnsi="宋体" w:cs="宋体"/>
        </w:rPr>
        <w:t>⑤假设全部74名职员都在2023年12月31日行权</w:t>
      </w:r>
      <w:r>
        <w:rPr>
          <w:rFonts w:hint="eastAsia" w:ascii="宋体" w:hAnsi="宋体" w:cs="宋体"/>
          <w:color w:val="FF0000"/>
        </w:rPr>
        <w:t xml:space="preserve">（免费获得A公司股票 ）  </w:t>
      </w:r>
    </w:p>
    <w:p w14:paraId="1BE94DB3">
      <w:pPr>
        <w:jc w:val="left"/>
        <w:rPr>
          <w:rFonts w:ascii="宋体" w:hAnsi="宋体" w:cs="宋体"/>
        </w:rPr>
      </w:pPr>
      <w:r>
        <w:rPr>
          <w:rFonts w:hint="eastAsia" w:ascii="宋体" w:hAnsi="宋体" w:cs="宋体"/>
        </w:rPr>
        <w:t>借：资本公积——其他资本公积          177 600</w:t>
      </w:r>
    </w:p>
    <w:p w14:paraId="1392B742">
      <w:pPr>
        <w:jc w:val="left"/>
        <w:rPr>
          <w:rFonts w:ascii="宋体" w:hAnsi="宋体" w:cs="宋体"/>
        </w:rPr>
      </w:pPr>
      <w:r>
        <w:rPr>
          <w:rFonts w:hint="eastAsia" w:ascii="宋体" w:hAnsi="宋体" w:cs="宋体"/>
        </w:rPr>
        <w:t xml:space="preserve">   贷：股本　　　　　　　　　　                7 400</w:t>
      </w:r>
    </w:p>
    <w:p w14:paraId="58FA55A7">
      <w:pPr>
        <w:jc w:val="left"/>
        <w:rPr>
          <w:rFonts w:hint="eastAsia" w:ascii="宋体" w:hAnsi="宋体" w:cs="宋体"/>
          <w:color w:val="FF0000"/>
        </w:rPr>
      </w:pPr>
      <w:r>
        <w:rPr>
          <w:rFonts w:hint="eastAsia" w:ascii="宋体" w:hAnsi="宋体" w:cs="宋体"/>
        </w:rPr>
        <w:t xml:space="preserve">     </w:t>
      </w:r>
      <w:r>
        <w:rPr>
          <w:rFonts w:hint="eastAsia" w:ascii="宋体" w:hAnsi="宋体" w:cs="宋体"/>
          <w:color w:val="FF0000"/>
        </w:rPr>
        <w:t xml:space="preserve">  资本公积——股本溢价　                    170 200</w:t>
      </w:r>
    </w:p>
    <w:p w14:paraId="719F2020">
      <w:pPr>
        <w:overflowPunct w:val="0"/>
        <w:jc w:val="center"/>
        <w:rPr>
          <w:rFonts w:ascii="宋体" w:hAnsi="宋体" w:cs="宋体"/>
          <w:b/>
          <w:bCs/>
        </w:rPr>
      </w:pPr>
      <w:r>
        <w:rPr>
          <w:rFonts w:hint="eastAsia" w:ascii="宋体" w:hAnsi="宋体" w:cs="宋体"/>
          <w:b/>
          <w:bCs/>
        </w:rPr>
        <w:t>第二节  股份支付的确认和计量</w:t>
      </w:r>
    </w:p>
    <w:p w14:paraId="59FB6A66">
      <w:pPr>
        <w:jc w:val="left"/>
        <w:rPr>
          <w:rFonts w:ascii="宋体" w:hAnsi="宋体" w:cs="宋体"/>
          <w:color w:val="FF0000"/>
        </w:rPr>
      </w:pPr>
      <w:r>
        <w:rPr>
          <w:rFonts w:hint="eastAsia" w:ascii="宋体" w:hAnsi="宋体" w:cs="宋体"/>
          <w:color w:val="FF0000"/>
        </w:rPr>
        <w:t>（二）现金结算</w:t>
      </w:r>
    </w:p>
    <w:p w14:paraId="587817BE">
      <w:pPr>
        <w:jc w:val="left"/>
        <w:rPr>
          <w:rFonts w:ascii="宋体" w:hAnsi="宋体" w:cs="宋体"/>
          <w:color w:val="FF0000"/>
        </w:rPr>
      </w:pPr>
      <w:r>
        <w:rPr>
          <w:rFonts w:hint="eastAsia" w:ascii="宋体" w:hAnsi="宋体" w:cs="宋体"/>
          <w:color w:val="FF0000"/>
        </w:rPr>
        <w:t>（1）授予日</w:t>
      </w:r>
    </w:p>
    <w:p w14:paraId="2DCE5580">
      <w:pPr>
        <w:jc w:val="left"/>
        <w:rPr>
          <w:rFonts w:ascii="宋体" w:hAnsi="宋体" w:cs="宋体"/>
          <w:color w:val="FF0000"/>
        </w:rPr>
      </w:pPr>
      <w:r>
        <w:rPr>
          <w:rFonts w:hint="eastAsia" w:ascii="宋体" w:hAnsi="宋体" w:cs="宋体"/>
        </w:rPr>
        <w:t>除了立即可行权的股份支付外，</w:t>
      </w:r>
      <w:r>
        <w:rPr>
          <w:rFonts w:hint="eastAsia" w:ascii="宋体" w:hAnsi="宋体" w:cs="宋体"/>
          <w:color w:val="FF0000"/>
        </w:rPr>
        <w:t>企业在授予日不做会计处理。</w:t>
      </w:r>
    </w:p>
    <w:p w14:paraId="50DB8E1A">
      <w:pPr>
        <w:jc w:val="left"/>
        <w:rPr>
          <w:rFonts w:ascii="宋体" w:hAnsi="宋体" w:cs="宋体"/>
          <w:color w:val="FF0000"/>
        </w:rPr>
      </w:pPr>
      <w:r>
        <w:rPr>
          <w:rFonts w:hint="eastAsia" w:ascii="宋体" w:hAnsi="宋体" w:cs="宋体"/>
          <w:color w:val="FF0000"/>
        </w:rPr>
        <w:t>（2）等待期内每个资产负债表日</w:t>
      </w:r>
    </w:p>
    <w:p w14:paraId="5F3E87FC">
      <w:pPr>
        <w:jc w:val="left"/>
        <w:rPr>
          <w:rFonts w:ascii="宋体" w:hAnsi="宋体" w:cs="宋体"/>
        </w:rPr>
      </w:pPr>
      <w:r>
        <w:rPr>
          <w:rFonts w:hint="eastAsia" w:ascii="宋体" w:hAnsi="宋体" w:cs="宋体"/>
        </w:rPr>
        <w:t>企业应当在等待期内的每个资产负债表日，将取得职工或其他方提供的服务</w:t>
      </w:r>
      <w:r>
        <w:rPr>
          <w:rFonts w:hint="eastAsia" w:ascii="宋体" w:hAnsi="宋体" w:cs="宋体"/>
          <w:color w:val="FF0000"/>
        </w:rPr>
        <w:t>计入成本费用，同时</w:t>
      </w:r>
      <w:r>
        <w:rPr>
          <w:rFonts w:hint="eastAsia" w:ascii="宋体" w:hAnsi="宋体" w:cs="宋体"/>
        </w:rPr>
        <w:t>按照</w:t>
      </w:r>
      <w:r>
        <w:rPr>
          <w:rFonts w:hint="eastAsia" w:ascii="宋体" w:hAnsi="宋体" w:cs="宋体"/>
          <w:color w:val="FF0000"/>
        </w:rPr>
        <w:t>每个资产负债表日权益工具的公允价值</w:t>
      </w:r>
      <w:r>
        <w:rPr>
          <w:rFonts w:hint="eastAsia" w:ascii="宋体" w:hAnsi="宋体" w:cs="宋体"/>
        </w:rPr>
        <w:t>重新计量，确定应付职工薪酬。</w:t>
      </w:r>
    </w:p>
    <w:p w14:paraId="47D5E92A">
      <w:pPr>
        <w:jc w:val="left"/>
        <w:rPr>
          <w:rFonts w:ascii="宋体" w:hAnsi="宋体" w:cs="宋体"/>
        </w:rPr>
      </w:pPr>
      <w:r>
        <w:rPr>
          <w:rFonts w:hint="eastAsia" w:ascii="宋体" w:hAnsi="宋体" w:cs="宋体"/>
        </w:rPr>
        <w:t>借：管理费用等</w:t>
      </w:r>
    </w:p>
    <w:p w14:paraId="6F644362">
      <w:pPr>
        <w:jc w:val="left"/>
        <w:rPr>
          <w:rFonts w:ascii="宋体" w:hAnsi="宋体" w:cs="宋体"/>
          <w:color w:val="FF0000"/>
        </w:rPr>
      </w:pPr>
      <w:r>
        <w:rPr>
          <w:rFonts w:hint="eastAsia" w:ascii="宋体" w:hAnsi="宋体" w:cs="宋体"/>
        </w:rPr>
        <w:t xml:space="preserve">   贷：应付职工薪酬</w:t>
      </w:r>
      <w:r>
        <w:rPr>
          <w:rFonts w:hint="eastAsia" w:ascii="宋体" w:hAnsi="宋体" w:cs="宋体"/>
          <w:color w:val="FF0000"/>
        </w:rPr>
        <w:t>（每个资产负债表日公允）</w:t>
      </w:r>
    </w:p>
    <w:p w14:paraId="25A7DA9D">
      <w:pPr>
        <w:jc w:val="left"/>
        <w:rPr>
          <w:rFonts w:ascii="宋体" w:hAnsi="宋体" w:cs="宋体"/>
          <w:color w:val="FF0000"/>
        </w:rPr>
      </w:pPr>
      <w:r>
        <w:rPr>
          <w:rFonts w:hint="eastAsia" w:ascii="宋体" w:hAnsi="宋体" w:cs="宋体"/>
          <w:color w:val="FF0000"/>
        </w:rPr>
        <w:t>（3）可行权日之后</w:t>
      </w:r>
    </w:p>
    <w:p w14:paraId="1DFB098C">
      <w:pPr>
        <w:jc w:val="left"/>
        <w:rPr>
          <w:rFonts w:ascii="宋体" w:hAnsi="宋体" w:cs="宋体"/>
        </w:rPr>
      </w:pPr>
      <w:r>
        <w:rPr>
          <w:rFonts w:hint="eastAsia" w:ascii="宋体" w:hAnsi="宋体" w:cs="宋体"/>
        </w:rPr>
        <w:t>企业在可行权日之后</w:t>
      </w:r>
      <w:r>
        <w:rPr>
          <w:rFonts w:hint="eastAsia" w:ascii="宋体" w:hAnsi="宋体" w:cs="宋体"/>
          <w:color w:val="FF0000"/>
        </w:rPr>
        <w:t>不再确认成本费用</w:t>
      </w:r>
      <w:r>
        <w:rPr>
          <w:rFonts w:hint="eastAsia" w:ascii="宋体" w:hAnsi="宋体" w:cs="宋体"/>
        </w:rPr>
        <w:t>，负债（应付职工薪酬）</w:t>
      </w:r>
      <w:r>
        <w:rPr>
          <w:rFonts w:hint="eastAsia" w:ascii="宋体" w:hAnsi="宋体" w:cs="宋体"/>
          <w:color w:val="FF0000"/>
        </w:rPr>
        <w:t>公允价值的变动应当计入当期损益</w:t>
      </w:r>
      <w:r>
        <w:rPr>
          <w:rFonts w:hint="eastAsia" w:ascii="宋体" w:hAnsi="宋体" w:cs="宋体"/>
        </w:rPr>
        <w:t>（公允价值变动损益）。行权时：</w:t>
      </w:r>
    </w:p>
    <w:p w14:paraId="35D41BB6">
      <w:pPr>
        <w:jc w:val="left"/>
        <w:rPr>
          <w:rFonts w:ascii="宋体" w:hAnsi="宋体" w:cs="宋体"/>
        </w:rPr>
      </w:pPr>
      <w:r>
        <w:rPr>
          <w:rFonts w:hint="eastAsia" w:ascii="宋体" w:hAnsi="宋体" w:cs="宋体"/>
        </w:rPr>
        <w:t>借：应付职工薪酬</w:t>
      </w:r>
    </w:p>
    <w:p w14:paraId="5B88F62F">
      <w:pPr>
        <w:jc w:val="left"/>
        <w:rPr>
          <w:rFonts w:ascii="宋体" w:hAnsi="宋体" w:cs="宋体"/>
        </w:rPr>
      </w:pPr>
      <w:r>
        <w:rPr>
          <w:rFonts w:hint="eastAsia" w:ascii="宋体" w:hAnsi="宋体" w:cs="宋体"/>
        </w:rPr>
        <w:t xml:space="preserve">   贷：银行存款等</w:t>
      </w:r>
    </w:p>
    <w:p w14:paraId="421F5F66">
      <w:pPr>
        <w:jc w:val="left"/>
        <w:rPr>
          <w:rFonts w:ascii="宋体" w:hAnsi="宋体" w:cs="宋体"/>
        </w:rPr>
      </w:pPr>
      <w:r>
        <w:rPr>
          <w:rFonts w:hint="eastAsia" w:ascii="宋体" w:hAnsi="宋体" w:cs="宋体"/>
        </w:rPr>
        <w:t>后续公允价变动时：</w:t>
      </w:r>
    </w:p>
    <w:p w14:paraId="11911E2A">
      <w:pPr>
        <w:jc w:val="left"/>
        <w:rPr>
          <w:rFonts w:ascii="宋体" w:hAnsi="宋体" w:cs="宋体"/>
        </w:rPr>
      </w:pPr>
      <w:r>
        <w:rPr>
          <w:rFonts w:hint="eastAsia" w:ascii="宋体" w:hAnsi="宋体" w:cs="宋体"/>
        </w:rPr>
        <w:t>借：公允价值变动损益 　　　　</w:t>
      </w:r>
    </w:p>
    <w:p w14:paraId="025A3D28">
      <w:pPr>
        <w:jc w:val="left"/>
        <w:rPr>
          <w:rFonts w:ascii="宋体" w:hAnsi="宋体" w:cs="宋体"/>
          <w:color w:val="FF0000"/>
        </w:rPr>
      </w:pPr>
      <w:r>
        <w:rPr>
          <w:rFonts w:hint="eastAsia" w:ascii="宋体" w:hAnsi="宋体" w:cs="宋体"/>
        </w:rPr>
        <w:t xml:space="preserve">   贷：应付职工薪酬</w:t>
      </w:r>
      <w:r>
        <w:rPr>
          <w:rFonts w:hint="eastAsia" w:ascii="宋体" w:hAnsi="宋体" w:cs="宋体"/>
          <w:color w:val="FF0000"/>
        </w:rPr>
        <w:t>（或相反分录）</w:t>
      </w:r>
    </w:p>
    <w:p w14:paraId="555B4A80">
      <w:pPr>
        <w:jc w:val="left"/>
        <w:rPr>
          <w:rFonts w:ascii="宋体" w:hAnsi="宋体" w:cs="宋体"/>
        </w:rPr>
      </w:pPr>
      <w:r>
        <w:rPr>
          <w:rFonts w:hint="eastAsia" w:ascii="宋体" w:hAnsi="宋体" w:cs="宋体"/>
          <w:color w:val="FF0000"/>
        </w:rPr>
        <w:t>【例10-4】</w:t>
      </w:r>
      <w:r>
        <w:rPr>
          <w:rFonts w:hint="eastAsia" w:ascii="宋体" w:hAnsi="宋体" w:cs="宋体"/>
        </w:rPr>
        <w:t>2019年年初，公司为其</w:t>
      </w:r>
      <w:r>
        <w:rPr>
          <w:rFonts w:hint="eastAsia" w:ascii="宋体" w:hAnsi="宋体" w:cs="宋体"/>
          <w:color w:val="FF0000"/>
        </w:rPr>
        <w:t>200名</w:t>
      </w:r>
      <w:r>
        <w:rPr>
          <w:rFonts w:hint="eastAsia" w:ascii="宋体" w:hAnsi="宋体" w:cs="宋体"/>
        </w:rPr>
        <w:t>中层以上职员每人授予</w:t>
      </w:r>
      <w:r>
        <w:rPr>
          <w:rFonts w:hint="eastAsia" w:ascii="宋体" w:hAnsi="宋体" w:cs="宋体"/>
          <w:color w:val="FF0000"/>
        </w:rPr>
        <w:t>100份现金股票增值权</w:t>
      </w:r>
      <w:r>
        <w:rPr>
          <w:rFonts w:hint="eastAsia" w:ascii="宋体" w:hAnsi="宋体" w:cs="宋体"/>
        </w:rPr>
        <w:t>，这些职员从2019年1月1日起在该公司</w:t>
      </w:r>
      <w:r>
        <w:rPr>
          <w:rFonts w:hint="eastAsia" w:ascii="宋体" w:hAnsi="宋体" w:cs="宋体"/>
          <w:color w:val="FF0000"/>
        </w:rPr>
        <w:t>连续服务3年</w:t>
      </w:r>
      <w:r>
        <w:rPr>
          <w:rFonts w:hint="eastAsia" w:ascii="宋体" w:hAnsi="宋体" w:cs="宋体"/>
        </w:rPr>
        <w:t>，即可按照当时股价的增长幅度获得现金，该增值权应在2023年12月31日之前行使。A公司估计，该增值权在负债结算之前的每一资产负债表日以及结算日的公允价值和可行权后的每份增值权现金支出额表10-3所示。</w:t>
      </w:r>
    </w:p>
    <w:p w14:paraId="59588ABC">
      <w:pPr>
        <w:jc w:val="left"/>
        <w:rPr>
          <w:rFonts w:ascii="宋体" w:hAnsi="宋体" w:cs="宋体"/>
        </w:rPr>
      </w:pPr>
      <w:r>
        <w:rPr>
          <w:rFonts w:hint="eastAsia" w:ascii="宋体" w:hAnsi="宋体" w:cs="宋体"/>
        </w:rPr>
        <w:t xml:space="preserve">           表10-3                                                           单位：元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6F6C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D8F610F">
            <w:pPr>
              <w:jc w:val="center"/>
              <w:rPr>
                <w:rFonts w:ascii="宋体" w:hAnsi="宋体" w:cs="宋体"/>
              </w:rPr>
            </w:pPr>
            <w:r>
              <w:rPr>
                <w:rFonts w:hint="eastAsia" w:ascii="宋体" w:hAnsi="宋体" w:cs="宋体"/>
              </w:rPr>
              <w:t>年份</w:t>
            </w:r>
          </w:p>
        </w:tc>
        <w:tc>
          <w:tcPr>
            <w:tcW w:w="1666" w:type="pct"/>
          </w:tcPr>
          <w:p w14:paraId="419F9092">
            <w:pPr>
              <w:jc w:val="center"/>
              <w:rPr>
                <w:rFonts w:ascii="宋体" w:hAnsi="宋体" w:cs="宋体"/>
              </w:rPr>
            </w:pPr>
            <w:r>
              <w:rPr>
                <w:rFonts w:hint="eastAsia" w:ascii="宋体" w:hAnsi="宋体" w:cs="宋体"/>
              </w:rPr>
              <w:t>公允价值</w:t>
            </w:r>
          </w:p>
        </w:tc>
        <w:tc>
          <w:tcPr>
            <w:tcW w:w="1666" w:type="pct"/>
          </w:tcPr>
          <w:p w14:paraId="1327985D">
            <w:pPr>
              <w:jc w:val="center"/>
              <w:rPr>
                <w:rFonts w:ascii="宋体" w:hAnsi="宋体" w:cs="宋体"/>
              </w:rPr>
            </w:pPr>
            <w:r>
              <w:rPr>
                <w:rFonts w:hint="eastAsia" w:ascii="宋体" w:hAnsi="宋体" w:cs="宋体"/>
              </w:rPr>
              <w:t>支付现金</w:t>
            </w:r>
          </w:p>
        </w:tc>
      </w:tr>
      <w:tr w14:paraId="0C00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9518888">
            <w:pPr>
              <w:jc w:val="center"/>
              <w:rPr>
                <w:rFonts w:ascii="宋体" w:hAnsi="宋体" w:cs="宋体"/>
              </w:rPr>
            </w:pPr>
            <w:r>
              <w:rPr>
                <w:rFonts w:hint="eastAsia" w:ascii="宋体" w:hAnsi="宋体" w:cs="宋体"/>
              </w:rPr>
              <w:t>2019</w:t>
            </w:r>
          </w:p>
        </w:tc>
        <w:tc>
          <w:tcPr>
            <w:tcW w:w="1666" w:type="pct"/>
          </w:tcPr>
          <w:p w14:paraId="56237D47">
            <w:pPr>
              <w:jc w:val="center"/>
              <w:rPr>
                <w:rFonts w:ascii="宋体" w:hAnsi="宋体" w:cs="宋体"/>
              </w:rPr>
            </w:pPr>
            <w:r>
              <w:rPr>
                <w:rFonts w:hint="eastAsia" w:ascii="宋体" w:hAnsi="宋体" w:cs="宋体"/>
              </w:rPr>
              <w:t>14</w:t>
            </w:r>
          </w:p>
        </w:tc>
        <w:tc>
          <w:tcPr>
            <w:tcW w:w="1666" w:type="pct"/>
          </w:tcPr>
          <w:p w14:paraId="5B7DE2A9">
            <w:pPr>
              <w:jc w:val="left"/>
              <w:rPr>
                <w:rFonts w:ascii="宋体" w:hAnsi="宋体" w:cs="宋体"/>
              </w:rPr>
            </w:pPr>
          </w:p>
        </w:tc>
      </w:tr>
      <w:tr w14:paraId="01E4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B6C33ED">
            <w:pPr>
              <w:jc w:val="center"/>
              <w:rPr>
                <w:rFonts w:ascii="宋体" w:hAnsi="宋体" w:cs="宋体"/>
              </w:rPr>
            </w:pPr>
            <w:r>
              <w:rPr>
                <w:rFonts w:hint="eastAsia" w:ascii="宋体" w:hAnsi="宋体" w:cs="宋体"/>
              </w:rPr>
              <w:t>2020</w:t>
            </w:r>
          </w:p>
        </w:tc>
        <w:tc>
          <w:tcPr>
            <w:tcW w:w="1666" w:type="pct"/>
          </w:tcPr>
          <w:p w14:paraId="6A1DE2A3">
            <w:pPr>
              <w:jc w:val="center"/>
              <w:rPr>
                <w:rFonts w:ascii="宋体" w:hAnsi="宋体" w:cs="宋体"/>
              </w:rPr>
            </w:pPr>
            <w:r>
              <w:rPr>
                <w:rFonts w:hint="eastAsia" w:ascii="宋体" w:hAnsi="宋体" w:cs="宋体"/>
              </w:rPr>
              <w:t>15</w:t>
            </w:r>
          </w:p>
        </w:tc>
        <w:tc>
          <w:tcPr>
            <w:tcW w:w="1666" w:type="pct"/>
          </w:tcPr>
          <w:p w14:paraId="5330F9A8">
            <w:pPr>
              <w:jc w:val="left"/>
              <w:rPr>
                <w:rFonts w:ascii="宋体" w:hAnsi="宋体" w:cs="宋体"/>
              </w:rPr>
            </w:pPr>
          </w:p>
        </w:tc>
      </w:tr>
      <w:tr w14:paraId="7194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B2F08EA">
            <w:pPr>
              <w:jc w:val="center"/>
              <w:rPr>
                <w:rFonts w:ascii="宋体" w:hAnsi="宋体" w:cs="宋体"/>
              </w:rPr>
            </w:pPr>
            <w:r>
              <w:rPr>
                <w:rFonts w:hint="eastAsia" w:ascii="宋体" w:hAnsi="宋体" w:cs="宋体"/>
              </w:rPr>
              <w:t>2021</w:t>
            </w:r>
          </w:p>
        </w:tc>
        <w:tc>
          <w:tcPr>
            <w:tcW w:w="1666" w:type="pct"/>
          </w:tcPr>
          <w:p w14:paraId="59948FE1">
            <w:pPr>
              <w:jc w:val="center"/>
              <w:rPr>
                <w:rFonts w:ascii="宋体" w:hAnsi="宋体" w:cs="宋体"/>
              </w:rPr>
            </w:pPr>
            <w:r>
              <w:rPr>
                <w:rFonts w:hint="eastAsia" w:ascii="宋体" w:hAnsi="宋体" w:cs="宋体"/>
              </w:rPr>
              <w:t>18</w:t>
            </w:r>
          </w:p>
        </w:tc>
        <w:tc>
          <w:tcPr>
            <w:tcW w:w="1666" w:type="pct"/>
          </w:tcPr>
          <w:p w14:paraId="0E267BE4">
            <w:pPr>
              <w:jc w:val="center"/>
              <w:rPr>
                <w:rFonts w:ascii="宋体" w:hAnsi="宋体" w:cs="宋体"/>
              </w:rPr>
            </w:pPr>
            <w:r>
              <w:rPr>
                <w:rFonts w:hint="eastAsia" w:ascii="宋体" w:hAnsi="宋体" w:cs="宋体"/>
              </w:rPr>
              <w:t>16</w:t>
            </w:r>
          </w:p>
        </w:tc>
      </w:tr>
      <w:tr w14:paraId="2DDA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686CF53">
            <w:pPr>
              <w:jc w:val="center"/>
              <w:rPr>
                <w:rFonts w:ascii="宋体" w:hAnsi="宋体" w:cs="宋体"/>
              </w:rPr>
            </w:pPr>
            <w:r>
              <w:rPr>
                <w:rFonts w:hint="eastAsia" w:ascii="宋体" w:hAnsi="宋体" w:cs="宋体"/>
              </w:rPr>
              <w:t>2022</w:t>
            </w:r>
          </w:p>
        </w:tc>
        <w:tc>
          <w:tcPr>
            <w:tcW w:w="1666" w:type="pct"/>
          </w:tcPr>
          <w:p w14:paraId="1B77FD2B">
            <w:pPr>
              <w:jc w:val="center"/>
              <w:rPr>
                <w:rFonts w:ascii="宋体" w:hAnsi="宋体" w:cs="宋体"/>
              </w:rPr>
            </w:pPr>
            <w:r>
              <w:rPr>
                <w:rFonts w:hint="eastAsia" w:ascii="宋体" w:hAnsi="宋体" w:cs="宋体"/>
              </w:rPr>
              <w:t>21</w:t>
            </w:r>
          </w:p>
        </w:tc>
        <w:tc>
          <w:tcPr>
            <w:tcW w:w="1666" w:type="pct"/>
          </w:tcPr>
          <w:p w14:paraId="4FB556A4">
            <w:pPr>
              <w:jc w:val="center"/>
              <w:rPr>
                <w:rFonts w:ascii="宋体" w:hAnsi="宋体" w:cs="宋体"/>
              </w:rPr>
            </w:pPr>
            <w:r>
              <w:rPr>
                <w:rFonts w:hint="eastAsia" w:ascii="宋体" w:hAnsi="宋体" w:cs="宋体"/>
              </w:rPr>
              <w:t>20</w:t>
            </w:r>
          </w:p>
        </w:tc>
      </w:tr>
      <w:tr w14:paraId="1F63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660EFD4">
            <w:pPr>
              <w:jc w:val="center"/>
              <w:rPr>
                <w:rFonts w:ascii="宋体" w:hAnsi="宋体" w:cs="宋体"/>
              </w:rPr>
            </w:pPr>
            <w:r>
              <w:rPr>
                <w:rFonts w:hint="eastAsia" w:ascii="宋体" w:hAnsi="宋体" w:cs="宋体"/>
              </w:rPr>
              <w:t>2023</w:t>
            </w:r>
          </w:p>
        </w:tc>
        <w:tc>
          <w:tcPr>
            <w:tcW w:w="1666" w:type="pct"/>
          </w:tcPr>
          <w:p w14:paraId="6AF2B4EA">
            <w:pPr>
              <w:jc w:val="left"/>
              <w:rPr>
                <w:rFonts w:ascii="宋体" w:hAnsi="宋体" w:cs="宋体"/>
              </w:rPr>
            </w:pPr>
          </w:p>
        </w:tc>
        <w:tc>
          <w:tcPr>
            <w:tcW w:w="1666" w:type="pct"/>
          </w:tcPr>
          <w:p w14:paraId="0D5E41A4">
            <w:pPr>
              <w:jc w:val="center"/>
              <w:rPr>
                <w:rFonts w:ascii="宋体" w:hAnsi="宋体" w:cs="宋体"/>
              </w:rPr>
            </w:pPr>
            <w:r>
              <w:rPr>
                <w:rFonts w:hint="eastAsia" w:ascii="宋体" w:hAnsi="宋体" w:cs="宋体"/>
              </w:rPr>
              <w:t>25</w:t>
            </w:r>
          </w:p>
        </w:tc>
      </w:tr>
    </w:tbl>
    <w:p w14:paraId="0FE1E1F0">
      <w:pPr>
        <w:jc w:val="left"/>
        <w:rPr>
          <w:rFonts w:ascii="宋体" w:hAnsi="宋体" w:cs="宋体"/>
          <w:color w:val="FF0000"/>
        </w:rPr>
      </w:pPr>
      <w:r>
        <w:rPr>
          <w:rFonts w:hint="eastAsia" w:ascii="宋体" w:hAnsi="宋体" w:cs="宋体"/>
        </w:rPr>
        <w:t>第一年有20名职员离开A公司，A公司估计三年中还将有15名职员离开；</w:t>
      </w:r>
      <w:r>
        <w:rPr>
          <w:rFonts w:hint="eastAsia" w:ascii="宋体" w:hAnsi="宋体" w:cs="宋体"/>
          <w:color w:val="FF0000"/>
        </w:rPr>
        <w:t>（165人）</w:t>
      </w:r>
    </w:p>
    <w:p w14:paraId="222EB1BC">
      <w:pPr>
        <w:jc w:val="left"/>
        <w:rPr>
          <w:rFonts w:ascii="宋体" w:hAnsi="宋体" w:cs="宋体"/>
        </w:rPr>
      </w:pPr>
      <w:r>
        <w:rPr>
          <w:rFonts w:hint="eastAsia" w:ascii="宋体" w:hAnsi="宋体" w:cs="宋体"/>
        </w:rPr>
        <w:t>第二年又有10名职员离开公司，公司估计还将有10名职员离开</w:t>
      </w:r>
      <w:r>
        <w:rPr>
          <w:rFonts w:hint="eastAsia" w:ascii="宋体" w:hAnsi="宋体" w:cs="宋体"/>
          <w:color w:val="FF0000"/>
        </w:rPr>
        <w:t>（160人）；</w:t>
      </w:r>
    </w:p>
    <w:p w14:paraId="4D80F38A">
      <w:pPr>
        <w:jc w:val="left"/>
        <w:rPr>
          <w:rFonts w:ascii="宋体" w:hAnsi="宋体" w:cs="宋体"/>
          <w:color w:val="FF0000"/>
        </w:rPr>
      </w:pPr>
      <w:r>
        <w:rPr>
          <w:rFonts w:hint="eastAsia" w:ascii="宋体" w:hAnsi="宋体" w:cs="宋体"/>
        </w:rPr>
        <w:t>第三年又有15名职员离开</w:t>
      </w:r>
      <w:r>
        <w:rPr>
          <w:rFonts w:hint="eastAsia" w:ascii="宋体" w:hAnsi="宋体" w:cs="宋体"/>
          <w:color w:val="FF0000"/>
        </w:rPr>
        <w:t>（155人）。</w:t>
      </w:r>
    </w:p>
    <w:p w14:paraId="4E121570">
      <w:pPr>
        <w:jc w:val="left"/>
        <w:rPr>
          <w:rFonts w:ascii="宋体" w:hAnsi="宋体" w:cs="宋体"/>
        </w:rPr>
      </w:pPr>
      <w:r>
        <w:rPr>
          <w:rFonts w:hint="eastAsia" w:ascii="宋体" w:hAnsi="宋体" w:cs="宋体"/>
        </w:rPr>
        <w:t>第三年年末，有70人行使股份增值权取得了现金</w:t>
      </w:r>
      <w:r>
        <w:rPr>
          <w:rFonts w:hint="eastAsia" w:ascii="宋体" w:hAnsi="宋体" w:cs="宋体"/>
          <w:color w:val="FF0000"/>
        </w:rPr>
        <w:t>（85人）。</w:t>
      </w:r>
    </w:p>
    <w:p w14:paraId="249C21DE">
      <w:pPr>
        <w:jc w:val="left"/>
        <w:rPr>
          <w:rFonts w:ascii="宋体" w:hAnsi="宋体" w:cs="宋体"/>
          <w:color w:val="FF0000"/>
        </w:rPr>
      </w:pPr>
      <w:r>
        <w:rPr>
          <w:rFonts w:hint="eastAsia" w:ascii="宋体" w:hAnsi="宋体" w:cs="宋体"/>
        </w:rPr>
        <w:t>第四年末，有50人行使了股份增值权</w:t>
      </w:r>
      <w:r>
        <w:rPr>
          <w:rFonts w:hint="eastAsia" w:ascii="宋体" w:hAnsi="宋体" w:cs="宋体"/>
          <w:color w:val="FF0000"/>
        </w:rPr>
        <w:t>（35人）。</w:t>
      </w:r>
    </w:p>
    <w:p w14:paraId="29DDB4D7">
      <w:pPr>
        <w:jc w:val="left"/>
        <w:rPr>
          <w:rFonts w:hint="eastAsia" w:ascii="宋体" w:hAnsi="宋体" w:cs="宋体"/>
          <w:color w:val="FF0000"/>
        </w:rPr>
      </w:pPr>
      <w:r>
        <w:rPr>
          <w:rFonts w:hint="eastAsia" w:ascii="宋体" w:hAnsi="宋体" w:cs="宋体"/>
        </w:rPr>
        <w:t>第五年末，剩余35人也行使了股份增值权</w:t>
      </w:r>
      <w:r>
        <w:rPr>
          <w:rFonts w:hint="eastAsia" w:ascii="宋体" w:hAnsi="宋体" w:cs="宋体"/>
          <w:color w:val="FF0000"/>
        </w:rPr>
        <w:t>（0）。</w:t>
      </w:r>
    </w:p>
    <w:p w14:paraId="3637DA74">
      <w:pPr>
        <w:jc w:val="left"/>
        <w:rPr>
          <w:rFonts w:ascii="宋体" w:hAnsi="宋体" w:cs="宋体"/>
        </w:rPr>
      </w:pPr>
      <w:r>
        <w:rPr>
          <w:rFonts w:hint="eastAsia" w:ascii="宋体" w:hAnsi="宋体" w:cs="宋体"/>
        </w:rPr>
        <w:drawing>
          <wp:inline distT="0" distB="0" distL="114300" distR="114300">
            <wp:extent cx="3850005" cy="2692400"/>
            <wp:effectExtent l="0" t="0" r="1714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863498" cy="2702093"/>
                    </a:xfrm>
                    <a:prstGeom prst="rect">
                      <a:avLst/>
                    </a:prstGeom>
                    <a:noFill/>
                    <a:ln>
                      <a:noFill/>
                    </a:ln>
                  </pic:spPr>
                </pic:pic>
              </a:graphicData>
            </a:graphic>
          </wp:inline>
        </w:drawing>
      </w:r>
    </w:p>
    <w:p w14:paraId="4CC9D50F">
      <w:pPr>
        <w:jc w:val="left"/>
        <w:rPr>
          <w:rFonts w:ascii="宋体" w:hAnsi="宋体" w:cs="宋体"/>
        </w:rPr>
      </w:pPr>
      <w:r>
        <w:rPr>
          <w:rFonts w:hint="eastAsia" w:ascii="宋体" w:hAnsi="宋体" w:cs="宋体"/>
        </w:rPr>
        <w:t>（1）费用和应付职工薪酬的计算过程如表10-4所示。</w:t>
      </w:r>
    </w:p>
    <w:p w14:paraId="5F42AF99">
      <w:pPr>
        <w:jc w:val="left"/>
        <w:rPr>
          <w:rFonts w:ascii="宋体" w:hAnsi="宋体" w:cs="宋体"/>
        </w:rPr>
      </w:pPr>
      <w:r>
        <w:rPr>
          <w:rFonts w:hint="eastAsia" w:ascii="宋体" w:hAnsi="宋体" w:cs="宋体"/>
        </w:rPr>
        <w:t>表10-4                                                                      单位：元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611"/>
        <w:gridCol w:w="2175"/>
        <w:gridCol w:w="1257"/>
        <w:gridCol w:w="1689"/>
        <w:gridCol w:w="1685"/>
      </w:tblGrid>
      <w:tr w14:paraId="018A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60489F0B">
            <w:pPr>
              <w:jc w:val="center"/>
              <w:rPr>
                <w:rFonts w:ascii="宋体" w:hAnsi="宋体" w:cs="宋体"/>
              </w:rPr>
            </w:pPr>
            <w:r>
              <w:rPr>
                <w:rFonts w:hint="eastAsia" w:ascii="宋体" w:hAnsi="宋体" w:cs="宋体"/>
              </w:rPr>
              <w:t>年份</w:t>
            </w:r>
          </w:p>
        </w:tc>
        <w:tc>
          <w:tcPr>
            <w:tcW w:w="1288" w:type="pct"/>
          </w:tcPr>
          <w:p w14:paraId="5A8FE342">
            <w:pPr>
              <w:jc w:val="center"/>
              <w:rPr>
                <w:rFonts w:ascii="宋体" w:hAnsi="宋体" w:cs="宋体"/>
              </w:rPr>
            </w:pPr>
            <w:r>
              <w:rPr>
                <w:rFonts w:hint="eastAsia" w:ascii="宋体" w:hAnsi="宋体" w:cs="宋体"/>
              </w:rPr>
              <w:t>负债计算（1）</w:t>
            </w:r>
          </w:p>
        </w:tc>
        <w:tc>
          <w:tcPr>
            <w:tcW w:w="1073" w:type="pct"/>
          </w:tcPr>
          <w:p w14:paraId="4376E5A7">
            <w:pPr>
              <w:jc w:val="center"/>
              <w:rPr>
                <w:rFonts w:ascii="宋体" w:hAnsi="宋体" w:cs="宋体"/>
              </w:rPr>
            </w:pPr>
            <w:r>
              <w:rPr>
                <w:rFonts w:hint="eastAsia" w:ascii="宋体" w:hAnsi="宋体" w:cs="宋体"/>
              </w:rPr>
              <w:t>支付现金计算（2）</w:t>
            </w:r>
          </w:p>
        </w:tc>
        <w:tc>
          <w:tcPr>
            <w:tcW w:w="620" w:type="pct"/>
          </w:tcPr>
          <w:p w14:paraId="5E9B45D5">
            <w:pPr>
              <w:jc w:val="center"/>
              <w:rPr>
                <w:rFonts w:ascii="宋体" w:hAnsi="宋体" w:cs="宋体"/>
              </w:rPr>
            </w:pPr>
            <w:r>
              <w:rPr>
                <w:rFonts w:hint="eastAsia" w:ascii="宋体" w:hAnsi="宋体" w:cs="宋体"/>
              </w:rPr>
              <w:t>负债（3）</w:t>
            </w:r>
          </w:p>
        </w:tc>
        <w:tc>
          <w:tcPr>
            <w:tcW w:w="833" w:type="pct"/>
          </w:tcPr>
          <w:p w14:paraId="59267826">
            <w:pPr>
              <w:jc w:val="center"/>
              <w:rPr>
                <w:rFonts w:ascii="宋体" w:hAnsi="宋体" w:cs="宋体"/>
              </w:rPr>
            </w:pPr>
            <w:r>
              <w:rPr>
                <w:rFonts w:hint="eastAsia" w:ascii="宋体" w:hAnsi="宋体" w:cs="宋体"/>
              </w:rPr>
              <w:t>支付现金（4）</w:t>
            </w:r>
          </w:p>
        </w:tc>
        <w:tc>
          <w:tcPr>
            <w:tcW w:w="831" w:type="pct"/>
          </w:tcPr>
          <w:p w14:paraId="3E319DB0">
            <w:pPr>
              <w:jc w:val="center"/>
              <w:rPr>
                <w:rFonts w:ascii="宋体" w:hAnsi="宋体" w:cs="宋体"/>
              </w:rPr>
            </w:pPr>
            <w:r>
              <w:rPr>
                <w:rFonts w:hint="eastAsia" w:ascii="宋体" w:hAnsi="宋体" w:cs="宋体"/>
              </w:rPr>
              <w:t>当期费用（5）</w:t>
            </w:r>
          </w:p>
        </w:tc>
      </w:tr>
      <w:tr w14:paraId="2D11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4CE0977C">
            <w:pPr>
              <w:jc w:val="center"/>
              <w:rPr>
                <w:rFonts w:ascii="宋体" w:hAnsi="宋体" w:cs="宋体"/>
              </w:rPr>
            </w:pPr>
            <w:r>
              <w:rPr>
                <w:rFonts w:hint="eastAsia" w:ascii="宋体" w:hAnsi="宋体" w:cs="宋体"/>
              </w:rPr>
              <w:t>2019</w:t>
            </w:r>
          </w:p>
        </w:tc>
        <w:tc>
          <w:tcPr>
            <w:tcW w:w="1288" w:type="pct"/>
          </w:tcPr>
          <w:p w14:paraId="1A732952">
            <w:pPr>
              <w:jc w:val="center"/>
              <w:rPr>
                <w:rFonts w:ascii="宋体" w:hAnsi="宋体" w:cs="宋体"/>
              </w:rPr>
            </w:pPr>
            <w:r>
              <w:rPr>
                <w:rFonts w:hint="eastAsia" w:ascii="宋体" w:hAnsi="宋体" w:cs="宋体"/>
              </w:rPr>
              <w:t>（200-35）×100×</w:t>
            </w:r>
            <w:r>
              <w:rPr>
                <w:rFonts w:hint="eastAsia" w:ascii="宋体" w:hAnsi="宋体" w:cs="宋体"/>
                <w:color w:val="FF0000"/>
              </w:rPr>
              <w:t>14</w:t>
            </w:r>
            <w:r>
              <w:rPr>
                <w:rFonts w:hint="eastAsia" w:ascii="宋体" w:hAnsi="宋体" w:cs="宋体"/>
              </w:rPr>
              <w:t>×1/3</w:t>
            </w:r>
          </w:p>
        </w:tc>
        <w:tc>
          <w:tcPr>
            <w:tcW w:w="1073" w:type="pct"/>
          </w:tcPr>
          <w:p w14:paraId="46F3B2BB">
            <w:pPr>
              <w:jc w:val="center"/>
              <w:rPr>
                <w:rFonts w:ascii="宋体" w:hAnsi="宋体" w:cs="宋体"/>
              </w:rPr>
            </w:pPr>
            <w:r>
              <w:rPr>
                <w:rFonts w:hint="eastAsia" w:ascii="宋体" w:hAnsi="宋体" w:cs="宋体"/>
              </w:rPr>
              <w:t>　</w:t>
            </w:r>
          </w:p>
        </w:tc>
        <w:tc>
          <w:tcPr>
            <w:tcW w:w="620" w:type="pct"/>
          </w:tcPr>
          <w:p w14:paraId="06099873">
            <w:pPr>
              <w:jc w:val="center"/>
              <w:rPr>
                <w:rFonts w:ascii="宋体" w:hAnsi="宋体" w:cs="宋体"/>
              </w:rPr>
            </w:pPr>
            <w:r>
              <w:rPr>
                <w:rFonts w:hint="eastAsia" w:ascii="宋体" w:hAnsi="宋体" w:cs="宋体"/>
              </w:rPr>
              <w:t>77 000</w:t>
            </w:r>
          </w:p>
        </w:tc>
        <w:tc>
          <w:tcPr>
            <w:tcW w:w="833" w:type="pct"/>
          </w:tcPr>
          <w:p w14:paraId="6F1C01D0">
            <w:pPr>
              <w:jc w:val="center"/>
              <w:rPr>
                <w:rFonts w:ascii="宋体" w:hAnsi="宋体" w:cs="宋体"/>
              </w:rPr>
            </w:pPr>
            <w:r>
              <w:rPr>
                <w:rFonts w:hint="eastAsia" w:ascii="宋体" w:hAnsi="宋体" w:cs="宋体"/>
              </w:rPr>
              <w:t>　</w:t>
            </w:r>
          </w:p>
        </w:tc>
        <w:tc>
          <w:tcPr>
            <w:tcW w:w="831" w:type="pct"/>
          </w:tcPr>
          <w:p w14:paraId="589BCA23">
            <w:pPr>
              <w:jc w:val="center"/>
              <w:rPr>
                <w:rFonts w:ascii="宋体" w:hAnsi="宋体" w:cs="宋体"/>
              </w:rPr>
            </w:pPr>
            <w:r>
              <w:rPr>
                <w:rFonts w:hint="eastAsia" w:ascii="宋体" w:hAnsi="宋体" w:cs="宋体"/>
              </w:rPr>
              <w:t>77 000</w:t>
            </w:r>
          </w:p>
        </w:tc>
      </w:tr>
      <w:tr w14:paraId="2EC4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51B0ECDE">
            <w:pPr>
              <w:jc w:val="center"/>
              <w:rPr>
                <w:rFonts w:ascii="宋体" w:hAnsi="宋体" w:cs="宋体"/>
              </w:rPr>
            </w:pPr>
            <w:r>
              <w:rPr>
                <w:rFonts w:hint="eastAsia" w:ascii="宋体" w:hAnsi="宋体" w:cs="宋体"/>
              </w:rPr>
              <w:t>2020</w:t>
            </w:r>
          </w:p>
        </w:tc>
        <w:tc>
          <w:tcPr>
            <w:tcW w:w="1288" w:type="pct"/>
          </w:tcPr>
          <w:p w14:paraId="6ABBD98B">
            <w:pPr>
              <w:jc w:val="center"/>
              <w:rPr>
                <w:rFonts w:ascii="宋体" w:hAnsi="宋体" w:cs="宋体"/>
              </w:rPr>
            </w:pPr>
            <w:r>
              <w:rPr>
                <w:rFonts w:hint="eastAsia" w:ascii="宋体" w:hAnsi="宋体" w:cs="宋体"/>
              </w:rPr>
              <w:t>（200-40）×100×</w:t>
            </w:r>
            <w:r>
              <w:rPr>
                <w:rFonts w:hint="eastAsia" w:ascii="宋体" w:hAnsi="宋体" w:cs="宋体"/>
                <w:color w:val="FF0000"/>
              </w:rPr>
              <w:t>15</w:t>
            </w:r>
            <w:r>
              <w:rPr>
                <w:rFonts w:hint="eastAsia" w:ascii="宋体" w:hAnsi="宋体" w:cs="宋体"/>
              </w:rPr>
              <w:t>×2/3</w:t>
            </w:r>
          </w:p>
        </w:tc>
        <w:tc>
          <w:tcPr>
            <w:tcW w:w="1073" w:type="pct"/>
          </w:tcPr>
          <w:p w14:paraId="3A636413">
            <w:pPr>
              <w:jc w:val="center"/>
              <w:rPr>
                <w:rFonts w:ascii="宋体" w:hAnsi="宋体" w:cs="宋体"/>
              </w:rPr>
            </w:pPr>
            <w:r>
              <w:rPr>
                <w:rFonts w:hint="eastAsia" w:ascii="宋体" w:hAnsi="宋体" w:cs="宋体"/>
              </w:rPr>
              <w:t>　</w:t>
            </w:r>
          </w:p>
        </w:tc>
        <w:tc>
          <w:tcPr>
            <w:tcW w:w="620" w:type="pct"/>
          </w:tcPr>
          <w:p w14:paraId="1F07076D">
            <w:pPr>
              <w:jc w:val="center"/>
              <w:rPr>
                <w:rFonts w:ascii="宋体" w:hAnsi="宋体" w:cs="宋体"/>
              </w:rPr>
            </w:pPr>
            <w:r>
              <w:rPr>
                <w:rFonts w:hint="eastAsia" w:ascii="宋体" w:hAnsi="宋体" w:cs="宋体"/>
              </w:rPr>
              <w:t>160 000</w:t>
            </w:r>
          </w:p>
        </w:tc>
        <w:tc>
          <w:tcPr>
            <w:tcW w:w="833" w:type="pct"/>
          </w:tcPr>
          <w:p w14:paraId="56F08EC3">
            <w:pPr>
              <w:jc w:val="center"/>
              <w:rPr>
                <w:rFonts w:ascii="宋体" w:hAnsi="宋体" w:cs="宋体"/>
              </w:rPr>
            </w:pPr>
            <w:r>
              <w:rPr>
                <w:rFonts w:hint="eastAsia" w:ascii="宋体" w:hAnsi="宋体" w:cs="宋体"/>
              </w:rPr>
              <w:t>　</w:t>
            </w:r>
          </w:p>
        </w:tc>
        <w:tc>
          <w:tcPr>
            <w:tcW w:w="831" w:type="pct"/>
          </w:tcPr>
          <w:p w14:paraId="1E66ADC0">
            <w:pPr>
              <w:jc w:val="center"/>
              <w:rPr>
                <w:rFonts w:ascii="宋体" w:hAnsi="宋体" w:cs="宋体"/>
              </w:rPr>
            </w:pPr>
            <w:r>
              <w:rPr>
                <w:rFonts w:hint="eastAsia" w:ascii="宋体" w:hAnsi="宋体" w:cs="宋体"/>
              </w:rPr>
              <w:t>83 000</w:t>
            </w:r>
          </w:p>
        </w:tc>
      </w:tr>
      <w:tr w14:paraId="5A3F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7F90CC7E">
            <w:pPr>
              <w:jc w:val="center"/>
              <w:rPr>
                <w:rFonts w:ascii="宋体" w:hAnsi="宋体" w:cs="宋体"/>
              </w:rPr>
            </w:pPr>
            <w:r>
              <w:rPr>
                <w:rFonts w:hint="eastAsia" w:ascii="宋体" w:hAnsi="宋体" w:cs="宋体"/>
              </w:rPr>
              <w:t>2021</w:t>
            </w:r>
          </w:p>
        </w:tc>
        <w:tc>
          <w:tcPr>
            <w:tcW w:w="1288" w:type="pct"/>
          </w:tcPr>
          <w:p w14:paraId="17E39173">
            <w:pPr>
              <w:jc w:val="center"/>
              <w:rPr>
                <w:rFonts w:ascii="宋体" w:hAnsi="宋体" w:cs="宋体"/>
              </w:rPr>
            </w:pPr>
            <w:r>
              <w:rPr>
                <w:rFonts w:hint="eastAsia" w:ascii="宋体" w:hAnsi="宋体" w:cs="宋体"/>
              </w:rPr>
              <w:t>（200-45-70）×100×</w:t>
            </w:r>
            <w:r>
              <w:rPr>
                <w:rFonts w:hint="eastAsia" w:ascii="宋体" w:hAnsi="宋体" w:cs="宋体"/>
                <w:color w:val="FF0000"/>
              </w:rPr>
              <w:t>18</w:t>
            </w:r>
          </w:p>
        </w:tc>
        <w:tc>
          <w:tcPr>
            <w:tcW w:w="1073" w:type="pct"/>
          </w:tcPr>
          <w:p w14:paraId="2E69E333">
            <w:pPr>
              <w:jc w:val="center"/>
              <w:rPr>
                <w:rFonts w:ascii="宋体" w:hAnsi="宋体" w:cs="宋体"/>
                <w:color w:val="FF0000"/>
              </w:rPr>
            </w:pPr>
            <w:r>
              <w:rPr>
                <w:rFonts w:hint="eastAsia" w:ascii="宋体" w:hAnsi="宋体" w:cs="宋体"/>
                <w:color w:val="FF0000"/>
              </w:rPr>
              <w:t>70×100×16</w:t>
            </w:r>
          </w:p>
        </w:tc>
        <w:tc>
          <w:tcPr>
            <w:tcW w:w="620" w:type="pct"/>
          </w:tcPr>
          <w:p w14:paraId="30546F0C">
            <w:pPr>
              <w:jc w:val="center"/>
              <w:rPr>
                <w:rFonts w:ascii="宋体" w:hAnsi="宋体" w:cs="宋体"/>
              </w:rPr>
            </w:pPr>
            <w:r>
              <w:rPr>
                <w:rFonts w:hint="eastAsia" w:ascii="宋体" w:hAnsi="宋体" w:cs="宋体"/>
              </w:rPr>
              <w:t>153 000</w:t>
            </w:r>
          </w:p>
        </w:tc>
        <w:tc>
          <w:tcPr>
            <w:tcW w:w="833" w:type="pct"/>
          </w:tcPr>
          <w:p w14:paraId="0756A193">
            <w:pPr>
              <w:jc w:val="center"/>
              <w:rPr>
                <w:rFonts w:ascii="宋体" w:hAnsi="宋体" w:cs="宋体"/>
              </w:rPr>
            </w:pPr>
            <w:r>
              <w:rPr>
                <w:rFonts w:hint="eastAsia" w:ascii="宋体" w:hAnsi="宋体" w:cs="宋体"/>
              </w:rPr>
              <w:t>112 000</w:t>
            </w:r>
          </w:p>
        </w:tc>
        <w:tc>
          <w:tcPr>
            <w:tcW w:w="831" w:type="pct"/>
          </w:tcPr>
          <w:p w14:paraId="18E6B21C">
            <w:pPr>
              <w:jc w:val="center"/>
              <w:rPr>
                <w:rFonts w:ascii="宋体" w:hAnsi="宋体" w:cs="宋体"/>
              </w:rPr>
            </w:pPr>
            <w:r>
              <w:rPr>
                <w:rFonts w:hint="eastAsia" w:ascii="宋体" w:hAnsi="宋体" w:cs="宋体"/>
              </w:rPr>
              <w:t>105 000</w:t>
            </w:r>
          </w:p>
        </w:tc>
      </w:tr>
      <w:tr w14:paraId="1116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39B42DF2">
            <w:pPr>
              <w:jc w:val="center"/>
              <w:rPr>
                <w:rFonts w:ascii="宋体" w:hAnsi="宋体" w:cs="宋体"/>
              </w:rPr>
            </w:pPr>
            <w:r>
              <w:rPr>
                <w:rFonts w:hint="eastAsia" w:ascii="宋体" w:hAnsi="宋体" w:cs="宋体"/>
              </w:rPr>
              <w:t>2022</w:t>
            </w:r>
          </w:p>
        </w:tc>
        <w:tc>
          <w:tcPr>
            <w:tcW w:w="1288" w:type="pct"/>
          </w:tcPr>
          <w:p w14:paraId="28531906">
            <w:pPr>
              <w:jc w:val="center"/>
              <w:rPr>
                <w:rFonts w:ascii="宋体" w:hAnsi="宋体" w:cs="宋体"/>
              </w:rPr>
            </w:pPr>
            <w:r>
              <w:rPr>
                <w:rFonts w:hint="eastAsia" w:ascii="宋体" w:hAnsi="宋体" w:cs="宋体"/>
              </w:rPr>
              <w:t>（200-45-70-50）×100×</w:t>
            </w:r>
            <w:r>
              <w:rPr>
                <w:rFonts w:hint="eastAsia" w:ascii="宋体" w:hAnsi="宋体" w:cs="宋体"/>
                <w:color w:val="FF0000"/>
              </w:rPr>
              <w:t>21</w:t>
            </w:r>
          </w:p>
        </w:tc>
        <w:tc>
          <w:tcPr>
            <w:tcW w:w="1073" w:type="pct"/>
          </w:tcPr>
          <w:p w14:paraId="59426050">
            <w:pPr>
              <w:jc w:val="center"/>
              <w:rPr>
                <w:rFonts w:ascii="宋体" w:hAnsi="宋体" w:cs="宋体"/>
                <w:color w:val="FF0000"/>
              </w:rPr>
            </w:pPr>
            <w:r>
              <w:rPr>
                <w:rFonts w:hint="eastAsia" w:ascii="宋体" w:hAnsi="宋体" w:cs="宋体"/>
                <w:color w:val="FF0000"/>
              </w:rPr>
              <w:t>50×100×20</w:t>
            </w:r>
          </w:p>
        </w:tc>
        <w:tc>
          <w:tcPr>
            <w:tcW w:w="620" w:type="pct"/>
          </w:tcPr>
          <w:p w14:paraId="1E1CA055">
            <w:pPr>
              <w:jc w:val="center"/>
              <w:rPr>
                <w:rFonts w:ascii="宋体" w:hAnsi="宋体" w:cs="宋体"/>
              </w:rPr>
            </w:pPr>
            <w:r>
              <w:rPr>
                <w:rFonts w:hint="eastAsia" w:ascii="宋体" w:hAnsi="宋体" w:cs="宋体"/>
              </w:rPr>
              <w:t>73 500</w:t>
            </w:r>
          </w:p>
        </w:tc>
        <w:tc>
          <w:tcPr>
            <w:tcW w:w="833" w:type="pct"/>
          </w:tcPr>
          <w:p w14:paraId="6D341202">
            <w:pPr>
              <w:jc w:val="center"/>
              <w:rPr>
                <w:rFonts w:ascii="宋体" w:hAnsi="宋体" w:cs="宋体"/>
              </w:rPr>
            </w:pPr>
            <w:r>
              <w:rPr>
                <w:rFonts w:hint="eastAsia" w:ascii="宋体" w:hAnsi="宋体" w:cs="宋体"/>
              </w:rPr>
              <w:t>100 000</w:t>
            </w:r>
          </w:p>
        </w:tc>
        <w:tc>
          <w:tcPr>
            <w:tcW w:w="831" w:type="pct"/>
          </w:tcPr>
          <w:p w14:paraId="31AA7CC4">
            <w:pPr>
              <w:jc w:val="center"/>
              <w:rPr>
                <w:rFonts w:ascii="宋体" w:hAnsi="宋体" w:cs="宋体"/>
              </w:rPr>
            </w:pPr>
            <w:r>
              <w:rPr>
                <w:rFonts w:hint="eastAsia" w:ascii="宋体" w:hAnsi="宋体" w:cs="宋体"/>
              </w:rPr>
              <w:t>20 500</w:t>
            </w:r>
          </w:p>
        </w:tc>
      </w:tr>
      <w:tr w14:paraId="5B9B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5BAD96C4">
            <w:pPr>
              <w:jc w:val="center"/>
              <w:rPr>
                <w:rFonts w:ascii="宋体" w:hAnsi="宋体" w:cs="宋体"/>
              </w:rPr>
            </w:pPr>
            <w:r>
              <w:rPr>
                <w:rFonts w:hint="eastAsia" w:ascii="宋体" w:hAnsi="宋体" w:cs="宋体"/>
              </w:rPr>
              <w:t>2023</w:t>
            </w:r>
          </w:p>
        </w:tc>
        <w:tc>
          <w:tcPr>
            <w:tcW w:w="1288" w:type="pct"/>
          </w:tcPr>
          <w:p w14:paraId="2E6DE0DF">
            <w:pPr>
              <w:jc w:val="center"/>
              <w:rPr>
                <w:rFonts w:ascii="宋体" w:hAnsi="宋体" w:cs="宋体"/>
              </w:rPr>
            </w:pPr>
            <w:r>
              <w:rPr>
                <w:rFonts w:hint="eastAsia" w:ascii="宋体" w:hAnsi="宋体" w:cs="宋体"/>
              </w:rPr>
              <w:t>0</w:t>
            </w:r>
          </w:p>
        </w:tc>
        <w:tc>
          <w:tcPr>
            <w:tcW w:w="1073" w:type="pct"/>
          </w:tcPr>
          <w:p w14:paraId="4312F131">
            <w:pPr>
              <w:jc w:val="center"/>
              <w:rPr>
                <w:rFonts w:ascii="宋体" w:hAnsi="宋体" w:cs="宋体"/>
                <w:color w:val="FF0000"/>
              </w:rPr>
            </w:pPr>
            <w:r>
              <w:rPr>
                <w:rFonts w:hint="eastAsia" w:ascii="宋体" w:hAnsi="宋体" w:cs="宋体"/>
                <w:color w:val="FF0000"/>
              </w:rPr>
              <w:t>35×100×25</w:t>
            </w:r>
          </w:p>
        </w:tc>
        <w:tc>
          <w:tcPr>
            <w:tcW w:w="620" w:type="pct"/>
          </w:tcPr>
          <w:p w14:paraId="259B2C16">
            <w:pPr>
              <w:jc w:val="center"/>
              <w:rPr>
                <w:rFonts w:ascii="宋体" w:hAnsi="宋体" w:cs="宋体"/>
              </w:rPr>
            </w:pPr>
            <w:r>
              <w:rPr>
                <w:rFonts w:hint="eastAsia" w:ascii="宋体" w:hAnsi="宋体" w:cs="宋体"/>
              </w:rPr>
              <w:t>0</w:t>
            </w:r>
          </w:p>
        </w:tc>
        <w:tc>
          <w:tcPr>
            <w:tcW w:w="833" w:type="pct"/>
          </w:tcPr>
          <w:p w14:paraId="3B4D8FC0">
            <w:pPr>
              <w:jc w:val="center"/>
              <w:rPr>
                <w:rFonts w:ascii="宋体" w:hAnsi="宋体" w:cs="宋体"/>
              </w:rPr>
            </w:pPr>
            <w:r>
              <w:rPr>
                <w:rFonts w:hint="eastAsia" w:ascii="宋体" w:hAnsi="宋体" w:cs="宋体"/>
              </w:rPr>
              <w:t>87 500</w:t>
            </w:r>
          </w:p>
        </w:tc>
        <w:tc>
          <w:tcPr>
            <w:tcW w:w="831" w:type="pct"/>
          </w:tcPr>
          <w:p w14:paraId="4B876F0A">
            <w:pPr>
              <w:jc w:val="center"/>
              <w:rPr>
                <w:rFonts w:ascii="宋体" w:hAnsi="宋体" w:cs="宋体"/>
              </w:rPr>
            </w:pPr>
            <w:r>
              <w:rPr>
                <w:rFonts w:hint="eastAsia" w:ascii="宋体" w:hAnsi="宋体" w:cs="宋体"/>
              </w:rPr>
              <w:t>14 000</w:t>
            </w:r>
          </w:p>
        </w:tc>
      </w:tr>
      <w:tr w14:paraId="68D1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34EE8E41">
            <w:pPr>
              <w:jc w:val="center"/>
              <w:rPr>
                <w:rFonts w:ascii="宋体" w:hAnsi="宋体" w:cs="宋体"/>
              </w:rPr>
            </w:pPr>
            <w:r>
              <w:rPr>
                <w:rFonts w:hint="eastAsia" w:ascii="宋体" w:hAnsi="宋体" w:cs="宋体"/>
              </w:rPr>
              <w:t>总额</w:t>
            </w:r>
          </w:p>
        </w:tc>
        <w:tc>
          <w:tcPr>
            <w:tcW w:w="1288" w:type="pct"/>
          </w:tcPr>
          <w:p w14:paraId="6BEDDAC1">
            <w:pPr>
              <w:jc w:val="center"/>
              <w:rPr>
                <w:rFonts w:ascii="宋体" w:hAnsi="宋体" w:cs="宋体"/>
              </w:rPr>
            </w:pPr>
            <w:r>
              <w:rPr>
                <w:rFonts w:hint="eastAsia" w:ascii="宋体" w:hAnsi="宋体" w:cs="宋体"/>
              </w:rPr>
              <w:t>　</w:t>
            </w:r>
          </w:p>
        </w:tc>
        <w:tc>
          <w:tcPr>
            <w:tcW w:w="1073" w:type="pct"/>
          </w:tcPr>
          <w:p w14:paraId="34857E01">
            <w:pPr>
              <w:jc w:val="center"/>
              <w:rPr>
                <w:rFonts w:ascii="宋体" w:hAnsi="宋体" w:cs="宋体"/>
              </w:rPr>
            </w:pPr>
            <w:r>
              <w:rPr>
                <w:rFonts w:hint="eastAsia" w:ascii="宋体" w:hAnsi="宋体" w:cs="宋体"/>
              </w:rPr>
              <w:t>　</w:t>
            </w:r>
          </w:p>
        </w:tc>
        <w:tc>
          <w:tcPr>
            <w:tcW w:w="620" w:type="pct"/>
          </w:tcPr>
          <w:p w14:paraId="24BFB2CC">
            <w:pPr>
              <w:jc w:val="center"/>
              <w:rPr>
                <w:rFonts w:ascii="宋体" w:hAnsi="宋体" w:cs="宋体"/>
              </w:rPr>
            </w:pPr>
            <w:r>
              <w:rPr>
                <w:rFonts w:hint="eastAsia" w:ascii="宋体" w:hAnsi="宋体" w:cs="宋体"/>
              </w:rPr>
              <w:t>　</w:t>
            </w:r>
          </w:p>
        </w:tc>
        <w:tc>
          <w:tcPr>
            <w:tcW w:w="833" w:type="pct"/>
          </w:tcPr>
          <w:p w14:paraId="538D7E61">
            <w:pPr>
              <w:jc w:val="center"/>
              <w:rPr>
                <w:rFonts w:ascii="宋体" w:hAnsi="宋体" w:cs="宋体"/>
              </w:rPr>
            </w:pPr>
            <w:r>
              <w:rPr>
                <w:rFonts w:hint="eastAsia" w:ascii="宋体" w:hAnsi="宋体" w:cs="宋体"/>
              </w:rPr>
              <w:t>299 500</w:t>
            </w:r>
          </w:p>
        </w:tc>
        <w:tc>
          <w:tcPr>
            <w:tcW w:w="831" w:type="pct"/>
          </w:tcPr>
          <w:p w14:paraId="013BE5F2">
            <w:pPr>
              <w:jc w:val="center"/>
              <w:rPr>
                <w:rFonts w:ascii="宋体" w:hAnsi="宋体" w:cs="宋体"/>
              </w:rPr>
            </w:pPr>
            <w:r>
              <w:rPr>
                <w:rFonts w:hint="eastAsia" w:ascii="宋体" w:hAnsi="宋体" w:cs="宋体"/>
              </w:rPr>
              <w:t>299 500</w:t>
            </w:r>
          </w:p>
        </w:tc>
      </w:tr>
    </w:tbl>
    <w:p w14:paraId="175F8589">
      <w:pPr>
        <w:jc w:val="left"/>
        <w:rPr>
          <w:rFonts w:ascii="宋体" w:hAnsi="宋体" w:cs="宋体"/>
        </w:rPr>
      </w:pPr>
      <w:r>
        <w:rPr>
          <w:rFonts w:hint="eastAsia" w:ascii="宋体" w:hAnsi="宋体" w:cs="宋体"/>
        </w:rPr>
        <w:t>其中：①计算得③，②计算得④，当期③-前一期③+当期④=当期⑤。</w:t>
      </w:r>
    </w:p>
    <w:p w14:paraId="1CE6611D">
      <w:pPr>
        <w:jc w:val="left"/>
        <w:rPr>
          <w:rFonts w:ascii="宋体" w:hAnsi="宋体" w:cs="宋体"/>
        </w:rPr>
      </w:pPr>
      <w:r>
        <w:rPr>
          <w:rFonts w:hint="eastAsia" w:ascii="宋体" w:hAnsi="宋体" w:cs="宋体"/>
        </w:rPr>
        <w:t>（2）账务处理如下：</w:t>
      </w:r>
    </w:p>
    <w:p w14:paraId="36F4C86F">
      <w:pPr>
        <w:jc w:val="left"/>
        <w:rPr>
          <w:rFonts w:ascii="宋体" w:hAnsi="宋体" w:cs="宋体"/>
        </w:rPr>
      </w:pPr>
      <w:r>
        <w:rPr>
          <w:rFonts w:hint="eastAsia" w:ascii="宋体" w:hAnsi="宋体" w:cs="宋体"/>
        </w:rPr>
        <w:t>①2019年12月31日：</w:t>
      </w:r>
    </w:p>
    <w:p w14:paraId="2CC7084F">
      <w:pPr>
        <w:jc w:val="left"/>
        <w:rPr>
          <w:rFonts w:ascii="宋体" w:hAnsi="宋体" w:cs="宋体"/>
        </w:rPr>
      </w:pPr>
      <w:r>
        <w:rPr>
          <w:rFonts w:hint="eastAsia" w:ascii="宋体" w:hAnsi="宋体" w:cs="宋体"/>
        </w:rPr>
        <w:t>借：管理费用　　　　　　　　　   77 000</w:t>
      </w:r>
    </w:p>
    <w:p w14:paraId="0A881694">
      <w:pPr>
        <w:jc w:val="left"/>
        <w:rPr>
          <w:rFonts w:ascii="宋体" w:hAnsi="宋体" w:cs="宋体"/>
        </w:rPr>
      </w:pPr>
      <w:r>
        <w:rPr>
          <w:rFonts w:hint="eastAsia" w:ascii="宋体" w:hAnsi="宋体" w:cs="宋体"/>
        </w:rPr>
        <w:t xml:space="preserve">   贷：应付职工薪酬——股份支付　         77 000</w:t>
      </w:r>
    </w:p>
    <w:p w14:paraId="648F07FA">
      <w:pPr>
        <w:jc w:val="left"/>
        <w:rPr>
          <w:rFonts w:ascii="宋体" w:hAnsi="宋体" w:cs="宋体"/>
        </w:rPr>
      </w:pPr>
      <w:r>
        <w:rPr>
          <w:rFonts w:hint="eastAsia" w:ascii="宋体" w:hAnsi="宋体" w:cs="宋体"/>
        </w:rPr>
        <w:t>②2020年12月31日：</w:t>
      </w:r>
    </w:p>
    <w:p w14:paraId="321B1EFA">
      <w:pPr>
        <w:jc w:val="left"/>
        <w:rPr>
          <w:rFonts w:ascii="宋体" w:hAnsi="宋体" w:cs="宋体"/>
        </w:rPr>
      </w:pPr>
      <w:r>
        <w:rPr>
          <w:rFonts w:hint="eastAsia" w:ascii="宋体" w:hAnsi="宋体" w:cs="宋体"/>
        </w:rPr>
        <w:t>借：管理费用　　　　　　　　　   83 000</w:t>
      </w:r>
    </w:p>
    <w:p w14:paraId="4BBF120B">
      <w:pPr>
        <w:jc w:val="left"/>
        <w:rPr>
          <w:rFonts w:ascii="宋体" w:hAnsi="宋体" w:cs="宋体"/>
        </w:rPr>
      </w:pPr>
      <w:r>
        <w:rPr>
          <w:rFonts w:hint="eastAsia" w:ascii="宋体" w:hAnsi="宋体" w:cs="宋体"/>
        </w:rPr>
        <w:t xml:space="preserve">   贷：应付职工薪酬——股份支付　          83 000</w:t>
      </w:r>
    </w:p>
    <w:p w14:paraId="17C08AB9">
      <w:pPr>
        <w:jc w:val="left"/>
        <w:rPr>
          <w:rFonts w:ascii="宋体" w:hAnsi="宋体" w:cs="宋体"/>
        </w:rPr>
      </w:pPr>
      <w:r>
        <w:rPr>
          <w:rFonts w:hint="eastAsia" w:ascii="宋体" w:hAnsi="宋体" w:cs="宋体"/>
        </w:rPr>
        <w:t>③2021年12月31日：</w:t>
      </w:r>
    </w:p>
    <w:p w14:paraId="3DB8DAF2">
      <w:pPr>
        <w:jc w:val="left"/>
        <w:rPr>
          <w:rFonts w:ascii="宋体" w:hAnsi="宋体" w:cs="宋体"/>
        </w:rPr>
      </w:pPr>
      <w:r>
        <w:rPr>
          <w:rFonts w:hint="eastAsia" w:ascii="宋体" w:hAnsi="宋体" w:cs="宋体"/>
        </w:rPr>
        <w:t>借：管理费用　　　　　　 　　       105 000</w:t>
      </w:r>
    </w:p>
    <w:p w14:paraId="4F731C07">
      <w:pPr>
        <w:jc w:val="left"/>
        <w:rPr>
          <w:rFonts w:ascii="宋体" w:hAnsi="宋体" w:cs="宋体"/>
        </w:rPr>
      </w:pPr>
      <w:r>
        <w:rPr>
          <w:rFonts w:hint="eastAsia" w:ascii="宋体" w:hAnsi="宋体" w:cs="宋体"/>
        </w:rPr>
        <w:t xml:space="preserve">   贷：应付职工薪酬——股份支付        　  105 000</w:t>
      </w:r>
    </w:p>
    <w:p w14:paraId="4CBB8982">
      <w:pPr>
        <w:jc w:val="left"/>
        <w:rPr>
          <w:rFonts w:ascii="宋体" w:hAnsi="宋体" w:cs="宋体"/>
        </w:rPr>
      </w:pPr>
      <w:r>
        <w:rPr>
          <w:rFonts w:hint="eastAsia" w:ascii="宋体" w:hAnsi="宋体" w:cs="宋体"/>
        </w:rPr>
        <w:t>借：应付职工薪酬——股份支付　    112 000</w:t>
      </w:r>
    </w:p>
    <w:p w14:paraId="42A18B57">
      <w:pPr>
        <w:jc w:val="left"/>
        <w:rPr>
          <w:rFonts w:ascii="宋体" w:hAnsi="宋体" w:cs="宋体"/>
          <w:color w:val="FF0000"/>
        </w:rPr>
      </w:pPr>
      <w:r>
        <w:rPr>
          <w:rFonts w:hint="eastAsia" w:ascii="宋体" w:hAnsi="宋体" w:cs="宋体"/>
          <w:color w:val="FF0000"/>
        </w:rPr>
        <w:t xml:space="preserve">   贷：银行存款                                             112 000</w:t>
      </w:r>
    </w:p>
    <w:p w14:paraId="453C8589">
      <w:pPr>
        <w:jc w:val="left"/>
        <w:rPr>
          <w:rFonts w:ascii="宋体" w:hAnsi="宋体" w:cs="宋体"/>
        </w:rPr>
      </w:pPr>
      <w:r>
        <w:rPr>
          <w:rFonts w:hint="eastAsia" w:ascii="宋体" w:hAnsi="宋体" w:cs="宋体"/>
        </w:rPr>
        <w:t>④2022年12月31日：</w:t>
      </w:r>
    </w:p>
    <w:p w14:paraId="12F35066">
      <w:pPr>
        <w:jc w:val="left"/>
        <w:rPr>
          <w:rFonts w:ascii="宋体" w:hAnsi="宋体" w:cs="宋体"/>
          <w:color w:val="FF0000"/>
        </w:rPr>
      </w:pPr>
      <w:r>
        <w:rPr>
          <w:rFonts w:hint="eastAsia" w:ascii="宋体" w:hAnsi="宋体" w:cs="宋体"/>
          <w:color w:val="FF0000"/>
        </w:rPr>
        <w:t>借：公允价值变动损益　　　　　 20 500</w:t>
      </w:r>
    </w:p>
    <w:p w14:paraId="300CB748">
      <w:pPr>
        <w:jc w:val="left"/>
        <w:rPr>
          <w:rFonts w:ascii="宋体" w:hAnsi="宋体" w:cs="宋体"/>
        </w:rPr>
      </w:pPr>
      <w:r>
        <w:rPr>
          <w:rFonts w:hint="eastAsia" w:ascii="宋体" w:hAnsi="宋体" w:cs="宋体"/>
        </w:rPr>
        <w:t xml:space="preserve">   贷：应付职工薪酬—股份支付　　       20 500</w:t>
      </w:r>
    </w:p>
    <w:p w14:paraId="2DB7E7A1">
      <w:pPr>
        <w:jc w:val="left"/>
        <w:rPr>
          <w:rFonts w:ascii="宋体" w:hAnsi="宋体" w:cs="宋体"/>
        </w:rPr>
      </w:pPr>
      <w:r>
        <w:rPr>
          <w:rFonts w:hint="eastAsia" w:ascii="宋体" w:hAnsi="宋体" w:cs="宋体"/>
        </w:rPr>
        <w:t>借：应付职工薪酬—股份支付　    100 000</w:t>
      </w:r>
    </w:p>
    <w:p w14:paraId="2BD0674D">
      <w:pPr>
        <w:jc w:val="left"/>
        <w:rPr>
          <w:rFonts w:ascii="宋体" w:hAnsi="宋体" w:cs="宋体"/>
        </w:rPr>
      </w:pPr>
      <w:r>
        <w:rPr>
          <w:rFonts w:hint="eastAsia" w:ascii="宋体" w:hAnsi="宋体" w:cs="宋体"/>
        </w:rPr>
        <w:t xml:space="preserve">   贷：银行存款　　　　　　　 　          100 000</w:t>
      </w:r>
    </w:p>
    <w:p w14:paraId="78A7D9DE">
      <w:pPr>
        <w:jc w:val="left"/>
        <w:rPr>
          <w:rFonts w:ascii="宋体" w:hAnsi="宋体" w:cs="宋体"/>
        </w:rPr>
      </w:pPr>
      <w:r>
        <w:rPr>
          <w:rFonts w:hint="eastAsia" w:ascii="宋体" w:hAnsi="宋体" w:cs="宋体"/>
        </w:rPr>
        <w:t>⑤2023年12月31日：</w:t>
      </w:r>
    </w:p>
    <w:p w14:paraId="118462CB">
      <w:pPr>
        <w:jc w:val="left"/>
        <w:rPr>
          <w:rFonts w:ascii="宋体" w:hAnsi="宋体" w:cs="宋体"/>
          <w:color w:val="FF0000"/>
        </w:rPr>
      </w:pPr>
      <w:r>
        <w:rPr>
          <w:rFonts w:hint="eastAsia" w:ascii="宋体" w:hAnsi="宋体" w:cs="宋体"/>
          <w:color w:val="FF0000"/>
        </w:rPr>
        <w:t>借：公允价值变动损益　　　          14 000</w:t>
      </w:r>
    </w:p>
    <w:p w14:paraId="7FE4CC5B">
      <w:pPr>
        <w:jc w:val="left"/>
        <w:rPr>
          <w:rFonts w:ascii="宋体" w:hAnsi="宋体" w:cs="宋体"/>
        </w:rPr>
      </w:pPr>
      <w:r>
        <w:rPr>
          <w:rFonts w:hint="eastAsia" w:ascii="宋体" w:hAnsi="宋体" w:cs="宋体"/>
        </w:rPr>
        <w:t xml:space="preserve">   贷：应付职工薪酬—股份支付               14 000</w:t>
      </w:r>
    </w:p>
    <w:p w14:paraId="509C31A4">
      <w:pPr>
        <w:jc w:val="left"/>
        <w:rPr>
          <w:rFonts w:ascii="宋体" w:hAnsi="宋体" w:cs="宋体"/>
        </w:rPr>
      </w:pPr>
      <w:r>
        <w:rPr>
          <w:rFonts w:hint="eastAsia" w:ascii="宋体" w:hAnsi="宋体" w:cs="宋体"/>
        </w:rPr>
        <w:t>借：应付职工薪酬—股份支付　      87 500</w:t>
      </w:r>
    </w:p>
    <w:p w14:paraId="28F0177E">
      <w:pPr>
        <w:jc w:val="left"/>
        <w:rPr>
          <w:rFonts w:hint="eastAsia" w:ascii="宋体" w:hAnsi="宋体" w:cs="宋体"/>
        </w:rPr>
      </w:pPr>
      <w:r>
        <w:rPr>
          <w:rFonts w:hint="eastAsia" w:ascii="宋体" w:hAnsi="宋体" w:cs="宋体"/>
        </w:rPr>
        <w:t xml:space="preserve">   贷：银行存款                                           87 500 </w:t>
      </w:r>
    </w:p>
    <w:p w14:paraId="648A65E3">
      <w:pPr>
        <w:overflowPunct w:val="0"/>
        <w:jc w:val="center"/>
        <w:rPr>
          <w:rFonts w:ascii="宋体" w:hAnsi="宋体" w:cs="宋体"/>
          <w:b/>
          <w:bCs/>
        </w:rPr>
      </w:pPr>
      <w:r>
        <w:rPr>
          <w:rFonts w:hint="eastAsia" w:ascii="宋体" w:hAnsi="宋体" w:cs="宋体"/>
          <w:b/>
          <w:bCs/>
        </w:rPr>
        <w:t>第二节  股份支付的确认和计量</w:t>
      </w:r>
    </w:p>
    <w:p w14:paraId="5F8EA81C">
      <w:pPr>
        <w:jc w:val="left"/>
        <w:rPr>
          <w:rFonts w:ascii="宋体" w:hAnsi="宋体" w:cs="宋体"/>
          <w:color w:val="FF0000"/>
        </w:rPr>
      </w:pPr>
      <w:r>
        <w:rPr>
          <w:rFonts w:hint="eastAsia" w:ascii="宋体" w:hAnsi="宋体" w:cs="宋体"/>
          <w:color w:val="FF0000"/>
        </w:rPr>
        <w:t>（三）回购股份进行职工期权激励</w:t>
      </w:r>
    </w:p>
    <w:p w14:paraId="115FECF5">
      <w:pPr>
        <w:jc w:val="left"/>
        <w:rPr>
          <w:rFonts w:ascii="宋体" w:hAnsi="宋体" w:cs="宋体"/>
          <w:color w:val="FF0000"/>
        </w:rPr>
      </w:pPr>
      <w:r>
        <w:rPr>
          <w:rFonts w:hint="eastAsia" w:ascii="宋体" w:hAnsi="宋体" w:cs="宋体"/>
          <w:color w:val="FF0000"/>
        </w:rPr>
        <w:t>①回购股份</w:t>
      </w:r>
    </w:p>
    <w:p w14:paraId="1DEE0AB6">
      <w:pPr>
        <w:jc w:val="left"/>
        <w:rPr>
          <w:rFonts w:ascii="宋体" w:hAnsi="宋体" w:cs="宋体"/>
        </w:rPr>
      </w:pPr>
      <w:r>
        <w:rPr>
          <w:rFonts w:hint="eastAsia" w:ascii="宋体" w:hAnsi="宋体" w:cs="宋体"/>
        </w:rPr>
        <w:t>借：库存股</w:t>
      </w:r>
    </w:p>
    <w:p w14:paraId="3F0BE7D9">
      <w:pPr>
        <w:jc w:val="left"/>
        <w:rPr>
          <w:rFonts w:ascii="宋体" w:hAnsi="宋体" w:cs="宋体"/>
        </w:rPr>
      </w:pPr>
      <w:r>
        <w:rPr>
          <w:rFonts w:hint="eastAsia" w:ascii="宋体" w:hAnsi="宋体" w:cs="宋体"/>
        </w:rPr>
        <w:t xml:space="preserve">   贷：银行存款（实际支付的款项）</w:t>
      </w:r>
    </w:p>
    <w:p w14:paraId="43C3F2A5">
      <w:pPr>
        <w:jc w:val="left"/>
        <w:rPr>
          <w:rFonts w:ascii="宋体" w:hAnsi="宋体" w:cs="宋体"/>
          <w:color w:val="FF0000"/>
        </w:rPr>
      </w:pPr>
      <w:r>
        <w:rPr>
          <w:rFonts w:hint="eastAsia" w:ascii="宋体" w:hAnsi="宋体" w:cs="宋体"/>
          <w:color w:val="FF0000"/>
        </w:rPr>
        <w:t>②确认成本费用</w:t>
      </w:r>
    </w:p>
    <w:p w14:paraId="7ADF5B71">
      <w:pPr>
        <w:jc w:val="left"/>
        <w:rPr>
          <w:rFonts w:ascii="宋体" w:hAnsi="宋体" w:cs="宋体"/>
        </w:rPr>
      </w:pPr>
      <w:r>
        <w:rPr>
          <w:rFonts w:hint="eastAsia" w:ascii="宋体" w:hAnsi="宋体" w:cs="宋体"/>
        </w:rPr>
        <w:t>借：管理费用等</w:t>
      </w:r>
    </w:p>
    <w:p w14:paraId="75EFCB8F">
      <w:pPr>
        <w:jc w:val="left"/>
        <w:rPr>
          <w:rFonts w:ascii="宋体" w:hAnsi="宋体" w:cs="宋体"/>
        </w:rPr>
      </w:pPr>
      <w:r>
        <w:rPr>
          <w:rFonts w:hint="eastAsia" w:ascii="宋体" w:hAnsi="宋体" w:cs="宋体"/>
        </w:rPr>
        <w:t xml:space="preserve">   贷：资本公积——其他资本公积 </w:t>
      </w:r>
    </w:p>
    <w:p w14:paraId="582B8631">
      <w:pPr>
        <w:jc w:val="left"/>
        <w:rPr>
          <w:rFonts w:ascii="宋体" w:hAnsi="宋体" w:cs="宋体"/>
        </w:rPr>
      </w:pPr>
      <w:r>
        <w:rPr>
          <w:rFonts w:hint="eastAsia" w:ascii="宋体" w:hAnsi="宋体" w:cs="宋体"/>
        </w:rPr>
        <w:t>③职工行权</w:t>
      </w:r>
    </w:p>
    <w:p w14:paraId="64AF46CA">
      <w:pPr>
        <w:jc w:val="left"/>
        <w:rPr>
          <w:rFonts w:ascii="宋体" w:hAnsi="宋体" w:cs="宋体"/>
        </w:rPr>
      </w:pPr>
      <w:r>
        <w:rPr>
          <w:rFonts w:hint="eastAsia" w:ascii="宋体" w:hAnsi="宋体" w:cs="宋体"/>
        </w:rPr>
        <w:t>借：银行存款（企业收到的股票价款）</w:t>
      </w:r>
    </w:p>
    <w:p w14:paraId="22A41960">
      <w:pPr>
        <w:jc w:val="left"/>
        <w:rPr>
          <w:rFonts w:ascii="宋体" w:hAnsi="宋体" w:cs="宋体"/>
          <w:color w:val="FF0000"/>
        </w:rPr>
      </w:pPr>
      <w:r>
        <w:rPr>
          <w:rFonts w:hint="eastAsia" w:ascii="宋体" w:hAnsi="宋体" w:cs="宋体"/>
        </w:rPr>
        <w:t xml:space="preserve">   </w:t>
      </w:r>
      <w:r>
        <w:rPr>
          <w:rFonts w:ascii="宋体" w:hAnsi="宋体" w:cs="宋体"/>
        </w:rPr>
        <w:t xml:space="preserve"> </w:t>
      </w:r>
      <w:r>
        <w:rPr>
          <w:rFonts w:hint="eastAsia" w:ascii="宋体" w:hAnsi="宋体" w:cs="宋体"/>
        </w:rPr>
        <w:t>资本公积——其他资本公积</w:t>
      </w:r>
      <w:r>
        <w:rPr>
          <w:rFonts w:hint="eastAsia" w:ascii="宋体" w:hAnsi="宋体" w:cs="宋体"/>
          <w:color w:val="FF0000"/>
        </w:rPr>
        <w:t>（等待期内资本公积累计确认的金额）</w:t>
      </w:r>
    </w:p>
    <w:p w14:paraId="03C3082E">
      <w:pPr>
        <w:jc w:val="left"/>
        <w:rPr>
          <w:rFonts w:ascii="宋体" w:hAnsi="宋体" w:cs="宋体"/>
          <w:color w:val="FF0000"/>
        </w:rPr>
      </w:pPr>
      <w:r>
        <w:rPr>
          <w:rFonts w:hint="eastAsia" w:ascii="宋体" w:hAnsi="宋体" w:cs="宋体"/>
          <w:color w:val="FF0000"/>
        </w:rPr>
        <w:t xml:space="preserve">  贷：库存股（交付给职工的库存股成本）</w:t>
      </w:r>
    </w:p>
    <w:p w14:paraId="2454531D">
      <w:pPr>
        <w:jc w:val="left"/>
        <w:rPr>
          <w:rFonts w:ascii="宋体" w:hAnsi="宋体" w:cs="宋体"/>
        </w:rPr>
      </w:pPr>
      <w:r>
        <w:rPr>
          <w:rFonts w:hint="eastAsia" w:ascii="宋体" w:hAnsi="宋体" w:cs="宋体"/>
        </w:rPr>
        <w:t xml:space="preserve">      资本公积——股本溢价（差额）</w:t>
      </w:r>
    </w:p>
    <w:p w14:paraId="6141CB2E">
      <w:pPr>
        <w:jc w:val="left"/>
        <w:rPr>
          <w:rFonts w:ascii="宋体" w:hAnsi="宋体" w:cs="宋体"/>
          <w:color w:val="FF0000"/>
        </w:rPr>
      </w:pPr>
      <w:r>
        <w:rPr>
          <w:rFonts w:hint="eastAsia" w:ascii="宋体" w:hAnsi="宋体" w:cs="宋体"/>
          <w:color w:val="FF0000"/>
        </w:rPr>
        <w:t>（四）企业集团内涉及不同企业的股份支付交易</w:t>
      </w:r>
    </w:p>
    <w:p w14:paraId="7DF5AEEC">
      <w:pPr>
        <w:jc w:val="left"/>
        <w:rPr>
          <w:rFonts w:ascii="宋体" w:hAnsi="宋体" w:cs="宋体"/>
        </w:rPr>
      </w:pPr>
      <w:r>
        <w:rPr>
          <w:rFonts w:hint="eastAsia" w:ascii="宋体" w:hAnsi="宋体" w:cs="宋体"/>
        </w:rPr>
        <w:t>企业集团（由母公司和其全部子公司构成）内发生的股份支付交易，应当进行以下处理:</w:t>
      </w:r>
    </w:p>
    <w:p w14:paraId="4B7432D5">
      <w:pPr>
        <w:jc w:val="left"/>
        <w:rPr>
          <w:rFonts w:ascii="宋体" w:hAnsi="宋体" w:cs="宋体"/>
        </w:rPr>
      </w:pPr>
      <w:r>
        <w:rPr>
          <w:rFonts w:hint="eastAsia" w:ascii="宋体" w:hAnsi="宋体" w:cs="宋体"/>
        </w:rPr>
        <w:t>1.结算企业以其本身权益工具结算的，应当将该股份支付交易作为权益结算的股份支付处理；除此之外，应当作为现金结算的股份支付处理。</w:t>
      </w:r>
    </w:p>
    <w:p w14:paraId="785B7696">
      <w:pPr>
        <w:jc w:val="left"/>
        <w:rPr>
          <w:rFonts w:ascii="宋体" w:hAnsi="宋体" w:cs="宋体"/>
        </w:rPr>
      </w:pPr>
      <w:r>
        <w:rPr>
          <w:rFonts w:hint="eastAsia" w:ascii="宋体" w:hAnsi="宋体" w:cs="宋体"/>
        </w:rPr>
        <w:t>结算企业是接受服务企业的投资者的，应当按照授予日权益工具的公允价值或应承担负债的公允价值确认为对接受服务企业的长期股权投资，同时确认资本公积（其他资本公积）或负债。</w:t>
      </w:r>
    </w:p>
    <w:p w14:paraId="4EEB4960">
      <w:pPr>
        <w:jc w:val="left"/>
        <w:rPr>
          <w:rFonts w:hint="eastAsia" w:ascii="宋体" w:hAnsi="宋体" w:cs="宋体"/>
        </w:rPr>
      </w:pPr>
      <w:r>
        <w:rPr>
          <w:rFonts w:hint="eastAsia" w:ascii="宋体" w:hAnsi="宋体" w:cs="宋体"/>
        </w:rPr>
        <w:t>2.接受服务企业没有结算义务或授予本企业职工的是其自身权益工具的，应当将该股份支付交易作为以权益结算的股份支付处理；接受服务企业负有结算义务且授予本企业职工的是集团内其他企业权益工具的，应当将该股份支付交易作为以现金结算的股份支付处理。</w:t>
      </w:r>
    </w:p>
    <w:p w14:paraId="315BAC7C">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01BC9"/>
    <w:rsid w:val="000346EF"/>
    <w:rsid w:val="00054451"/>
    <w:rsid w:val="001026FE"/>
    <w:rsid w:val="00157E25"/>
    <w:rsid w:val="001F192C"/>
    <w:rsid w:val="002120BE"/>
    <w:rsid w:val="002A1721"/>
    <w:rsid w:val="002B3B70"/>
    <w:rsid w:val="00301308"/>
    <w:rsid w:val="00314F51"/>
    <w:rsid w:val="00363D24"/>
    <w:rsid w:val="003B71E3"/>
    <w:rsid w:val="003D52D6"/>
    <w:rsid w:val="00401D9A"/>
    <w:rsid w:val="00676415"/>
    <w:rsid w:val="008C2AA6"/>
    <w:rsid w:val="009336F8"/>
    <w:rsid w:val="00974EB8"/>
    <w:rsid w:val="009A0471"/>
    <w:rsid w:val="00AA0512"/>
    <w:rsid w:val="00AE0A92"/>
    <w:rsid w:val="00B84AC7"/>
    <w:rsid w:val="00C06051"/>
    <w:rsid w:val="00D21F38"/>
    <w:rsid w:val="00D2703F"/>
    <w:rsid w:val="00DA6E56"/>
    <w:rsid w:val="00FC1882"/>
    <w:rsid w:val="04043713"/>
    <w:rsid w:val="06F537E7"/>
    <w:rsid w:val="078B5EF9"/>
    <w:rsid w:val="0C2030B4"/>
    <w:rsid w:val="0E99714E"/>
    <w:rsid w:val="135D5531"/>
    <w:rsid w:val="14E37374"/>
    <w:rsid w:val="17417CFA"/>
    <w:rsid w:val="182757CA"/>
    <w:rsid w:val="1AA11864"/>
    <w:rsid w:val="212B00D9"/>
    <w:rsid w:val="236C49D9"/>
    <w:rsid w:val="2A1A518F"/>
    <w:rsid w:val="2A9E5F37"/>
    <w:rsid w:val="2C0559CB"/>
    <w:rsid w:val="2F154177"/>
    <w:rsid w:val="2F283EAA"/>
    <w:rsid w:val="2FDE0A0C"/>
    <w:rsid w:val="34715F1D"/>
    <w:rsid w:val="378D06EA"/>
    <w:rsid w:val="387719FE"/>
    <w:rsid w:val="4B550AA9"/>
    <w:rsid w:val="4DBB0D3D"/>
    <w:rsid w:val="4F9C201E"/>
    <w:rsid w:val="514836E7"/>
    <w:rsid w:val="537D11A8"/>
    <w:rsid w:val="5FD6198B"/>
    <w:rsid w:val="5FEF7F48"/>
    <w:rsid w:val="61BBCD9D"/>
    <w:rsid w:val="67A535E2"/>
    <w:rsid w:val="68753EF9"/>
    <w:rsid w:val="68921DB9"/>
    <w:rsid w:val="6AC81AA4"/>
    <w:rsid w:val="6F315D76"/>
    <w:rsid w:val="77BBB442"/>
    <w:rsid w:val="77E724E8"/>
    <w:rsid w:val="7DA55C93"/>
    <w:rsid w:val="7E857AE5"/>
    <w:rsid w:val="7F761A53"/>
    <w:rsid w:val="96EF1A7F"/>
    <w:rsid w:val="BBFFCDBE"/>
    <w:rsid w:val="BFFB5B3F"/>
    <w:rsid w:val="F7FFBA63"/>
    <w:rsid w:val="FD9368DD"/>
    <w:rsid w:val="FFFD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654</Words>
  <Characters>664</Characters>
  <Lines>4</Lines>
  <Paragraphs>1</Paragraphs>
  <TotalTime>0</TotalTime>
  <ScaleCrop>false</ScaleCrop>
  <LinksUpToDate>false</LinksUpToDate>
  <CharactersWithSpaces>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2025-04-15T22:53:00Z</dcterms:created>
  <dc:creator>Administrator</dc:creator>
  <cp:lastModifiedBy>万rui</cp:lastModifiedBy>
  <dcterms:modified xsi:type="dcterms:W3CDTF">2025-05-20T14:17:25Z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