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21461">
      <w:pPr>
        <w:overflowPunct w:val="0"/>
        <w:jc w:val="center"/>
        <w:rPr>
          <w:rFonts w:ascii="宋体" w:hAnsi="宋体" w:cs="宋体"/>
          <w:b/>
          <w:bCs/>
        </w:rPr>
      </w:pPr>
      <w:r>
        <w:rPr>
          <w:rFonts w:hint="eastAsia" w:ascii="宋体" w:hAnsi="宋体" w:cs="宋体"/>
          <w:b/>
          <w:bCs/>
        </w:rPr>
        <w:t>第九章</w:t>
      </w:r>
      <w:r>
        <w:rPr>
          <w:rFonts w:ascii="宋体" w:hAnsi="宋体" w:cs="宋体"/>
          <w:b/>
          <w:bCs/>
        </w:rPr>
        <w:t xml:space="preserve"> </w:t>
      </w:r>
      <w:r>
        <w:rPr>
          <w:rFonts w:hint="eastAsia" w:ascii="宋体" w:hAnsi="宋体" w:cs="宋体"/>
          <w:b/>
          <w:bCs/>
        </w:rPr>
        <w:t>职工薪酬</w:t>
      </w:r>
    </w:p>
    <w:p w14:paraId="6B06C9AC">
      <w:pPr>
        <w:overflowPunct w:val="0"/>
        <w:jc w:val="left"/>
        <w:rPr>
          <w:rFonts w:hint="eastAsia" w:ascii="宋体" w:hAnsi="宋体" w:cs="宋体"/>
          <w:b/>
          <w:bCs/>
        </w:rPr>
      </w:pPr>
      <w:r>
        <w:rPr>
          <w:rFonts w:hint="eastAsia" w:ascii="宋体" w:hAnsi="宋体" w:cs="宋体"/>
          <w:b/>
          <w:bCs/>
        </w:rPr>
        <w:t>考情分析</w:t>
      </w:r>
    </w:p>
    <w:p w14:paraId="56D5A305">
      <w:pPr>
        <w:jc w:val="left"/>
        <w:rPr>
          <w:rFonts w:ascii="宋体" w:hAnsi="宋体" w:cs="宋体"/>
        </w:rPr>
      </w:pPr>
      <w:r>
        <w:rPr>
          <w:rFonts w:hint="eastAsia" w:ascii="宋体" w:hAnsi="宋体" w:cs="宋体"/>
        </w:rPr>
        <w:t>本章属于基础性章节，内容简单干净，2025年将设定受益计划确认和计量部分做了大面积删除，预计分值3-4分左右。</w:t>
      </w:r>
    </w:p>
    <w:p w14:paraId="3F0FA6A9">
      <w:pPr>
        <w:overflowPunct w:val="0"/>
        <w:jc w:val="left"/>
        <w:rPr>
          <w:rFonts w:ascii="宋体" w:hAnsi="宋体" w:cs="宋体"/>
        </w:rPr>
      </w:pPr>
    </w:p>
    <w:p w14:paraId="1080FAF3">
      <w:pPr>
        <w:overflowPunct w:val="0"/>
        <w:jc w:val="center"/>
        <w:rPr>
          <w:rFonts w:ascii="宋体" w:hAnsi="宋体" w:cs="宋体"/>
          <w:b/>
          <w:bCs/>
        </w:rPr>
      </w:pPr>
      <w:r>
        <w:rPr>
          <w:rFonts w:hint="eastAsia" w:ascii="宋体" w:hAnsi="宋体" w:cs="宋体"/>
          <w:b/>
          <w:bCs/>
        </w:rPr>
        <w:t>第一节  职工薪酬概述</w:t>
      </w:r>
    </w:p>
    <w:p w14:paraId="6B99BCA4">
      <w:pPr>
        <w:jc w:val="left"/>
        <w:rPr>
          <w:rFonts w:ascii="宋体" w:hAnsi="宋体" w:cs="宋体"/>
          <w:color w:val="FF0000"/>
        </w:rPr>
      </w:pPr>
      <w:r>
        <w:rPr>
          <w:rFonts w:hint="eastAsia" w:ascii="宋体" w:hAnsi="宋体" w:cs="宋体"/>
          <w:color w:val="FF0000"/>
        </w:rPr>
        <w:t>一、职工薪酬的概念和内容</w:t>
      </w:r>
    </w:p>
    <w:p w14:paraId="162BF6CB">
      <w:pPr>
        <w:jc w:val="left"/>
        <w:rPr>
          <w:rFonts w:ascii="宋体" w:hAnsi="宋体" w:cs="宋体"/>
        </w:rPr>
      </w:pPr>
      <w:r>
        <w:rPr>
          <w:rFonts w:hint="eastAsia" w:ascii="宋体" w:hAnsi="宋体" w:cs="宋体"/>
        </w:rPr>
        <w:t>职工薪酬，是指企业为获得职工提供的服务或解除劳动关系而给予的各种形式的报酬或补偿。</w:t>
      </w:r>
    </w:p>
    <w:p w14:paraId="3DA3410A">
      <w:pPr>
        <w:jc w:val="left"/>
        <w:rPr>
          <w:rFonts w:hint="eastAsia" w:ascii="宋体" w:hAnsi="宋体" w:cs="宋体"/>
        </w:rPr>
      </w:pPr>
      <w:r>
        <w:rPr>
          <w:rFonts w:hint="eastAsia" w:ascii="宋体" w:hAnsi="宋体" w:cs="宋体"/>
        </w:rPr>
        <w:t>职工薪酬包括</w:t>
      </w:r>
      <w:r>
        <w:rPr>
          <w:rFonts w:hint="eastAsia" w:ascii="宋体" w:hAnsi="宋体" w:cs="宋体"/>
          <w:color w:val="FF0000"/>
        </w:rPr>
        <w:t>短期薪酬、离职后福利、辞退福利和其他长期职工福利。</w:t>
      </w:r>
    </w:p>
    <w:p w14:paraId="0EBB52A7">
      <w:pPr>
        <w:jc w:val="left"/>
        <w:rPr>
          <w:rFonts w:ascii="宋体" w:hAnsi="宋体" w:cs="宋体"/>
        </w:rPr>
      </w:pPr>
      <w:r>
        <w:rPr>
          <w:rFonts w:hint="eastAsia" w:ascii="宋体" w:hAnsi="宋体" w:cs="宋体"/>
        </w:rPr>
        <w:t>1、短期薪酬，是指企业在职工提供相关服务的年度报告期间结束后</w:t>
      </w:r>
      <w:r>
        <w:rPr>
          <w:rFonts w:hint="eastAsia" w:ascii="宋体" w:hAnsi="宋体" w:cs="宋体"/>
          <w:color w:val="FF0000"/>
        </w:rPr>
        <w:t>十二个月内需要全部予以支付</w:t>
      </w:r>
      <w:r>
        <w:rPr>
          <w:rFonts w:hint="eastAsia" w:ascii="宋体" w:hAnsi="宋体" w:cs="宋体"/>
        </w:rPr>
        <w:t>的职工薪酬，因解除与职工的劳动关系给予的补偿除外。</w:t>
      </w:r>
    </w:p>
    <w:p w14:paraId="174DF15E">
      <w:pPr>
        <w:jc w:val="left"/>
        <w:rPr>
          <w:rFonts w:hint="eastAsia" w:ascii="宋体" w:hAnsi="宋体" w:cs="宋体"/>
          <w:color w:val="FF0000"/>
        </w:rPr>
      </w:pPr>
      <w:r>
        <w:rPr>
          <w:rFonts w:hint="eastAsia" w:ascii="宋体" w:hAnsi="宋体" w:cs="宋体"/>
        </w:rPr>
        <w:t>具体包括：</w:t>
      </w:r>
      <w:r>
        <w:rPr>
          <w:rFonts w:hint="eastAsia" w:ascii="宋体" w:hAnsi="宋体" w:cs="宋体"/>
          <w:color w:val="FF0000"/>
        </w:rPr>
        <w:t>职工工资、奖金、津贴和补贴，职工福利费，医疗保险费、工伤保险费和生育保险费等社会保险费，住房公积金，工会经费和职工教育经费，短期带薪缺勤，短期利润分享计划，非货币性福利以及其他短期薪酬。</w:t>
      </w:r>
    </w:p>
    <w:p w14:paraId="1FD5CA5E">
      <w:pPr>
        <w:jc w:val="left"/>
        <w:rPr>
          <w:rFonts w:ascii="宋体" w:hAnsi="宋体" w:cs="宋体"/>
        </w:rPr>
      </w:pPr>
      <w:r>
        <w:rPr>
          <w:rFonts w:hint="eastAsia" w:ascii="宋体" w:hAnsi="宋体" w:cs="宋体"/>
        </w:rPr>
        <w:t>2、离职后福利，指企业为获得职工提供的服务而在职工退休或与企业解除劳动关系后，提供的各种形式的报酬和福利，短期薪酬和辞退福利除外。</w:t>
      </w:r>
    </w:p>
    <w:p w14:paraId="4A16A564">
      <w:pPr>
        <w:jc w:val="left"/>
        <w:rPr>
          <w:rFonts w:ascii="宋体" w:hAnsi="宋体" w:cs="宋体"/>
        </w:rPr>
      </w:pPr>
      <w:r>
        <w:rPr>
          <w:rFonts w:hint="eastAsia" w:ascii="宋体" w:hAnsi="宋体" w:cs="宋体"/>
        </w:rPr>
        <w:t>3、辞退福利，指企业在职工劳动合同到期之前解除与职工的劳动关系，或为鼓励职工自愿接受裁减而给予职工的补偿。</w:t>
      </w:r>
    </w:p>
    <w:p w14:paraId="3BEEFCB7">
      <w:pPr>
        <w:jc w:val="left"/>
        <w:rPr>
          <w:rFonts w:ascii="宋体" w:hAnsi="宋体" w:cs="宋体"/>
        </w:rPr>
      </w:pPr>
      <w:r>
        <w:rPr>
          <w:rFonts w:hint="eastAsia" w:ascii="宋体" w:hAnsi="宋体" w:cs="宋体"/>
        </w:rPr>
        <w:t>4、其他长期职工福利，指除短期薪酬、离职后福利、辞退福利之外所有的职工薪酬，包括长期带薪缺勤、其他长期服务福利、长期残疾福利、长期利润分享计划和长期奖金计划等。</w:t>
      </w:r>
    </w:p>
    <w:p w14:paraId="1FD532B6">
      <w:pPr>
        <w:overflowPunct w:val="0"/>
        <w:jc w:val="left"/>
        <w:rPr>
          <w:rFonts w:hint="eastAsia" w:ascii="宋体" w:hAnsi="宋体" w:cs="宋体"/>
        </w:rPr>
      </w:pPr>
    </w:p>
    <w:p w14:paraId="13B8C3EC">
      <w:pPr>
        <w:jc w:val="left"/>
        <w:rPr>
          <w:rFonts w:ascii="宋体" w:hAnsi="宋体" w:cs="宋体"/>
        </w:rPr>
      </w:pPr>
      <w:r>
        <w:rPr>
          <w:rFonts w:hint="eastAsia" w:ascii="宋体" w:hAnsi="宋体" w:cs="宋体"/>
        </w:rPr>
        <w:t>【例-多选题】下列各项中，企业应作为短期职工薪酬核算的有（  ）。</w:t>
      </w:r>
    </w:p>
    <w:p w14:paraId="6D8242DD">
      <w:pPr>
        <w:jc w:val="left"/>
        <w:rPr>
          <w:rFonts w:ascii="宋体" w:hAnsi="宋体" w:cs="宋体"/>
        </w:rPr>
      </w:pPr>
      <w:r>
        <w:rPr>
          <w:rFonts w:hint="eastAsia" w:ascii="宋体" w:hAnsi="宋体" w:cs="宋体"/>
        </w:rPr>
        <w:t>A.职工教育经费</w:t>
      </w:r>
    </w:p>
    <w:p w14:paraId="3924B0AD">
      <w:pPr>
        <w:jc w:val="left"/>
        <w:rPr>
          <w:rFonts w:ascii="宋体" w:hAnsi="宋体" w:cs="宋体"/>
        </w:rPr>
      </w:pPr>
      <w:r>
        <w:rPr>
          <w:rFonts w:hint="eastAsia" w:ascii="宋体" w:hAnsi="宋体" w:cs="宋体"/>
        </w:rPr>
        <w:t>B.非货币性福利</w:t>
      </w:r>
    </w:p>
    <w:p w14:paraId="63C0BD38">
      <w:pPr>
        <w:jc w:val="left"/>
        <w:rPr>
          <w:rFonts w:ascii="宋体" w:hAnsi="宋体" w:cs="宋体"/>
        </w:rPr>
      </w:pPr>
      <w:r>
        <w:rPr>
          <w:rFonts w:hint="eastAsia" w:ascii="宋体" w:hAnsi="宋体" w:cs="宋体"/>
        </w:rPr>
        <w:t>C.长期残疾福利</w:t>
      </w:r>
    </w:p>
    <w:p w14:paraId="718DDAF5">
      <w:pPr>
        <w:jc w:val="left"/>
        <w:rPr>
          <w:rFonts w:hint="eastAsia" w:ascii="宋体" w:hAnsi="宋体" w:cs="宋体"/>
        </w:rPr>
      </w:pPr>
      <w:r>
        <w:rPr>
          <w:rFonts w:hint="eastAsia" w:ascii="宋体" w:hAnsi="宋体" w:cs="宋体"/>
        </w:rPr>
        <w:t>D.累积带薪缺勤</w:t>
      </w:r>
    </w:p>
    <w:p w14:paraId="290828F0">
      <w:pPr>
        <w:jc w:val="left"/>
        <w:rPr>
          <w:rFonts w:ascii="宋体" w:hAnsi="宋体" w:cs="宋体"/>
        </w:rPr>
      </w:pPr>
      <w:r>
        <w:rPr>
          <w:rFonts w:hint="eastAsia" w:ascii="宋体" w:hAnsi="宋体" w:cs="宋体"/>
        </w:rPr>
        <w:t>答案：ABD</w:t>
      </w:r>
    </w:p>
    <w:p w14:paraId="57E9FD0D">
      <w:pPr>
        <w:jc w:val="left"/>
        <w:rPr>
          <w:rFonts w:ascii="宋体" w:hAnsi="宋体" w:cs="宋体"/>
        </w:rPr>
      </w:pPr>
      <w:r>
        <w:rPr>
          <w:rFonts w:hint="eastAsia" w:ascii="宋体" w:hAnsi="宋体" w:cs="宋体"/>
        </w:rPr>
        <w:t>解析：职工薪酬是指企业为获得职工提供的服务而给予各种形式的报酬以及其他相关支出，包括职工在职期间和离职后提供给职工的全部货币性薪酬和非货币性福利。C为其他长期职工福利。</w:t>
      </w:r>
    </w:p>
    <w:p w14:paraId="17E8AD19">
      <w:pPr>
        <w:jc w:val="left"/>
        <w:rPr>
          <w:rFonts w:ascii="宋体" w:hAnsi="宋体" w:cs="宋体"/>
        </w:rPr>
      </w:pPr>
    </w:p>
    <w:p w14:paraId="0DC78B04">
      <w:pPr>
        <w:overflowPunct w:val="0"/>
        <w:jc w:val="center"/>
        <w:rPr>
          <w:rFonts w:hint="eastAsia" w:ascii="宋体" w:hAnsi="宋体" w:cs="宋体"/>
          <w:b/>
          <w:bCs/>
        </w:rPr>
      </w:pPr>
      <w:r>
        <w:rPr>
          <w:rFonts w:hint="eastAsia" w:ascii="宋体" w:hAnsi="宋体" w:cs="宋体"/>
          <w:b/>
          <w:bCs/>
        </w:rPr>
        <w:t>第二节  短期薪酬的确认和计量</w:t>
      </w:r>
    </w:p>
    <w:p w14:paraId="5F8A4733">
      <w:pPr>
        <w:jc w:val="left"/>
        <w:rPr>
          <w:rFonts w:ascii="宋体" w:hAnsi="宋体" w:cs="宋体"/>
        </w:rPr>
      </w:pPr>
      <w:r>
        <w:rPr>
          <w:rFonts w:hint="eastAsia" w:ascii="宋体" w:hAnsi="宋体" w:cs="宋体"/>
        </w:rPr>
        <w:t>一般短期薪酬的确认和计量</w:t>
      </w:r>
    </w:p>
    <w:p w14:paraId="0A57A3FE">
      <w:pPr>
        <w:jc w:val="left"/>
        <w:rPr>
          <w:rFonts w:ascii="宋体" w:hAnsi="宋体" w:cs="宋体"/>
          <w:color w:val="FF0000"/>
        </w:rPr>
      </w:pPr>
      <w:r>
        <w:rPr>
          <w:rFonts w:hint="eastAsia" w:ascii="宋体" w:hAnsi="宋体" w:cs="宋体"/>
        </w:rPr>
        <w:t xml:space="preserve">借：生产成本  </w:t>
      </w:r>
      <w:r>
        <w:rPr>
          <w:rFonts w:hint="eastAsia" w:ascii="宋体" w:hAnsi="宋体" w:cs="宋体"/>
          <w:color w:val="FF0000"/>
        </w:rPr>
        <w:t>【生产车间工人薪酬】</w:t>
      </w:r>
    </w:p>
    <w:p w14:paraId="4383139E">
      <w:pPr>
        <w:jc w:val="left"/>
        <w:rPr>
          <w:rFonts w:ascii="宋体" w:hAnsi="宋体" w:cs="宋体"/>
        </w:rPr>
      </w:pPr>
      <w:r>
        <w:rPr>
          <w:rFonts w:hint="eastAsia" w:ascii="宋体" w:hAnsi="宋体" w:cs="宋体"/>
        </w:rPr>
        <w:t xml:space="preserve">    制造费用  </w:t>
      </w:r>
      <w:r>
        <w:rPr>
          <w:rFonts w:hint="eastAsia" w:ascii="宋体" w:hAnsi="宋体" w:cs="宋体"/>
          <w:color w:val="FF0000"/>
        </w:rPr>
        <w:t xml:space="preserve">【生产车间管理人员薪酬】      </w:t>
      </w:r>
    </w:p>
    <w:p w14:paraId="4E32584A">
      <w:pPr>
        <w:jc w:val="left"/>
        <w:rPr>
          <w:rFonts w:ascii="宋体" w:hAnsi="宋体" w:cs="宋体"/>
          <w:color w:val="FF0000"/>
        </w:rPr>
      </w:pPr>
      <w:r>
        <w:rPr>
          <w:rFonts w:hint="eastAsia" w:ascii="宋体" w:hAnsi="宋体" w:cs="宋体"/>
        </w:rPr>
        <w:t xml:space="preserve">    管理费用  </w:t>
      </w:r>
      <w:r>
        <w:rPr>
          <w:rFonts w:hint="eastAsia" w:ascii="宋体" w:hAnsi="宋体" w:cs="宋体"/>
          <w:color w:val="FF0000"/>
        </w:rPr>
        <w:t>【行政人员薪酬】</w:t>
      </w:r>
    </w:p>
    <w:p w14:paraId="06A4A150">
      <w:pPr>
        <w:jc w:val="left"/>
        <w:rPr>
          <w:rFonts w:ascii="宋体" w:hAnsi="宋体" w:cs="宋体"/>
          <w:color w:val="FF0000"/>
        </w:rPr>
      </w:pPr>
      <w:r>
        <w:rPr>
          <w:rFonts w:hint="eastAsia" w:ascii="宋体" w:hAnsi="宋体" w:cs="宋体"/>
        </w:rPr>
        <w:t xml:space="preserve">    销售费用 </w:t>
      </w:r>
      <w:r>
        <w:rPr>
          <w:rFonts w:hint="eastAsia" w:ascii="宋体" w:hAnsi="宋体" w:cs="宋体"/>
          <w:color w:val="FF0000"/>
        </w:rPr>
        <w:t xml:space="preserve"> 【销售人员薪酬】</w:t>
      </w:r>
    </w:p>
    <w:p w14:paraId="256BF245">
      <w:pPr>
        <w:jc w:val="left"/>
        <w:rPr>
          <w:rFonts w:ascii="宋体" w:hAnsi="宋体" w:cs="宋体"/>
          <w:color w:val="FF0000"/>
        </w:rPr>
      </w:pPr>
      <w:r>
        <w:rPr>
          <w:rFonts w:hint="eastAsia" w:ascii="宋体" w:hAnsi="宋体" w:cs="宋体"/>
        </w:rPr>
        <w:t xml:space="preserve">    研发支出  </w:t>
      </w:r>
      <w:r>
        <w:rPr>
          <w:rFonts w:hint="eastAsia" w:ascii="宋体" w:hAnsi="宋体" w:cs="宋体"/>
          <w:color w:val="FF0000"/>
        </w:rPr>
        <w:t>【从事研发活动人员的薪酬】</w:t>
      </w:r>
    </w:p>
    <w:p w14:paraId="575C9B11">
      <w:pPr>
        <w:jc w:val="left"/>
        <w:rPr>
          <w:rFonts w:ascii="宋体" w:hAnsi="宋体" w:cs="宋体"/>
          <w:color w:val="FF0000"/>
        </w:rPr>
      </w:pPr>
      <w:r>
        <w:rPr>
          <w:rFonts w:hint="eastAsia" w:ascii="宋体" w:hAnsi="宋体" w:cs="宋体"/>
        </w:rPr>
        <w:t xml:space="preserve">    在建工程 </w:t>
      </w:r>
      <w:r>
        <w:rPr>
          <w:rFonts w:hint="eastAsia" w:ascii="宋体" w:hAnsi="宋体" w:cs="宋体"/>
          <w:color w:val="FF0000"/>
        </w:rPr>
        <w:t xml:space="preserve"> 【从事工程建设人员的薪酬】</w:t>
      </w:r>
    </w:p>
    <w:p w14:paraId="7052702F">
      <w:pPr>
        <w:jc w:val="left"/>
        <w:rPr>
          <w:rFonts w:hint="eastAsia" w:ascii="宋体" w:hAnsi="宋体" w:cs="宋体"/>
        </w:rPr>
      </w:pPr>
      <w:r>
        <w:rPr>
          <w:rFonts w:hint="eastAsia" w:ascii="宋体" w:hAnsi="宋体" w:cs="宋体"/>
        </w:rPr>
        <w:t xml:space="preserve">  贷：应付职工薪酬——××薪酬</w:t>
      </w:r>
    </w:p>
    <w:p w14:paraId="77C48FF7">
      <w:pPr>
        <w:jc w:val="left"/>
        <w:rPr>
          <w:rFonts w:ascii="宋体" w:hAnsi="宋体" w:cs="宋体"/>
          <w:color w:val="FF0000"/>
        </w:rPr>
      </w:pPr>
      <w:r>
        <w:rPr>
          <w:rFonts w:hint="eastAsia" w:ascii="宋体" w:hAnsi="宋体" w:cs="宋体"/>
          <w:color w:val="FF0000"/>
        </w:rPr>
        <w:t>发放时：</w:t>
      </w:r>
    </w:p>
    <w:p w14:paraId="5A8AEB0C">
      <w:pPr>
        <w:jc w:val="left"/>
        <w:rPr>
          <w:rFonts w:ascii="宋体" w:hAnsi="宋体" w:cs="宋体"/>
        </w:rPr>
      </w:pPr>
      <w:r>
        <w:rPr>
          <w:rFonts w:hint="eastAsia" w:ascii="宋体" w:hAnsi="宋体" w:cs="宋体"/>
        </w:rPr>
        <w:t>借：应付职工薪酬</w:t>
      </w:r>
    </w:p>
    <w:p w14:paraId="318F1BD1">
      <w:pPr>
        <w:jc w:val="left"/>
        <w:rPr>
          <w:rFonts w:ascii="宋体" w:hAnsi="宋体" w:cs="宋体"/>
        </w:rPr>
      </w:pPr>
      <w:r>
        <w:rPr>
          <w:rFonts w:hint="eastAsia" w:ascii="宋体" w:hAnsi="宋体" w:cs="宋体"/>
        </w:rPr>
        <w:t xml:space="preserve">   贷：银行存款</w:t>
      </w:r>
    </w:p>
    <w:p w14:paraId="02E6FBF4">
      <w:pPr>
        <w:jc w:val="left"/>
        <w:rPr>
          <w:rFonts w:hint="eastAsia" w:ascii="宋体" w:hAnsi="宋体" w:cs="宋体"/>
        </w:rPr>
      </w:pPr>
      <w:r>
        <w:rPr>
          <w:rFonts w:hint="eastAsia" w:ascii="宋体" w:hAnsi="宋体" w:cs="宋体"/>
        </w:rPr>
        <w:t xml:space="preserve">       主营业务收入等</w:t>
      </w:r>
    </w:p>
    <w:p w14:paraId="3EC0E453">
      <w:pPr>
        <w:jc w:val="left"/>
        <w:rPr>
          <w:rFonts w:ascii="宋体" w:hAnsi="宋体" w:cs="宋体"/>
        </w:rPr>
      </w:pPr>
      <w:r>
        <w:rPr>
          <w:rFonts w:hint="eastAsia" w:ascii="宋体" w:hAnsi="宋体" w:cs="宋体"/>
        </w:rPr>
        <w:t>（1）</w:t>
      </w:r>
      <w:r>
        <w:rPr>
          <w:rFonts w:hint="eastAsia" w:ascii="宋体" w:hAnsi="宋体" w:cs="宋体"/>
          <w:color w:val="FF0000"/>
        </w:rPr>
        <w:t>自产产品</w:t>
      </w:r>
      <w:r>
        <w:rPr>
          <w:rFonts w:hint="eastAsia" w:ascii="宋体" w:hAnsi="宋体" w:cs="宋体"/>
        </w:rPr>
        <w:t>作为福利发放职工时：</w:t>
      </w:r>
    </w:p>
    <w:p w14:paraId="4F2661B4">
      <w:pPr>
        <w:jc w:val="left"/>
        <w:rPr>
          <w:rFonts w:ascii="宋体" w:hAnsi="宋体" w:cs="宋体"/>
        </w:rPr>
      </w:pPr>
      <w:r>
        <w:rPr>
          <w:rFonts w:hint="eastAsia" w:ascii="宋体" w:hAnsi="宋体" w:cs="宋体"/>
        </w:rPr>
        <w:t>借：应付职工薪酬——非货币性福利</w:t>
      </w:r>
    </w:p>
    <w:p w14:paraId="28FEA04F">
      <w:pPr>
        <w:jc w:val="left"/>
        <w:rPr>
          <w:rFonts w:ascii="宋体" w:hAnsi="宋体" w:cs="宋体"/>
        </w:rPr>
      </w:pPr>
      <w:r>
        <w:rPr>
          <w:rFonts w:hint="eastAsia" w:ascii="宋体" w:hAnsi="宋体" w:cs="宋体"/>
        </w:rPr>
        <w:t xml:space="preserve">   贷：</w:t>
      </w:r>
      <w:r>
        <w:rPr>
          <w:rFonts w:hint="eastAsia" w:ascii="宋体" w:hAnsi="宋体" w:cs="宋体"/>
          <w:color w:val="FF0000"/>
        </w:rPr>
        <w:t>主营业务收入</w:t>
      </w:r>
    </w:p>
    <w:p w14:paraId="21721FD1">
      <w:pPr>
        <w:jc w:val="left"/>
        <w:rPr>
          <w:rFonts w:ascii="宋体" w:hAnsi="宋体" w:cs="宋体"/>
        </w:rPr>
      </w:pPr>
      <w:r>
        <w:rPr>
          <w:rFonts w:hint="eastAsia" w:ascii="宋体" w:hAnsi="宋体" w:cs="宋体"/>
        </w:rPr>
        <w:t xml:space="preserve">       应交税费——应交增值税（销项税额）</w:t>
      </w:r>
    </w:p>
    <w:p w14:paraId="4C972D8D">
      <w:pPr>
        <w:jc w:val="left"/>
        <w:rPr>
          <w:rFonts w:ascii="宋体" w:hAnsi="宋体" w:cs="宋体"/>
        </w:rPr>
      </w:pPr>
      <w:r>
        <w:rPr>
          <w:rFonts w:hint="eastAsia" w:ascii="宋体" w:hAnsi="宋体" w:cs="宋体"/>
        </w:rPr>
        <w:t>借：主营业务成本</w:t>
      </w:r>
    </w:p>
    <w:p w14:paraId="4E80EEAC">
      <w:pPr>
        <w:jc w:val="left"/>
        <w:rPr>
          <w:rFonts w:hint="eastAsia" w:ascii="宋体" w:hAnsi="宋体" w:cs="宋体"/>
        </w:rPr>
      </w:pPr>
      <w:r>
        <w:rPr>
          <w:rFonts w:hint="eastAsia" w:ascii="宋体" w:hAnsi="宋体" w:cs="宋体"/>
        </w:rPr>
        <w:t xml:space="preserve">    贷：库存商品</w:t>
      </w:r>
    </w:p>
    <w:p w14:paraId="78460105">
      <w:pPr>
        <w:jc w:val="left"/>
        <w:rPr>
          <w:rFonts w:ascii="宋体" w:hAnsi="宋体" w:cs="宋体"/>
        </w:rPr>
      </w:pPr>
      <w:r>
        <w:rPr>
          <w:rFonts w:hint="eastAsia" w:ascii="宋体" w:hAnsi="宋体" w:cs="宋体"/>
        </w:rPr>
        <w:t>同时，根据受益对象进行分配：</w:t>
      </w:r>
    </w:p>
    <w:p w14:paraId="2B1ED37B">
      <w:pPr>
        <w:jc w:val="left"/>
        <w:rPr>
          <w:rFonts w:ascii="宋体" w:hAnsi="宋体" w:cs="宋体"/>
        </w:rPr>
      </w:pPr>
      <w:r>
        <w:rPr>
          <w:rFonts w:hint="eastAsia" w:ascii="宋体" w:hAnsi="宋体" w:cs="宋体"/>
        </w:rPr>
        <w:t>借：生产成本</w:t>
      </w:r>
    </w:p>
    <w:p w14:paraId="38A93413">
      <w:pPr>
        <w:jc w:val="left"/>
        <w:rPr>
          <w:rFonts w:ascii="宋体" w:hAnsi="宋体" w:cs="宋体"/>
        </w:rPr>
      </w:pPr>
      <w:r>
        <w:rPr>
          <w:rFonts w:hint="eastAsia" w:ascii="宋体" w:hAnsi="宋体" w:cs="宋体"/>
        </w:rPr>
        <w:t xml:space="preserve">    管理费用</w:t>
      </w:r>
    </w:p>
    <w:p w14:paraId="21D28010">
      <w:pPr>
        <w:jc w:val="left"/>
        <w:rPr>
          <w:rFonts w:ascii="宋体" w:hAnsi="宋体" w:cs="宋体"/>
        </w:rPr>
      </w:pPr>
      <w:r>
        <w:rPr>
          <w:rFonts w:hint="eastAsia" w:ascii="宋体" w:hAnsi="宋体" w:cs="宋体"/>
        </w:rPr>
        <w:t xml:space="preserve">    在建工程</w:t>
      </w:r>
    </w:p>
    <w:p w14:paraId="63D1BD15">
      <w:pPr>
        <w:jc w:val="left"/>
        <w:rPr>
          <w:rFonts w:ascii="宋体" w:hAnsi="宋体" w:cs="宋体"/>
        </w:rPr>
      </w:pPr>
      <w:r>
        <w:rPr>
          <w:rFonts w:hint="eastAsia" w:ascii="宋体" w:hAnsi="宋体" w:cs="宋体"/>
        </w:rPr>
        <w:t xml:space="preserve">    研发支出等</w:t>
      </w:r>
    </w:p>
    <w:p w14:paraId="44AC7E67">
      <w:pPr>
        <w:jc w:val="left"/>
        <w:rPr>
          <w:rFonts w:hint="eastAsia" w:ascii="宋体" w:hAnsi="宋体" w:cs="宋体"/>
        </w:rPr>
      </w:pPr>
      <w:r>
        <w:rPr>
          <w:rFonts w:hint="eastAsia" w:ascii="宋体" w:hAnsi="宋体" w:cs="宋体"/>
        </w:rPr>
        <w:t xml:space="preserve">  贷：应付职工薪酬——非货币性福利</w:t>
      </w:r>
    </w:p>
    <w:p w14:paraId="01F8FEED">
      <w:pPr>
        <w:jc w:val="left"/>
        <w:rPr>
          <w:rFonts w:ascii="宋体" w:hAnsi="宋体" w:cs="宋体"/>
        </w:rPr>
      </w:pPr>
      <w:r>
        <w:rPr>
          <w:rFonts w:hint="eastAsia" w:ascii="宋体" w:hAnsi="宋体" w:cs="宋体"/>
        </w:rPr>
        <w:t>（2）外购商品作为福利发放职工时：</w:t>
      </w:r>
    </w:p>
    <w:p w14:paraId="01616C72">
      <w:pPr>
        <w:jc w:val="left"/>
        <w:rPr>
          <w:rFonts w:ascii="宋体" w:hAnsi="宋体" w:cs="宋体"/>
        </w:rPr>
      </w:pPr>
      <w:r>
        <w:rPr>
          <w:rFonts w:hint="eastAsia" w:ascii="宋体" w:hAnsi="宋体" w:cs="宋体"/>
        </w:rPr>
        <w:t>购入时：</w:t>
      </w:r>
    </w:p>
    <w:p w14:paraId="2D3D5C6C">
      <w:pPr>
        <w:jc w:val="left"/>
        <w:rPr>
          <w:rFonts w:ascii="宋体" w:hAnsi="宋体" w:cs="宋体"/>
        </w:rPr>
      </w:pPr>
      <w:r>
        <w:rPr>
          <w:rFonts w:hint="eastAsia" w:ascii="宋体" w:hAnsi="宋体" w:cs="宋体"/>
        </w:rPr>
        <w:t>借：库存商品</w:t>
      </w:r>
    </w:p>
    <w:p w14:paraId="21AA1AD0">
      <w:pPr>
        <w:jc w:val="left"/>
        <w:rPr>
          <w:rFonts w:ascii="宋体" w:hAnsi="宋体" w:cs="宋体"/>
        </w:rPr>
      </w:pPr>
      <w:r>
        <w:rPr>
          <w:rFonts w:hint="eastAsia" w:ascii="宋体" w:hAnsi="宋体" w:cs="宋体"/>
        </w:rPr>
        <w:t xml:space="preserve">    应交税费——应交增值税（进项税额）</w:t>
      </w:r>
    </w:p>
    <w:p w14:paraId="21C3B967">
      <w:pPr>
        <w:jc w:val="left"/>
        <w:rPr>
          <w:rFonts w:ascii="宋体" w:hAnsi="宋体" w:cs="宋体"/>
        </w:rPr>
      </w:pPr>
      <w:r>
        <w:rPr>
          <w:rFonts w:hint="eastAsia" w:ascii="宋体" w:hAnsi="宋体" w:cs="宋体"/>
        </w:rPr>
        <w:t xml:space="preserve">  贷：银行存款等</w:t>
      </w:r>
    </w:p>
    <w:p w14:paraId="542BCEB3">
      <w:pPr>
        <w:jc w:val="left"/>
        <w:rPr>
          <w:rFonts w:ascii="宋体" w:hAnsi="宋体" w:cs="宋体"/>
        </w:rPr>
      </w:pPr>
      <w:r>
        <w:rPr>
          <w:rFonts w:hint="eastAsia" w:ascii="宋体" w:hAnsi="宋体" w:cs="宋体"/>
        </w:rPr>
        <w:t>发放时：</w:t>
      </w:r>
    </w:p>
    <w:p w14:paraId="60BA0FCA">
      <w:pPr>
        <w:jc w:val="left"/>
        <w:rPr>
          <w:rFonts w:ascii="宋体" w:hAnsi="宋体" w:cs="宋体"/>
        </w:rPr>
      </w:pPr>
      <w:r>
        <w:rPr>
          <w:rFonts w:hint="eastAsia" w:ascii="宋体" w:hAnsi="宋体" w:cs="宋体"/>
        </w:rPr>
        <w:t>借：应付职工薪酬——非货币性福利</w:t>
      </w:r>
    </w:p>
    <w:p w14:paraId="5CEF402B">
      <w:pPr>
        <w:jc w:val="left"/>
        <w:rPr>
          <w:rFonts w:ascii="宋体" w:hAnsi="宋体" w:cs="宋体"/>
        </w:rPr>
      </w:pPr>
      <w:r>
        <w:rPr>
          <w:rFonts w:hint="eastAsia" w:ascii="宋体" w:hAnsi="宋体" w:cs="宋体"/>
        </w:rPr>
        <w:t xml:space="preserve">  贷：库存商品</w:t>
      </w:r>
    </w:p>
    <w:p w14:paraId="15388424">
      <w:pPr>
        <w:jc w:val="left"/>
        <w:rPr>
          <w:rFonts w:hint="eastAsia" w:ascii="宋体" w:hAnsi="宋体" w:cs="宋体"/>
        </w:rPr>
      </w:pPr>
      <w:r>
        <w:rPr>
          <w:rFonts w:hint="eastAsia" w:ascii="宋体" w:hAnsi="宋体" w:cs="宋体"/>
        </w:rPr>
        <w:t xml:space="preserve">      应交税费——应交增值税（进项税额转出）</w:t>
      </w:r>
    </w:p>
    <w:p w14:paraId="3AB98560">
      <w:pPr>
        <w:jc w:val="left"/>
        <w:rPr>
          <w:rFonts w:ascii="宋体" w:hAnsi="宋体" w:cs="宋体"/>
        </w:rPr>
      </w:pPr>
      <w:r>
        <w:rPr>
          <w:rFonts w:hint="eastAsia" w:ascii="宋体" w:hAnsi="宋体" w:cs="宋体"/>
        </w:rPr>
        <w:t>同时，根据受益对象进行分配：</w:t>
      </w:r>
    </w:p>
    <w:p w14:paraId="6DAD5EB8">
      <w:pPr>
        <w:jc w:val="left"/>
        <w:rPr>
          <w:rFonts w:ascii="宋体" w:hAnsi="宋体" w:cs="宋体"/>
        </w:rPr>
      </w:pPr>
      <w:r>
        <w:rPr>
          <w:rFonts w:hint="eastAsia" w:ascii="宋体" w:hAnsi="宋体" w:cs="宋体"/>
        </w:rPr>
        <w:t>借：生产成本</w:t>
      </w:r>
    </w:p>
    <w:p w14:paraId="4C77BB6E">
      <w:pPr>
        <w:jc w:val="left"/>
        <w:rPr>
          <w:rFonts w:ascii="宋体" w:hAnsi="宋体" w:cs="宋体"/>
        </w:rPr>
      </w:pPr>
      <w:r>
        <w:rPr>
          <w:rFonts w:hint="eastAsia" w:ascii="宋体" w:hAnsi="宋体" w:cs="宋体"/>
        </w:rPr>
        <w:t xml:space="preserve">    管理费用</w:t>
      </w:r>
    </w:p>
    <w:p w14:paraId="19C09F47">
      <w:pPr>
        <w:jc w:val="left"/>
        <w:rPr>
          <w:rFonts w:ascii="宋体" w:hAnsi="宋体" w:cs="宋体"/>
        </w:rPr>
      </w:pPr>
      <w:r>
        <w:rPr>
          <w:rFonts w:hint="eastAsia" w:ascii="宋体" w:hAnsi="宋体" w:cs="宋体"/>
        </w:rPr>
        <w:t xml:space="preserve">    在建工程</w:t>
      </w:r>
    </w:p>
    <w:p w14:paraId="0D2D1EA6">
      <w:pPr>
        <w:jc w:val="left"/>
        <w:rPr>
          <w:rFonts w:ascii="宋体" w:hAnsi="宋体" w:cs="宋体"/>
        </w:rPr>
      </w:pPr>
      <w:r>
        <w:rPr>
          <w:rFonts w:hint="eastAsia" w:ascii="宋体" w:hAnsi="宋体" w:cs="宋体"/>
        </w:rPr>
        <w:t xml:space="preserve">    研发支出等</w:t>
      </w:r>
    </w:p>
    <w:p w14:paraId="241061C0">
      <w:pPr>
        <w:jc w:val="left"/>
        <w:rPr>
          <w:rFonts w:hint="eastAsia" w:ascii="宋体" w:hAnsi="宋体" w:cs="宋体"/>
        </w:rPr>
      </w:pPr>
      <w:r>
        <w:rPr>
          <w:rFonts w:hint="eastAsia" w:ascii="宋体" w:hAnsi="宋体" w:cs="宋体"/>
        </w:rPr>
        <w:t xml:space="preserve">  贷：应付职工薪酬——非货币性福利</w:t>
      </w:r>
    </w:p>
    <w:p w14:paraId="63152CDE">
      <w:pPr>
        <w:overflowPunct w:val="0"/>
        <w:jc w:val="left"/>
        <w:rPr>
          <w:rFonts w:ascii="宋体" w:hAnsi="宋体" w:cs="宋体"/>
        </w:rPr>
      </w:pPr>
    </w:p>
    <w:p w14:paraId="4750A92A">
      <w:pPr>
        <w:jc w:val="left"/>
        <w:rPr>
          <w:rFonts w:ascii="宋体" w:hAnsi="宋体" w:cs="宋体"/>
        </w:rPr>
      </w:pPr>
      <w:r>
        <w:rPr>
          <w:rFonts w:hint="eastAsia" w:ascii="宋体" w:hAnsi="宋体" w:cs="宋体"/>
        </w:rPr>
        <w:t>【例-单选题】甲公司为增值税一般纳税人，适用的增值税税率为13%。2024年1月甲公司董事会决定将本公司生产的500件产品作为福利发放给公司管理人员。该批产品的单件成本为1.2万元，市场销售价格为每件2万元（不含增值税）。不考虑其他相关税费，甲公司在2024年因该项业务对当期损益的影响金额为（  ）万元。</w:t>
      </w:r>
    </w:p>
    <w:p w14:paraId="6115854A">
      <w:pPr>
        <w:jc w:val="left"/>
        <w:rPr>
          <w:rFonts w:ascii="宋体" w:hAnsi="宋体" w:cs="宋体"/>
        </w:rPr>
      </w:pPr>
      <w:r>
        <w:rPr>
          <w:rFonts w:hint="eastAsia" w:ascii="宋体" w:hAnsi="宋体" w:cs="宋体"/>
        </w:rPr>
        <w:t>A.-600</w:t>
      </w:r>
      <w:r>
        <w:rPr>
          <w:rFonts w:hint="eastAsia" w:ascii="宋体" w:hAnsi="宋体" w:cs="宋体"/>
        </w:rPr>
        <w:tab/>
      </w:r>
    </w:p>
    <w:p w14:paraId="14F2D6D5">
      <w:pPr>
        <w:jc w:val="left"/>
        <w:rPr>
          <w:rFonts w:ascii="宋体" w:hAnsi="宋体" w:cs="宋体"/>
        </w:rPr>
      </w:pPr>
      <w:r>
        <w:rPr>
          <w:rFonts w:hint="eastAsia" w:ascii="宋体" w:hAnsi="宋体" w:cs="宋体"/>
        </w:rPr>
        <w:t>B.-730</w:t>
      </w:r>
    </w:p>
    <w:p w14:paraId="5FBDE42D">
      <w:pPr>
        <w:jc w:val="left"/>
        <w:rPr>
          <w:rFonts w:ascii="宋体" w:hAnsi="宋体" w:cs="宋体"/>
        </w:rPr>
      </w:pPr>
      <w:r>
        <w:rPr>
          <w:rFonts w:hint="eastAsia" w:ascii="宋体" w:hAnsi="宋体" w:cs="宋体"/>
        </w:rPr>
        <w:t>C.-1 000</w:t>
      </w:r>
      <w:r>
        <w:rPr>
          <w:rFonts w:hint="eastAsia" w:ascii="宋体" w:hAnsi="宋体" w:cs="宋体"/>
        </w:rPr>
        <w:tab/>
      </w:r>
    </w:p>
    <w:p w14:paraId="467C8529">
      <w:pPr>
        <w:jc w:val="left"/>
        <w:rPr>
          <w:rFonts w:hint="eastAsia" w:ascii="宋体" w:hAnsi="宋体" w:cs="宋体"/>
        </w:rPr>
      </w:pPr>
      <w:r>
        <w:rPr>
          <w:rFonts w:hint="eastAsia" w:ascii="宋体" w:hAnsi="宋体" w:cs="宋体"/>
        </w:rPr>
        <w:t>D.-1 130</w:t>
      </w:r>
    </w:p>
    <w:p w14:paraId="132D62F3">
      <w:pPr>
        <w:jc w:val="left"/>
        <w:rPr>
          <w:rFonts w:ascii="宋体" w:hAnsi="宋体" w:cs="宋体"/>
        </w:rPr>
      </w:pPr>
      <w:r>
        <w:rPr>
          <w:rFonts w:hint="eastAsia" w:ascii="宋体" w:hAnsi="宋体" w:cs="宋体"/>
        </w:rPr>
        <w:t>答案：B</w:t>
      </w:r>
    </w:p>
    <w:p w14:paraId="1D346395">
      <w:pPr>
        <w:jc w:val="left"/>
        <w:rPr>
          <w:rFonts w:ascii="宋体" w:hAnsi="宋体" w:cs="宋体"/>
        </w:rPr>
      </w:pPr>
      <w:r>
        <w:rPr>
          <w:rFonts w:hint="eastAsia" w:ascii="宋体" w:hAnsi="宋体" w:cs="宋体"/>
        </w:rPr>
        <w:t>解析：相关的会计处理：</w:t>
      </w:r>
    </w:p>
    <w:p w14:paraId="44F29FB1">
      <w:pPr>
        <w:jc w:val="left"/>
        <w:rPr>
          <w:rFonts w:ascii="宋体" w:hAnsi="宋体" w:cs="宋体"/>
        </w:rPr>
      </w:pPr>
      <w:r>
        <w:rPr>
          <w:rFonts w:hint="eastAsia" w:ascii="宋体" w:hAnsi="宋体" w:cs="宋体"/>
        </w:rPr>
        <w:t>借：管理费用</w:t>
      </w:r>
      <w:r>
        <w:rPr>
          <w:rFonts w:hint="eastAsia" w:ascii="宋体" w:hAnsi="宋体" w:cs="宋体"/>
        </w:rPr>
        <w:tab/>
      </w:r>
      <w:r>
        <w:rPr>
          <w:rFonts w:hint="eastAsia" w:ascii="宋体" w:hAnsi="宋体" w:cs="宋体"/>
        </w:rPr>
        <w:t xml:space="preserve">                                                1 130</w:t>
      </w:r>
    </w:p>
    <w:p w14:paraId="4236AE88">
      <w:pPr>
        <w:jc w:val="left"/>
        <w:rPr>
          <w:rFonts w:ascii="宋体" w:hAnsi="宋体" w:cs="宋体"/>
        </w:rPr>
      </w:pPr>
      <w:r>
        <w:rPr>
          <w:rFonts w:hint="eastAsia" w:ascii="宋体" w:hAnsi="宋体" w:cs="宋体"/>
        </w:rPr>
        <w:t xml:space="preserve">   贷：应付职工薪酬——非货币性福利             1 130</w:t>
      </w:r>
    </w:p>
    <w:p w14:paraId="7DA52287">
      <w:pPr>
        <w:jc w:val="left"/>
        <w:rPr>
          <w:rFonts w:ascii="宋体" w:hAnsi="宋体" w:cs="宋体"/>
        </w:rPr>
      </w:pPr>
      <w:r>
        <w:rPr>
          <w:rFonts w:hint="eastAsia" w:ascii="宋体" w:hAnsi="宋体" w:cs="宋体"/>
        </w:rPr>
        <w:t>借：应付职工薪酬——非货币性福利            1 130</w:t>
      </w:r>
    </w:p>
    <w:p w14:paraId="36679718">
      <w:pPr>
        <w:jc w:val="left"/>
        <w:rPr>
          <w:rFonts w:ascii="宋体" w:hAnsi="宋体" w:cs="宋体"/>
        </w:rPr>
      </w:pPr>
      <w:r>
        <w:rPr>
          <w:rFonts w:hint="eastAsia" w:ascii="宋体" w:hAnsi="宋体" w:cs="宋体"/>
        </w:rPr>
        <w:t xml:space="preserve">   贷：主营业务收入</w:t>
      </w:r>
      <w:r>
        <w:rPr>
          <w:rFonts w:hint="eastAsia" w:ascii="宋体" w:hAnsi="宋体" w:cs="宋体"/>
        </w:rPr>
        <w:tab/>
      </w:r>
      <w:r>
        <w:rPr>
          <w:rFonts w:hint="eastAsia" w:ascii="宋体" w:hAnsi="宋体" w:cs="宋体"/>
        </w:rPr>
        <w:t xml:space="preserve">                                          1 000</w:t>
      </w:r>
    </w:p>
    <w:p w14:paraId="4897E392">
      <w:pPr>
        <w:jc w:val="left"/>
        <w:rPr>
          <w:rFonts w:ascii="宋体" w:hAnsi="宋体" w:cs="宋体"/>
        </w:rPr>
      </w:pPr>
      <w:r>
        <w:rPr>
          <w:rFonts w:hint="eastAsia" w:ascii="宋体" w:hAnsi="宋体" w:cs="宋体"/>
        </w:rPr>
        <w:t xml:space="preserve">       应交税费——应交增值税（销项税额）   130</w:t>
      </w:r>
    </w:p>
    <w:p w14:paraId="56DD057E">
      <w:pPr>
        <w:jc w:val="left"/>
        <w:rPr>
          <w:rFonts w:ascii="宋体" w:hAnsi="宋体" w:cs="宋体"/>
        </w:rPr>
      </w:pPr>
      <w:r>
        <w:rPr>
          <w:rFonts w:hint="eastAsia" w:ascii="宋体" w:hAnsi="宋体" w:cs="宋体"/>
        </w:rPr>
        <w:t>借：主营业务成本</w:t>
      </w:r>
      <w:r>
        <w:rPr>
          <w:rFonts w:hint="eastAsia" w:ascii="宋体" w:hAnsi="宋体" w:cs="宋体"/>
        </w:rPr>
        <w:tab/>
      </w:r>
      <w:r>
        <w:rPr>
          <w:rFonts w:hint="eastAsia" w:ascii="宋体" w:hAnsi="宋体" w:cs="宋体"/>
        </w:rPr>
        <w:t xml:space="preserve">        600</w:t>
      </w:r>
    </w:p>
    <w:p w14:paraId="06AAD9BD">
      <w:pPr>
        <w:jc w:val="left"/>
        <w:rPr>
          <w:rFonts w:ascii="宋体" w:hAnsi="宋体" w:cs="宋体"/>
        </w:rPr>
      </w:pPr>
      <w:r>
        <w:rPr>
          <w:rFonts w:hint="eastAsia" w:ascii="宋体" w:hAnsi="宋体" w:cs="宋体"/>
        </w:rPr>
        <w:t xml:space="preserve">   贷：库存商品                        600</w:t>
      </w:r>
    </w:p>
    <w:p w14:paraId="7BEA465C">
      <w:pPr>
        <w:overflowPunct w:val="0"/>
        <w:jc w:val="left"/>
        <w:rPr>
          <w:rFonts w:hint="eastAsia" w:ascii="宋体" w:hAnsi="宋体" w:cs="宋体"/>
        </w:rPr>
      </w:pPr>
    </w:p>
    <w:p w14:paraId="35473805">
      <w:pPr>
        <w:jc w:val="left"/>
        <w:rPr>
          <w:rFonts w:ascii="宋体" w:hAnsi="宋体" w:cs="宋体"/>
        </w:rPr>
      </w:pPr>
      <w:r>
        <w:rPr>
          <w:rFonts w:hint="eastAsia" w:ascii="宋体" w:hAnsi="宋体" w:cs="宋体"/>
        </w:rPr>
        <w:t>2、短期带薪缺勤的确认和计量</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3331"/>
        <w:gridCol w:w="2536"/>
        <w:gridCol w:w="2534"/>
      </w:tblGrid>
      <w:tr w14:paraId="065B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pct"/>
          </w:tcPr>
          <w:p w14:paraId="77333920">
            <w:pPr>
              <w:jc w:val="center"/>
              <w:rPr>
                <w:rFonts w:ascii="宋体" w:hAnsi="宋体" w:cs="宋体"/>
              </w:rPr>
            </w:pPr>
            <w:r>
              <w:rPr>
                <w:rFonts w:hint="eastAsia" w:ascii="宋体" w:hAnsi="宋体" w:cs="宋体"/>
              </w:rPr>
              <w:t>短缺带薪缺勤</w:t>
            </w:r>
          </w:p>
        </w:tc>
        <w:tc>
          <w:tcPr>
            <w:tcW w:w="1643" w:type="pct"/>
          </w:tcPr>
          <w:p w14:paraId="626A8DA2">
            <w:pPr>
              <w:jc w:val="center"/>
              <w:rPr>
                <w:rFonts w:ascii="宋体" w:hAnsi="宋体" w:cs="宋体"/>
              </w:rPr>
            </w:pPr>
            <w:r>
              <w:rPr>
                <w:rFonts w:hint="eastAsia" w:ascii="宋体" w:hAnsi="宋体" w:cs="宋体"/>
              </w:rPr>
              <w:t>定义</w:t>
            </w:r>
          </w:p>
        </w:tc>
        <w:tc>
          <w:tcPr>
            <w:tcW w:w="1251" w:type="pct"/>
          </w:tcPr>
          <w:p w14:paraId="334E18EB">
            <w:pPr>
              <w:jc w:val="center"/>
              <w:rPr>
                <w:rFonts w:ascii="宋体" w:hAnsi="宋体" w:cs="宋体"/>
              </w:rPr>
            </w:pPr>
            <w:r>
              <w:rPr>
                <w:rFonts w:hint="eastAsia" w:ascii="宋体" w:hAnsi="宋体" w:cs="宋体"/>
              </w:rPr>
              <w:t>会计核算</w:t>
            </w:r>
          </w:p>
        </w:tc>
        <w:tc>
          <w:tcPr>
            <w:tcW w:w="1251" w:type="pct"/>
          </w:tcPr>
          <w:p w14:paraId="6AF132B9">
            <w:pPr>
              <w:jc w:val="center"/>
              <w:rPr>
                <w:rFonts w:ascii="宋体" w:hAnsi="宋体" w:cs="宋体"/>
              </w:rPr>
            </w:pPr>
            <w:r>
              <w:rPr>
                <w:rFonts w:hint="eastAsia" w:ascii="宋体" w:hAnsi="宋体" w:cs="宋体"/>
              </w:rPr>
              <w:t>会计分录</w:t>
            </w:r>
          </w:p>
        </w:tc>
      </w:tr>
      <w:tr w14:paraId="6EF5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1DC971E7">
            <w:pPr>
              <w:jc w:val="center"/>
              <w:rPr>
                <w:rFonts w:ascii="宋体" w:hAnsi="宋体" w:cs="宋体"/>
              </w:rPr>
            </w:pPr>
            <w:r>
              <w:rPr>
                <w:rFonts w:hint="eastAsia" w:ascii="宋体" w:hAnsi="宋体" w:cs="宋体"/>
              </w:rPr>
              <w:t>累积</w:t>
            </w:r>
            <w:r>
              <w:rPr>
                <w:rFonts w:hint="eastAsia" w:ascii="宋体" w:hAnsi="宋体" w:cs="宋体"/>
              </w:rPr>
              <w:br w:type="textWrapping"/>
            </w:r>
            <w:r>
              <w:rPr>
                <w:rFonts w:hint="eastAsia" w:ascii="宋体" w:hAnsi="宋体" w:cs="宋体"/>
              </w:rPr>
              <w:t>带薪缺勤</w:t>
            </w:r>
          </w:p>
        </w:tc>
        <w:tc>
          <w:tcPr>
            <w:tcW w:w="1643" w:type="pct"/>
          </w:tcPr>
          <w:p w14:paraId="728E214D">
            <w:pPr>
              <w:jc w:val="left"/>
              <w:rPr>
                <w:rFonts w:ascii="宋体" w:hAnsi="宋体" w:cs="宋体"/>
              </w:rPr>
            </w:pPr>
            <w:r>
              <w:rPr>
                <w:rFonts w:hint="eastAsia" w:ascii="宋体" w:hAnsi="宋体" w:cs="宋体"/>
              </w:rPr>
              <w:t>是指带薪权利可以结转下期的带薪缺勤，</w:t>
            </w:r>
            <w:r>
              <w:rPr>
                <w:rFonts w:hint="eastAsia" w:ascii="宋体" w:hAnsi="宋体" w:cs="宋体"/>
                <w:color w:val="FF0000"/>
              </w:rPr>
              <w:t>本期尚未用完的带薪缺勤权利可以在未来期间使用。</w:t>
            </w:r>
          </w:p>
        </w:tc>
        <w:tc>
          <w:tcPr>
            <w:tcW w:w="1251" w:type="pct"/>
          </w:tcPr>
          <w:p w14:paraId="2B63F30F">
            <w:pPr>
              <w:jc w:val="left"/>
              <w:rPr>
                <w:rFonts w:ascii="宋体" w:hAnsi="宋体" w:cs="宋体"/>
              </w:rPr>
            </w:pPr>
            <w:r>
              <w:rPr>
                <w:rFonts w:hint="eastAsia" w:ascii="宋体" w:hAnsi="宋体" w:cs="宋体"/>
              </w:rPr>
              <w:t>企业应当在本期计提相关费用和负债，下期偿还负债。</w:t>
            </w:r>
          </w:p>
        </w:tc>
        <w:tc>
          <w:tcPr>
            <w:tcW w:w="1251" w:type="pct"/>
          </w:tcPr>
          <w:p w14:paraId="1A019ED2">
            <w:pPr>
              <w:jc w:val="left"/>
              <w:rPr>
                <w:rFonts w:ascii="宋体" w:hAnsi="宋体" w:cs="宋体"/>
              </w:rPr>
            </w:pPr>
            <w:r>
              <w:rPr>
                <w:rFonts w:hint="eastAsia" w:ascii="宋体" w:hAnsi="宋体" w:cs="宋体"/>
              </w:rPr>
              <w:t>借：管理费用等</w:t>
            </w:r>
          </w:p>
          <w:p w14:paraId="1E683BCB">
            <w:pPr>
              <w:jc w:val="left"/>
              <w:rPr>
                <w:rFonts w:ascii="宋体" w:hAnsi="宋体" w:cs="宋体"/>
              </w:rPr>
            </w:pPr>
            <w:r>
              <w:rPr>
                <w:rFonts w:hint="eastAsia" w:ascii="宋体" w:hAnsi="宋体" w:cs="宋体"/>
              </w:rPr>
              <w:t xml:space="preserve">    贷：应付职工薪酬</w:t>
            </w:r>
          </w:p>
        </w:tc>
      </w:tr>
      <w:tr w14:paraId="576C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703EAA6">
            <w:pPr>
              <w:jc w:val="center"/>
              <w:rPr>
                <w:rFonts w:ascii="宋体" w:hAnsi="宋体" w:cs="宋体"/>
              </w:rPr>
            </w:pPr>
            <w:r>
              <w:rPr>
                <w:rFonts w:hint="eastAsia" w:ascii="宋体" w:hAnsi="宋体" w:cs="宋体"/>
              </w:rPr>
              <w:t>非累积</w:t>
            </w:r>
          </w:p>
          <w:p w14:paraId="1E257A02">
            <w:pPr>
              <w:jc w:val="center"/>
              <w:rPr>
                <w:rFonts w:ascii="宋体" w:hAnsi="宋体" w:cs="宋体"/>
              </w:rPr>
            </w:pPr>
            <w:r>
              <w:rPr>
                <w:rFonts w:hint="eastAsia" w:ascii="宋体" w:hAnsi="宋体" w:cs="宋体"/>
              </w:rPr>
              <w:t>带薪缺勤</w:t>
            </w:r>
          </w:p>
        </w:tc>
        <w:tc>
          <w:tcPr>
            <w:tcW w:w="1643" w:type="pct"/>
          </w:tcPr>
          <w:p w14:paraId="72AFCFA4">
            <w:pPr>
              <w:jc w:val="left"/>
              <w:rPr>
                <w:rFonts w:ascii="宋体" w:hAnsi="宋体" w:cs="宋体"/>
              </w:rPr>
            </w:pPr>
            <w:r>
              <w:rPr>
                <w:rFonts w:hint="eastAsia" w:ascii="宋体" w:hAnsi="宋体" w:cs="宋体"/>
              </w:rPr>
              <w:t>是指带薪权利不能结转下期的带薪缺勤，</w:t>
            </w:r>
            <w:r>
              <w:rPr>
                <w:rFonts w:hint="eastAsia" w:ascii="宋体" w:hAnsi="宋体" w:cs="宋体"/>
                <w:color w:val="FF0000"/>
              </w:rPr>
              <w:t>本期尚未用完的带薪缺勤权利将予以取消，</w:t>
            </w:r>
            <w:r>
              <w:rPr>
                <w:rFonts w:hint="eastAsia" w:ascii="宋体" w:hAnsi="宋体" w:cs="宋体"/>
              </w:rPr>
              <w:t>并且职工离开企业时也无权获得现金支付。</w:t>
            </w:r>
          </w:p>
        </w:tc>
        <w:tc>
          <w:tcPr>
            <w:tcW w:w="1251" w:type="pct"/>
          </w:tcPr>
          <w:p w14:paraId="0E955B33">
            <w:pPr>
              <w:jc w:val="left"/>
              <w:rPr>
                <w:rFonts w:ascii="宋体" w:hAnsi="宋体" w:cs="宋体"/>
              </w:rPr>
            </w:pPr>
            <w:r>
              <w:rPr>
                <w:rFonts w:hint="eastAsia" w:ascii="宋体" w:hAnsi="宋体" w:cs="宋体"/>
              </w:rPr>
              <w:t>企业应当不核算非累积带薪缺勤。</w:t>
            </w:r>
          </w:p>
        </w:tc>
        <w:tc>
          <w:tcPr>
            <w:tcW w:w="1251" w:type="pct"/>
          </w:tcPr>
          <w:p w14:paraId="6E1618ED">
            <w:pPr>
              <w:jc w:val="left"/>
              <w:rPr>
                <w:rFonts w:ascii="宋体" w:hAnsi="宋体" w:cs="宋体"/>
              </w:rPr>
            </w:pPr>
            <w:r>
              <w:rPr>
                <w:rFonts w:hint="eastAsia" w:ascii="宋体" w:hAnsi="宋体" w:cs="宋体"/>
              </w:rPr>
              <w:t>通常情况下，不必额外作相应的账务处理。</w:t>
            </w:r>
          </w:p>
        </w:tc>
      </w:tr>
    </w:tbl>
    <w:p w14:paraId="06C796CD">
      <w:pPr>
        <w:jc w:val="left"/>
        <w:rPr>
          <w:rFonts w:hint="eastAsia" w:ascii="宋体" w:hAnsi="宋体" w:cs="宋体"/>
        </w:rPr>
      </w:pPr>
      <w:r>
        <w:rPr>
          <w:rFonts w:hint="eastAsia" w:ascii="宋体" w:hAnsi="宋体" w:cs="宋体"/>
        </w:rPr>
        <w:t>【例9-3】乙公司共有1 000名职工，从2023年1月1日起，该企业实行累积带薪缺勤制度。该制度规定，每个职工每年可享受5个工作日带薪休假。未使用的年休假只能向后结转一个公历年度，超过1年未使用的权利作废，在职工离开企业时也无权获得现金支付；职工休年假时，首先使用当年可享受的权利，再从上年结转的带薪年休假中扣除。</w:t>
      </w:r>
    </w:p>
    <w:p w14:paraId="1097722F">
      <w:pPr>
        <w:jc w:val="left"/>
        <w:rPr>
          <w:rFonts w:ascii="宋体" w:hAnsi="宋体" w:cs="宋体"/>
        </w:rPr>
      </w:pPr>
      <w:r>
        <w:rPr>
          <w:rFonts w:hint="eastAsia" w:ascii="宋体" w:hAnsi="宋体" w:cs="宋体"/>
        </w:rPr>
        <w:t>2023年12月31日乙公司预计2024年有950名职工将享受不超过5天的带薪年休假，剩余50名职工每人将平均享受6.5天年休假，假定这50名职工全部为总部管理人员，该企业平均每名职工每个工作日工资为400元。不考虑其他相关因素。</w:t>
      </w:r>
    </w:p>
    <w:p w14:paraId="40AD3FD1">
      <w:pPr>
        <w:jc w:val="left"/>
        <w:rPr>
          <w:rFonts w:hint="eastAsia" w:ascii="宋体" w:hAnsi="宋体" w:cs="宋体"/>
        </w:rPr>
      </w:pPr>
      <w:r>
        <w:rPr>
          <w:rFonts w:hint="eastAsia" w:ascii="宋体" w:hAnsi="宋体" w:cs="宋体"/>
        </w:rPr>
        <w:t>乙公司在2023年12月31日应当预计由于职工累积未使用的带薪年休假权利而导致的预期支付的金额，即相当于75天[50×（6.5-5）天]的年休假工资金额30 000元（75×400）。</w:t>
      </w:r>
    </w:p>
    <w:p w14:paraId="59471A2E">
      <w:pPr>
        <w:jc w:val="left"/>
        <w:rPr>
          <w:rFonts w:ascii="宋体" w:hAnsi="宋体" w:cs="宋体"/>
        </w:rPr>
      </w:pPr>
      <w:r>
        <w:rPr>
          <w:rFonts w:hint="eastAsia" w:ascii="宋体" w:hAnsi="宋体" w:cs="宋体"/>
        </w:rPr>
        <w:t>答案：</w:t>
      </w:r>
    </w:p>
    <w:p w14:paraId="1DA0C78F">
      <w:pPr>
        <w:jc w:val="left"/>
        <w:rPr>
          <w:rFonts w:ascii="宋体" w:hAnsi="宋体" w:cs="宋体"/>
        </w:rPr>
      </w:pPr>
      <w:r>
        <w:rPr>
          <w:rFonts w:hint="eastAsia" w:ascii="宋体" w:hAnsi="宋体" w:cs="宋体"/>
        </w:rPr>
        <w:t>借：管理费用</w:t>
      </w:r>
      <w:r>
        <w:rPr>
          <w:rFonts w:hint="eastAsia" w:ascii="宋体" w:hAnsi="宋体" w:cs="宋体"/>
        </w:rPr>
        <w:tab/>
      </w:r>
      <w:r>
        <w:rPr>
          <w:rFonts w:hint="eastAsia" w:ascii="宋体" w:hAnsi="宋体" w:cs="宋体"/>
        </w:rPr>
        <w:t xml:space="preserve">                                 30 000</w:t>
      </w:r>
    </w:p>
    <w:p w14:paraId="35EA4A52">
      <w:pPr>
        <w:jc w:val="left"/>
        <w:rPr>
          <w:rFonts w:ascii="宋体" w:hAnsi="宋体" w:cs="宋体"/>
        </w:rPr>
      </w:pPr>
      <w:r>
        <w:rPr>
          <w:rFonts w:hint="eastAsia" w:ascii="宋体" w:hAnsi="宋体" w:cs="宋体"/>
        </w:rPr>
        <w:t xml:space="preserve">   贷：应付职工薪酬—累积带薪缺勤      30 000</w:t>
      </w:r>
    </w:p>
    <w:p w14:paraId="011C31A4">
      <w:pPr>
        <w:overflowPunct w:val="0"/>
        <w:jc w:val="left"/>
        <w:rPr>
          <w:rFonts w:hint="eastAsia" w:ascii="宋体" w:hAnsi="宋体" w:cs="宋体"/>
        </w:rPr>
      </w:pPr>
    </w:p>
    <w:p w14:paraId="58723E8B">
      <w:pPr>
        <w:jc w:val="left"/>
        <w:rPr>
          <w:rFonts w:ascii="宋体" w:hAnsi="宋体" w:cs="宋体"/>
        </w:rPr>
      </w:pPr>
      <w:r>
        <w:rPr>
          <w:rFonts w:hint="eastAsia" w:ascii="宋体" w:hAnsi="宋体" w:cs="宋体"/>
        </w:rPr>
        <w:t>3、短期利润分享计划的确认和计量</w:t>
      </w:r>
    </w:p>
    <w:p w14:paraId="459C07DB">
      <w:pPr>
        <w:jc w:val="left"/>
        <w:rPr>
          <w:rFonts w:ascii="宋体" w:hAnsi="宋体" w:cs="宋体"/>
        </w:rPr>
      </w:pPr>
      <w:r>
        <w:rPr>
          <w:rFonts w:hint="eastAsia" w:ascii="宋体" w:hAnsi="宋体" w:cs="宋体"/>
        </w:rPr>
        <w:t>短期利润分享计划是指因职工提供服务而与职工达成的基于利润或其他经营成果提供薪酬的协议。</w:t>
      </w:r>
    </w:p>
    <w:p w14:paraId="74D490C6">
      <w:pPr>
        <w:overflowPunct w:val="0"/>
        <w:jc w:val="left"/>
        <w:rPr>
          <w:rFonts w:hint="eastAsia" w:ascii="宋体" w:hAnsi="宋体" w:cs="宋体"/>
        </w:rPr>
      </w:pPr>
    </w:p>
    <w:p w14:paraId="710CD8CF">
      <w:pPr>
        <w:jc w:val="left"/>
        <w:rPr>
          <w:rFonts w:hint="eastAsia" w:ascii="宋体" w:hAnsi="宋体" w:cs="宋体"/>
        </w:rPr>
      </w:pPr>
      <w:r>
        <w:rPr>
          <w:rFonts w:hint="eastAsia" w:ascii="宋体" w:hAnsi="宋体" w:cs="宋体"/>
        </w:rPr>
        <w:t>【例9-4】甲公司于2023年年初制订和实施了一项短期利润分享计划，以对公司管理层进行激励。该计划规定，公司全年的净利润指标为1 000万元，如果在公司管理层的努力下完成的净利润超过1 000万元，公司管理层将可以分享超过1 000万元净利润部分的10%作为额外报酬。假定至2023年12月31日，甲公司全年实际完成净利润1 500万元。如果不考虑离职等其他因素，则甲公司管理层按照利润分享计划可以分享利润50万元［（1 500-1 000）×10%］作为其额外的薪酬。</w:t>
      </w:r>
    </w:p>
    <w:p w14:paraId="751E2AF2">
      <w:pPr>
        <w:jc w:val="left"/>
        <w:rPr>
          <w:rFonts w:ascii="宋体" w:hAnsi="宋体" w:cs="宋体"/>
        </w:rPr>
      </w:pPr>
      <w:r>
        <w:rPr>
          <w:rFonts w:hint="eastAsia" w:ascii="宋体" w:hAnsi="宋体" w:cs="宋体"/>
        </w:rPr>
        <w:t>甲公司2023年12月31日的相关账务处理如下：</w:t>
      </w:r>
    </w:p>
    <w:p w14:paraId="084E24D9">
      <w:pPr>
        <w:jc w:val="left"/>
        <w:rPr>
          <w:rFonts w:ascii="宋体" w:hAnsi="宋体" w:cs="宋体"/>
        </w:rPr>
      </w:pPr>
      <w:r>
        <w:rPr>
          <w:rFonts w:hint="eastAsia" w:ascii="宋体" w:hAnsi="宋体" w:cs="宋体"/>
        </w:rPr>
        <w:t>借：管理费用</w:t>
      </w:r>
      <w:r>
        <w:rPr>
          <w:rFonts w:hint="eastAsia" w:ascii="宋体" w:hAnsi="宋体" w:cs="宋体"/>
        </w:rPr>
        <w:tab/>
      </w:r>
      <w:r>
        <w:rPr>
          <w:rFonts w:hint="eastAsia" w:ascii="宋体" w:hAnsi="宋体" w:cs="宋体"/>
        </w:rPr>
        <w:t xml:space="preserve">                                          500 000</w:t>
      </w:r>
    </w:p>
    <w:p w14:paraId="1E38F174">
      <w:pPr>
        <w:jc w:val="left"/>
        <w:rPr>
          <w:rFonts w:hint="eastAsia" w:ascii="宋体" w:hAnsi="宋体" w:cs="宋体"/>
        </w:rPr>
      </w:pPr>
      <w:r>
        <w:rPr>
          <w:rFonts w:hint="eastAsia" w:ascii="宋体" w:hAnsi="宋体" w:cs="宋体"/>
        </w:rPr>
        <w:t xml:space="preserve">   贷：应付职工薪酬——利润分享计划</w:t>
      </w:r>
      <w:r>
        <w:rPr>
          <w:rFonts w:hint="eastAsia" w:ascii="宋体" w:hAnsi="宋体" w:cs="宋体"/>
        </w:rPr>
        <w:tab/>
      </w:r>
      <w:r>
        <w:rPr>
          <w:rFonts w:hint="eastAsia" w:ascii="宋体" w:hAnsi="宋体" w:cs="宋体"/>
        </w:rPr>
        <w:t xml:space="preserve">    500 000</w:t>
      </w:r>
    </w:p>
    <w:p w14:paraId="3B4D788F">
      <w:pPr>
        <w:jc w:val="left"/>
        <w:rPr>
          <w:rFonts w:hint="eastAsia" w:ascii="宋体" w:hAnsi="宋体" w:cs="宋体"/>
        </w:rPr>
      </w:pPr>
    </w:p>
    <w:p w14:paraId="47BFD975">
      <w:pPr>
        <w:overflowPunct w:val="0"/>
        <w:jc w:val="center"/>
        <w:rPr>
          <w:rFonts w:hint="eastAsia" w:ascii="宋体" w:hAnsi="宋体" w:cs="宋体"/>
          <w:b/>
          <w:bCs/>
        </w:rPr>
      </w:pPr>
      <w:r>
        <w:rPr>
          <w:rFonts w:hint="eastAsia" w:ascii="宋体" w:hAnsi="宋体" w:cs="宋体"/>
          <w:b/>
          <w:bCs/>
        </w:rPr>
        <w:t>第三节  离职后福利的确认和计量</w:t>
      </w:r>
    </w:p>
    <w:p w14:paraId="7B755451">
      <w:pPr>
        <w:jc w:val="left"/>
        <w:rPr>
          <w:rFonts w:ascii="宋体" w:hAnsi="宋体" w:cs="宋体"/>
        </w:rPr>
      </w:pPr>
      <w:r>
        <w:rPr>
          <w:rFonts w:hint="eastAsia" w:ascii="宋体" w:hAnsi="宋体" w:cs="宋体"/>
        </w:rPr>
        <w:t>离职后福利计划，是指企业与职工就离职后福利达成的协议，或者企业为向职工提供离职后福利制定的规章或办法等。</w:t>
      </w:r>
    </w:p>
    <w:p w14:paraId="422CBB51">
      <w:pPr>
        <w:jc w:val="left"/>
        <w:rPr>
          <w:rFonts w:ascii="宋体" w:hAnsi="宋体" w:cs="宋体"/>
        </w:rPr>
      </w:pPr>
      <w:r>
        <w:rPr>
          <w:rFonts w:hint="eastAsia" w:ascii="宋体" w:hAnsi="宋体" w:cs="宋体"/>
        </w:rPr>
        <w:t>企业应当按照企业承担的风险和义务情况，将离职后福利计划分类为</w:t>
      </w:r>
      <w:r>
        <w:rPr>
          <w:rFonts w:hint="eastAsia" w:ascii="宋体" w:hAnsi="宋体" w:cs="宋体"/>
          <w:color w:val="FF0000"/>
        </w:rPr>
        <w:t>设定提存计划</w:t>
      </w:r>
      <w:r>
        <w:rPr>
          <w:rFonts w:hint="eastAsia" w:ascii="宋体" w:hAnsi="宋体" w:cs="宋体"/>
        </w:rPr>
        <w:t>和</w:t>
      </w:r>
      <w:r>
        <w:rPr>
          <w:rFonts w:hint="eastAsia" w:ascii="宋体" w:hAnsi="宋体" w:cs="宋体"/>
          <w:color w:val="FF0000"/>
        </w:rPr>
        <w:t>设定受益计划</w:t>
      </w:r>
      <w:r>
        <w:rPr>
          <w:rFonts w:hint="eastAsia" w:ascii="宋体" w:hAnsi="宋体" w:cs="宋体"/>
        </w:rPr>
        <w:t>两种类型。</w:t>
      </w:r>
    </w:p>
    <w:p w14:paraId="5136484A">
      <w:pPr>
        <w:jc w:val="left"/>
        <w:rPr>
          <w:rFonts w:ascii="宋体" w:hAnsi="宋体" w:cs="宋体"/>
          <w:color w:val="FF0000"/>
        </w:rPr>
      </w:pPr>
      <w:r>
        <w:rPr>
          <w:rFonts w:hint="eastAsia" w:ascii="宋体" w:hAnsi="宋体" w:cs="宋体"/>
        </w:rPr>
        <w:t>在设定提存计划下，风险实质上要由</w:t>
      </w:r>
      <w:r>
        <w:rPr>
          <w:rFonts w:hint="eastAsia" w:ascii="宋体" w:hAnsi="宋体" w:cs="宋体"/>
          <w:color w:val="FF0000"/>
        </w:rPr>
        <w:t>职工来承担。</w:t>
      </w:r>
    </w:p>
    <w:p w14:paraId="7C5E90B4">
      <w:pPr>
        <w:jc w:val="left"/>
        <w:rPr>
          <w:rFonts w:hint="eastAsia" w:ascii="宋体" w:hAnsi="宋体" w:cs="宋体"/>
          <w:color w:val="FF0000"/>
        </w:rPr>
      </w:pPr>
      <w:r>
        <w:rPr>
          <w:rFonts w:hint="eastAsia" w:ascii="宋体" w:hAnsi="宋体" w:cs="宋体"/>
        </w:rPr>
        <w:t>在设定受益计划下，风险实质上由</w:t>
      </w:r>
      <w:r>
        <w:rPr>
          <w:rFonts w:hint="eastAsia" w:ascii="宋体" w:hAnsi="宋体" w:cs="宋体"/>
          <w:color w:val="FF0000"/>
        </w:rPr>
        <w:t>企业来承担。</w:t>
      </w:r>
    </w:p>
    <w:p w14:paraId="011D4E27">
      <w:pPr>
        <w:jc w:val="left"/>
        <w:rPr>
          <w:rFonts w:ascii="宋体" w:hAnsi="宋体" w:cs="宋体"/>
          <w:color w:val="FF0000"/>
        </w:rPr>
      </w:pPr>
      <w:r>
        <w:rPr>
          <w:rFonts w:hint="eastAsia" w:ascii="宋体" w:hAnsi="宋体" w:cs="宋体"/>
          <w:color w:val="FF0000"/>
        </w:rPr>
        <w:t>1.设定提存计划</w:t>
      </w:r>
    </w:p>
    <w:p w14:paraId="1B5D8B77">
      <w:pPr>
        <w:jc w:val="left"/>
        <w:rPr>
          <w:rFonts w:ascii="宋体" w:hAnsi="宋体" w:cs="宋体"/>
        </w:rPr>
      </w:pPr>
      <w:r>
        <w:rPr>
          <w:rFonts w:hint="eastAsia" w:ascii="宋体" w:hAnsi="宋体" w:cs="宋体"/>
        </w:rPr>
        <w:t>设定提存计划，是指向独立的基金缴存固定费用后，企业不再承担进一步支付义务的离职后福利计划。（如养老、失业保险）</w:t>
      </w:r>
    </w:p>
    <w:p w14:paraId="48C6FE63">
      <w:pPr>
        <w:jc w:val="left"/>
        <w:rPr>
          <w:rFonts w:hint="eastAsia" w:ascii="宋体" w:hAnsi="宋体" w:cs="宋体"/>
        </w:rPr>
      </w:pPr>
      <w:r>
        <w:rPr>
          <w:rFonts w:hint="eastAsia" w:ascii="宋体" w:hAnsi="宋体" w:cs="宋体"/>
        </w:rPr>
        <w:t>企业应在</w:t>
      </w:r>
      <w:r>
        <w:rPr>
          <w:rFonts w:hint="eastAsia" w:ascii="宋体" w:hAnsi="宋体" w:cs="宋体"/>
          <w:color w:val="FF0000"/>
        </w:rPr>
        <w:t>资产负债表日确认</w:t>
      </w:r>
      <w:r>
        <w:rPr>
          <w:rFonts w:hint="eastAsia" w:ascii="宋体" w:hAnsi="宋体" w:cs="宋体"/>
        </w:rPr>
        <w:t>为换取职工在会计期间内为企业提供的服务而应付给设定提存计划的提存金，并作为一项费用计入当期损益或相关资产成本。</w:t>
      </w:r>
    </w:p>
    <w:p w14:paraId="101CA5DC">
      <w:pPr>
        <w:jc w:val="left"/>
        <w:rPr>
          <w:rFonts w:ascii="宋体" w:hAnsi="宋体" w:cs="宋体"/>
        </w:rPr>
      </w:pPr>
      <w:r>
        <w:rPr>
          <w:rFonts w:hint="eastAsia" w:ascii="宋体" w:hAnsi="宋体" w:cs="宋体"/>
        </w:rPr>
        <w:t>账务处理如下：</w:t>
      </w:r>
    </w:p>
    <w:p w14:paraId="1123C522">
      <w:pPr>
        <w:jc w:val="left"/>
        <w:rPr>
          <w:rFonts w:ascii="宋体" w:hAnsi="宋体" w:cs="宋体"/>
        </w:rPr>
      </w:pPr>
      <w:r>
        <w:rPr>
          <w:rFonts w:hint="eastAsia" w:ascii="宋体" w:hAnsi="宋体" w:cs="宋体"/>
        </w:rPr>
        <w:t>借：管理费用等</w:t>
      </w:r>
    </w:p>
    <w:p w14:paraId="2F30E650">
      <w:pPr>
        <w:jc w:val="left"/>
        <w:rPr>
          <w:rFonts w:ascii="宋体" w:hAnsi="宋体" w:cs="宋体"/>
        </w:rPr>
      </w:pPr>
      <w:r>
        <w:rPr>
          <w:rFonts w:hint="eastAsia" w:ascii="宋体" w:hAnsi="宋体" w:cs="宋体"/>
        </w:rPr>
        <w:t xml:space="preserve">   贷：应付职工薪酬</w:t>
      </w:r>
    </w:p>
    <w:p w14:paraId="7A756C74">
      <w:pPr>
        <w:jc w:val="left"/>
        <w:rPr>
          <w:rFonts w:ascii="宋体" w:hAnsi="宋体" w:cs="宋体"/>
        </w:rPr>
      </w:pPr>
      <w:r>
        <w:rPr>
          <w:rFonts w:hint="eastAsia" w:ascii="宋体" w:hAnsi="宋体" w:cs="宋体"/>
        </w:rPr>
        <w:t>借：应付职工薪酬</w:t>
      </w:r>
    </w:p>
    <w:p w14:paraId="2EF065A0">
      <w:pPr>
        <w:jc w:val="left"/>
        <w:rPr>
          <w:rFonts w:hint="eastAsia" w:ascii="宋体" w:hAnsi="宋体" w:cs="宋体"/>
        </w:rPr>
      </w:pPr>
      <w:r>
        <w:rPr>
          <w:rFonts w:hint="eastAsia" w:ascii="宋体" w:hAnsi="宋体" w:cs="宋体"/>
        </w:rPr>
        <w:t xml:space="preserve">   贷：银行存款</w:t>
      </w:r>
    </w:p>
    <w:p w14:paraId="60528F09">
      <w:pPr>
        <w:rPr>
          <w:rFonts w:ascii="宋体" w:hAnsi="宋体" w:cs="宋体"/>
        </w:rPr>
      </w:pPr>
      <w:r>
        <w:rPr>
          <w:rFonts w:hint="eastAsia" w:ascii="宋体" w:hAnsi="宋体" w:cs="宋体"/>
          <w:color w:val="FF0000"/>
        </w:rPr>
        <w:t>【例】</w:t>
      </w:r>
      <w:r>
        <w:rPr>
          <w:rFonts w:hint="eastAsia" w:ascii="宋体" w:hAnsi="宋体" w:cs="宋体"/>
        </w:rPr>
        <w:t>甲企业为管理人员设立了一项企业年金：每月该企业按照每个管理人员工资的5%向独立于甲企业的年金基金缴存企业年金，年金基金将其计入该管理人员个人账户并负责资金的运作。该管理人员退休时可以一次性获得其个人账户的累积额，包括公司历年来的缴存额以及相应的投资收益。</w:t>
      </w:r>
    </w:p>
    <w:p w14:paraId="4C004424">
      <w:pPr>
        <w:rPr>
          <w:rFonts w:hint="eastAsia" w:ascii="宋体" w:hAnsi="宋体" w:cs="宋体"/>
          <w:color w:val="FF0000"/>
        </w:rPr>
      </w:pPr>
      <w:r>
        <w:rPr>
          <w:rFonts w:hint="eastAsia" w:ascii="宋体" w:hAnsi="宋体" w:cs="宋体"/>
        </w:rPr>
        <w:t>公司除了按照约定向年金基金缴存之外不再负有其他义务，</w:t>
      </w:r>
      <w:r>
        <w:rPr>
          <w:rFonts w:hint="eastAsia" w:ascii="宋体" w:hAnsi="宋体" w:cs="宋体"/>
          <w:color w:val="FF0000"/>
        </w:rPr>
        <w:t>既不享有缴存资金产生的收益，也不承担投资风险。因此，该福利计划为设定提存计划。</w:t>
      </w:r>
    </w:p>
    <w:p w14:paraId="38743F29">
      <w:pPr>
        <w:jc w:val="left"/>
        <w:rPr>
          <w:rFonts w:ascii="宋体" w:hAnsi="宋体" w:cs="宋体"/>
        </w:rPr>
      </w:pPr>
      <w:r>
        <w:rPr>
          <w:rFonts w:hint="eastAsia" w:ascii="宋体" w:hAnsi="宋体" w:cs="宋体"/>
        </w:rPr>
        <w:t>2023年，按照计划安排，该企业向年金基金缴存1 000万元。</w:t>
      </w:r>
    </w:p>
    <w:p w14:paraId="048FF12B">
      <w:pPr>
        <w:jc w:val="left"/>
        <w:rPr>
          <w:rFonts w:ascii="宋体" w:hAnsi="宋体" w:cs="宋体"/>
        </w:rPr>
      </w:pPr>
      <w:r>
        <w:rPr>
          <w:rFonts w:hint="eastAsia" w:ascii="宋体" w:hAnsi="宋体" w:cs="宋体"/>
        </w:rPr>
        <w:t>借：管理费用　　　　　               10 000 000</w:t>
      </w:r>
    </w:p>
    <w:p w14:paraId="2605359F">
      <w:pPr>
        <w:jc w:val="left"/>
        <w:rPr>
          <w:rFonts w:ascii="宋体" w:hAnsi="宋体" w:cs="宋体"/>
        </w:rPr>
      </w:pPr>
      <w:r>
        <w:rPr>
          <w:rFonts w:hint="eastAsia" w:ascii="宋体" w:hAnsi="宋体" w:cs="宋体"/>
        </w:rPr>
        <w:t xml:space="preserve">   贷：应付职工薪酬　　　　　                 10 000 000   </w:t>
      </w:r>
    </w:p>
    <w:p w14:paraId="14F5A970">
      <w:pPr>
        <w:jc w:val="left"/>
        <w:rPr>
          <w:rFonts w:ascii="宋体" w:hAnsi="宋体" w:cs="宋体"/>
        </w:rPr>
      </w:pPr>
      <w:r>
        <w:rPr>
          <w:rFonts w:hint="eastAsia" w:ascii="宋体" w:hAnsi="宋体" w:cs="宋体"/>
        </w:rPr>
        <w:t>借：应付职工薪酬　　               　10 000 000</w:t>
      </w:r>
    </w:p>
    <w:p w14:paraId="781671C6">
      <w:pPr>
        <w:jc w:val="left"/>
        <w:rPr>
          <w:rFonts w:hint="eastAsia" w:ascii="宋体" w:hAnsi="宋体" w:cs="宋体"/>
        </w:rPr>
      </w:pPr>
      <w:r>
        <w:rPr>
          <w:rFonts w:hint="eastAsia" w:ascii="宋体" w:hAnsi="宋体" w:cs="宋体"/>
        </w:rPr>
        <w:t xml:space="preserve">   贷：银行存款　　　　　　　                 10 000 000</w:t>
      </w:r>
    </w:p>
    <w:p w14:paraId="6DB761C8">
      <w:pPr>
        <w:jc w:val="left"/>
        <w:rPr>
          <w:rFonts w:ascii="宋体" w:hAnsi="宋体" w:cs="宋体"/>
          <w:color w:val="FF0000"/>
        </w:rPr>
      </w:pPr>
      <w:r>
        <w:rPr>
          <w:rFonts w:hint="eastAsia" w:ascii="宋体" w:hAnsi="宋体" w:cs="宋体"/>
          <w:color w:val="FF0000"/>
        </w:rPr>
        <w:t>2.设定受益计划</w:t>
      </w:r>
    </w:p>
    <w:p w14:paraId="03E083F0">
      <w:pPr>
        <w:jc w:val="left"/>
        <w:rPr>
          <w:rFonts w:ascii="宋体" w:hAnsi="宋体" w:cs="宋体"/>
        </w:rPr>
      </w:pPr>
      <w:r>
        <w:rPr>
          <w:rFonts w:hint="eastAsia" w:ascii="宋体" w:hAnsi="宋体" w:cs="宋体"/>
        </w:rPr>
        <w:t>设定受益计划是指</w:t>
      </w:r>
      <w:r>
        <w:rPr>
          <w:rFonts w:hint="eastAsia" w:ascii="宋体" w:hAnsi="宋体" w:cs="宋体"/>
          <w:color w:val="FF0000"/>
        </w:rPr>
        <w:t>除设定提存计划以外</w:t>
      </w:r>
      <w:r>
        <w:rPr>
          <w:rFonts w:hint="eastAsia" w:ascii="宋体" w:hAnsi="宋体" w:cs="宋体"/>
        </w:rPr>
        <w:t xml:space="preserve">的离职后福利计划。       </w:t>
      </w:r>
    </w:p>
    <w:p w14:paraId="03B771FE">
      <w:pPr>
        <w:jc w:val="left"/>
        <w:rPr>
          <w:rFonts w:ascii="宋体" w:hAnsi="宋体" w:cs="宋体"/>
        </w:rPr>
      </w:pPr>
      <w:r>
        <w:rPr>
          <w:rFonts w:hint="eastAsia" w:ascii="宋体" w:hAnsi="宋体" w:cs="宋体"/>
        </w:rPr>
        <w:t>分四个步骤：</w:t>
      </w:r>
    </w:p>
    <w:p w14:paraId="004B7FDC">
      <w:pPr>
        <w:jc w:val="left"/>
        <w:rPr>
          <w:rFonts w:ascii="宋体" w:hAnsi="宋体" w:cs="宋体"/>
          <w:color w:val="FF0000"/>
        </w:rPr>
      </w:pPr>
      <w:r>
        <w:rPr>
          <w:rFonts w:hint="eastAsia" w:ascii="宋体" w:hAnsi="宋体" w:cs="宋体"/>
        </w:rPr>
        <w:t>步骤一：确定</w:t>
      </w:r>
      <w:r>
        <w:rPr>
          <w:rFonts w:hint="eastAsia" w:ascii="宋体" w:hAnsi="宋体" w:cs="宋体"/>
          <w:color w:val="FF0000"/>
        </w:rPr>
        <w:t>设定受益义务现值</w:t>
      </w:r>
      <w:r>
        <w:rPr>
          <w:rFonts w:hint="eastAsia" w:ascii="宋体" w:hAnsi="宋体" w:cs="宋体"/>
        </w:rPr>
        <w:t>和</w:t>
      </w:r>
      <w:r>
        <w:rPr>
          <w:rFonts w:hint="eastAsia" w:ascii="宋体" w:hAnsi="宋体" w:cs="宋体"/>
          <w:color w:val="FF0000"/>
        </w:rPr>
        <w:t xml:space="preserve">当期服务成本。   </w:t>
      </w:r>
    </w:p>
    <w:p w14:paraId="431F99AD">
      <w:pPr>
        <w:jc w:val="left"/>
        <w:rPr>
          <w:rFonts w:ascii="宋体" w:hAnsi="宋体" w:cs="宋体"/>
        </w:rPr>
      </w:pPr>
      <w:r>
        <w:rPr>
          <w:rFonts w:hint="eastAsia" w:ascii="宋体" w:hAnsi="宋体" w:cs="宋体"/>
          <w:color w:val="FF0000"/>
        </w:rPr>
        <w:t>步骤二：确定设定受益计划</w:t>
      </w:r>
      <w:r>
        <w:rPr>
          <w:rFonts w:hint="eastAsia" w:ascii="宋体" w:hAnsi="宋体" w:cs="宋体"/>
        </w:rPr>
        <w:t xml:space="preserve">净负债或净资产。   </w:t>
      </w:r>
    </w:p>
    <w:p w14:paraId="2D29DC89">
      <w:pPr>
        <w:jc w:val="left"/>
        <w:rPr>
          <w:rFonts w:ascii="宋体" w:hAnsi="宋体" w:cs="宋体"/>
        </w:rPr>
      </w:pPr>
      <w:r>
        <w:rPr>
          <w:rFonts w:hint="eastAsia" w:ascii="宋体" w:hAnsi="宋体" w:cs="宋体"/>
        </w:rPr>
        <w:t>步骤三：确定应当</w:t>
      </w:r>
      <w:r>
        <w:rPr>
          <w:rFonts w:hint="eastAsia" w:ascii="宋体" w:hAnsi="宋体" w:cs="宋体"/>
          <w:color w:val="FF0000"/>
        </w:rPr>
        <w:t>计入当期损益</w:t>
      </w:r>
      <w:r>
        <w:rPr>
          <w:rFonts w:hint="eastAsia" w:ascii="宋体" w:hAnsi="宋体" w:cs="宋体"/>
        </w:rPr>
        <w:t>的金额</w:t>
      </w:r>
      <w:r>
        <w:rPr>
          <w:rFonts w:hint="eastAsia" w:ascii="宋体" w:hAnsi="宋体" w:cs="宋体"/>
          <w:color w:val="FF0000"/>
        </w:rPr>
        <w:t>（四部分）</w:t>
      </w:r>
      <w:r>
        <w:rPr>
          <w:rFonts w:hint="eastAsia" w:ascii="宋体" w:hAnsi="宋体" w:cs="宋体"/>
        </w:rPr>
        <w:t xml:space="preserve">。   </w:t>
      </w:r>
    </w:p>
    <w:p w14:paraId="29F6659C">
      <w:pPr>
        <w:jc w:val="left"/>
        <w:rPr>
          <w:rFonts w:hint="eastAsia" w:ascii="宋体" w:hAnsi="宋体" w:cs="宋体"/>
        </w:rPr>
      </w:pPr>
      <w:r>
        <w:rPr>
          <w:rFonts w:hint="eastAsia" w:ascii="宋体" w:hAnsi="宋体" w:cs="宋体"/>
        </w:rPr>
        <w:t>步骤四：确定应当</w:t>
      </w:r>
      <w:r>
        <w:rPr>
          <w:rFonts w:hint="eastAsia"/>
          <w:color w:val="FF0000"/>
        </w:rPr>
        <w:t>计入其他综合收益</w:t>
      </w:r>
      <w:r>
        <w:rPr>
          <w:rFonts w:hint="eastAsia" w:ascii="宋体" w:hAnsi="宋体" w:cs="宋体"/>
        </w:rPr>
        <w:t>的金额</w:t>
      </w:r>
      <w:r>
        <w:rPr>
          <w:rFonts w:hint="eastAsia" w:ascii="宋体" w:hAnsi="宋体" w:cs="宋体"/>
          <w:color w:val="FF0000"/>
          <w:shd w:val="pct15" w:color="auto" w:fill="FFFFFF"/>
        </w:rPr>
        <w:t>（三部分）</w:t>
      </w:r>
      <w:r>
        <w:rPr>
          <w:rFonts w:hint="eastAsia" w:ascii="宋体" w:hAnsi="宋体" w:cs="宋体"/>
        </w:rPr>
        <w:t>。</w:t>
      </w:r>
    </w:p>
    <w:p w14:paraId="1D12D72B">
      <w:pPr>
        <w:jc w:val="left"/>
        <w:rPr>
          <w:rFonts w:ascii="宋体" w:hAnsi="宋体" w:cs="宋体"/>
          <w:color w:val="FF0000"/>
        </w:rPr>
      </w:pPr>
      <w:r>
        <w:rPr>
          <w:rFonts w:hint="eastAsia" w:ascii="宋体" w:hAnsi="宋体" w:cs="宋体"/>
          <w:color w:val="FF0000"/>
        </w:rPr>
        <w:t>步骤一：确定设定受益义务现值和当期服务成本</w:t>
      </w:r>
    </w:p>
    <w:p w14:paraId="53607DB7">
      <w:pPr>
        <w:jc w:val="left"/>
        <w:rPr>
          <w:rFonts w:ascii="宋体" w:hAnsi="宋体" w:cs="宋体"/>
        </w:rPr>
      </w:pPr>
      <w:r>
        <w:rPr>
          <w:rFonts w:hint="eastAsia" w:ascii="宋体" w:hAnsi="宋体" w:cs="宋体"/>
        </w:rPr>
        <w:t>企业通过</w:t>
      </w:r>
      <w:r>
        <w:rPr>
          <w:rFonts w:hint="eastAsia" w:ascii="宋体" w:hAnsi="宋体" w:cs="宋体"/>
          <w:color w:val="FF0000"/>
        </w:rPr>
        <w:t>下列两步</w:t>
      </w:r>
      <w:r>
        <w:rPr>
          <w:rFonts w:hint="eastAsia" w:ascii="宋体" w:hAnsi="宋体" w:cs="宋体"/>
        </w:rPr>
        <w:t xml:space="preserve">确定设定受益义务现值和当期服务成本。   </w:t>
      </w:r>
    </w:p>
    <w:p w14:paraId="2C142A66">
      <w:pPr>
        <w:jc w:val="left"/>
        <w:rPr>
          <w:rFonts w:hint="eastAsia" w:ascii="宋体" w:hAnsi="宋体" w:cs="宋体"/>
          <w:color w:val="FF0000"/>
        </w:rPr>
      </w:pPr>
      <w:r>
        <w:rPr>
          <w:rFonts w:hint="eastAsia" w:ascii="宋体" w:hAnsi="宋体" w:cs="宋体"/>
        </w:rPr>
        <w:t>（1）根据</w:t>
      </w:r>
      <w:r>
        <w:rPr>
          <w:rFonts w:hint="eastAsia" w:ascii="宋体" w:hAnsi="宋体" w:cs="宋体"/>
          <w:color w:val="FF0000"/>
        </w:rPr>
        <w:t>预期累计福利单位法</w:t>
      </w:r>
      <w:r>
        <w:rPr>
          <w:rFonts w:hint="eastAsia" w:ascii="宋体" w:hAnsi="宋体" w:cs="宋体"/>
        </w:rPr>
        <w:t>，釆用无偏且相互一致的</w:t>
      </w:r>
      <w:r>
        <w:rPr>
          <w:rFonts w:hint="eastAsia" w:ascii="宋体" w:hAnsi="宋体" w:cs="宋体"/>
          <w:color w:val="FF0000"/>
        </w:rPr>
        <w:t>精算假设</w:t>
      </w:r>
      <w:r>
        <w:rPr>
          <w:rFonts w:hint="eastAsia" w:ascii="宋体" w:hAnsi="宋体" w:cs="宋体"/>
        </w:rPr>
        <w:t>对有关</w:t>
      </w:r>
      <w:r>
        <w:rPr>
          <w:rFonts w:hint="eastAsia" w:ascii="宋体" w:hAnsi="宋体" w:cs="宋体"/>
          <w:color w:val="FF0000"/>
        </w:rPr>
        <w:t>人口统计变量</w:t>
      </w:r>
      <w:r>
        <w:rPr>
          <w:rFonts w:hint="eastAsia" w:ascii="宋体" w:hAnsi="宋体" w:cs="宋体"/>
        </w:rPr>
        <w:t>（如职工离职率和死亡率）和财务变量（如未来薪金和医疗费用的增加）等作出估计，计量设定受益计划所产生的义务，并确定相关义务的</w:t>
      </w:r>
      <w:r>
        <w:rPr>
          <w:rFonts w:hint="eastAsia" w:ascii="宋体" w:hAnsi="宋体" w:cs="宋体"/>
          <w:color w:val="FF0000"/>
        </w:rPr>
        <w:t>归属期间。（义务和期间）　</w:t>
      </w:r>
    </w:p>
    <w:p w14:paraId="0332CB66">
      <w:pPr>
        <w:rPr>
          <w:rFonts w:hint="eastAsia" w:ascii="宋体" w:hAnsi="宋体" w:cs="宋体"/>
          <w:color w:val="FF0000"/>
        </w:rPr>
      </w:pPr>
      <w:r>
        <w:rPr>
          <w:rFonts w:hint="eastAsia" w:ascii="宋体" w:hAnsi="宋体" w:cs="宋体"/>
        </w:rPr>
        <w:t>（2）根据资产负债表日与设定受益计划义务期限和币种相匹配的国债或活跃市场上的高质量公司债券的市场收益率</w:t>
      </w:r>
      <w:r>
        <w:rPr>
          <w:rFonts w:hint="eastAsia" w:ascii="宋体" w:hAnsi="宋体" w:cs="宋体"/>
          <w:color w:val="FF0000"/>
        </w:rPr>
        <w:t>确定折现率</w:t>
      </w:r>
      <w:r>
        <w:rPr>
          <w:rFonts w:hint="eastAsia" w:ascii="宋体" w:hAnsi="宋体" w:cs="宋体"/>
        </w:rPr>
        <w:t>，将设定受益计划所产生的义务予以</w:t>
      </w:r>
      <w:r>
        <w:rPr>
          <w:rFonts w:hint="eastAsia" w:ascii="宋体" w:hAnsi="宋体" w:cs="宋体"/>
          <w:color w:val="FF0000"/>
        </w:rPr>
        <w:t>折现</w:t>
      </w:r>
      <w:r>
        <w:rPr>
          <w:rFonts w:hint="eastAsia" w:ascii="宋体" w:hAnsi="宋体" w:cs="宋体"/>
        </w:rPr>
        <w:t>，以确定设定受益计划</w:t>
      </w:r>
      <w:r>
        <w:rPr>
          <w:rFonts w:hint="eastAsia" w:ascii="宋体" w:hAnsi="宋体" w:cs="宋体"/>
          <w:color w:val="FF0000"/>
        </w:rPr>
        <w:t xml:space="preserve">义务的现值和当期服务成本。（折现率，义务现值，当期服务成本。） </w:t>
      </w:r>
    </w:p>
    <w:p w14:paraId="334CE0A1">
      <w:pPr>
        <w:jc w:val="left"/>
        <w:rPr>
          <w:rFonts w:ascii="宋体" w:hAnsi="宋体" w:cs="宋体"/>
          <w:color w:val="FF0000"/>
        </w:rPr>
      </w:pPr>
      <w:r>
        <w:rPr>
          <w:rFonts w:hint="eastAsia" w:ascii="宋体" w:hAnsi="宋体" w:cs="宋体"/>
          <w:color w:val="FF0000"/>
        </w:rPr>
        <w:t>步骤二：确定设定受益计划净负债或净资产</w:t>
      </w:r>
    </w:p>
    <w:p w14:paraId="145CD0C6">
      <w:pPr>
        <w:jc w:val="left"/>
        <w:rPr>
          <w:rFonts w:ascii="宋体" w:hAnsi="宋体" w:cs="宋体"/>
          <w:color w:val="FF0000"/>
        </w:rPr>
      </w:pPr>
      <w:r>
        <w:rPr>
          <w:rFonts w:hint="eastAsia" w:ascii="宋体" w:hAnsi="宋体" w:cs="宋体"/>
          <w:color w:val="FF0000"/>
        </w:rPr>
        <w:t>设定受益计划存在资产的，</w:t>
      </w:r>
      <w:r>
        <w:rPr>
          <w:rFonts w:hint="eastAsia" w:ascii="宋体" w:hAnsi="宋体" w:cs="宋体"/>
        </w:rPr>
        <w:t>企业应当将设定受益计划义务现值减去设定受益计划资产公允价值所形成的赤字或盈余确认为一项设定受益计划</w:t>
      </w:r>
      <w:r>
        <w:rPr>
          <w:rFonts w:hint="eastAsia" w:ascii="宋体" w:hAnsi="宋体" w:cs="宋体"/>
          <w:color w:val="FF0000"/>
        </w:rPr>
        <w:t xml:space="preserve">净负债或净资产。  </w:t>
      </w:r>
    </w:p>
    <w:p w14:paraId="264864C9">
      <w:pPr>
        <w:jc w:val="left"/>
        <w:rPr>
          <w:rFonts w:hint="eastAsia" w:ascii="宋体" w:hAnsi="宋体" w:cs="宋体"/>
        </w:rPr>
      </w:pPr>
      <w:r>
        <w:rPr>
          <w:rFonts w:hint="eastAsia" w:ascii="宋体" w:hAnsi="宋体" w:cs="宋体"/>
          <w:color w:val="FF0000"/>
        </w:rPr>
        <w:t>设定受益计划存在盈余的，</w:t>
      </w:r>
      <w:r>
        <w:rPr>
          <w:rFonts w:hint="eastAsia" w:ascii="宋体" w:hAnsi="宋体" w:cs="宋体"/>
        </w:rPr>
        <w:t>企业应当以设定受益计划的盈余和资产上限两项的</w:t>
      </w:r>
      <w:r>
        <w:rPr>
          <w:rFonts w:hint="eastAsia" w:ascii="宋体" w:hAnsi="宋体" w:cs="宋体"/>
          <w:color w:val="FF0000"/>
        </w:rPr>
        <w:t>孰低者</w:t>
      </w:r>
      <w:r>
        <w:rPr>
          <w:rFonts w:hint="eastAsia" w:ascii="宋体" w:hAnsi="宋体" w:cs="宋体"/>
        </w:rPr>
        <w:t xml:space="preserve">计量设定受益计划净资产。  </w:t>
      </w:r>
    </w:p>
    <w:p w14:paraId="4BA4F20C">
      <w:pPr>
        <w:jc w:val="left"/>
        <w:rPr>
          <w:rFonts w:ascii="宋体" w:hAnsi="宋体" w:cs="宋体"/>
          <w:color w:val="FF0000"/>
        </w:rPr>
      </w:pPr>
      <w:r>
        <w:rPr>
          <w:rFonts w:hint="eastAsia" w:ascii="宋体" w:hAnsi="宋体" w:cs="宋体"/>
          <w:color w:val="FF0000"/>
        </w:rPr>
        <w:t>步骤三：确定应当计入当期损益的金额</w:t>
      </w:r>
    </w:p>
    <w:p w14:paraId="5D49D6F4">
      <w:pPr>
        <w:jc w:val="left"/>
        <w:rPr>
          <w:rFonts w:ascii="宋体" w:hAnsi="宋体" w:cs="宋体"/>
        </w:rPr>
      </w:pPr>
      <w:r>
        <w:rPr>
          <w:rFonts w:hint="eastAsia" w:ascii="宋体" w:hAnsi="宋体" w:cs="宋体"/>
        </w:rPr>
        <w:t>报告期末，企业应当在损益中确认的设定受益计划产生的职工薪酬成本包括两部分：</w:t>
      </w:r>
    </w:p>
    <w:p w14:paraId="7F775661">
      <w:pPr>
        <w:jc w:val="left"/>
        <w:rPr>
          <w:rFonts w:ascii="宋体" w:hAnsi="宋体" w:cs="宋体"/>
          <w:color w:val="FF0000"/>
        </w:rPr>
      </w:pPr>
      <w:r>
        <w:rPr>
          <w:rFonts w:hint="eastAsia" w:ascii="宋体" w:hAnsi="宋体" w:cs="宋体"/>
          <w:color w:val="FF0000"/>
        </w:rPr>
        <w:t>（一）服务成本（当期、过去、结算利得和损失）</w:t>
      </w:r>
    </w:p>
    <w:p w14:paraId="52C43A55">
      <w:pPr>
        <w:jc w:val="left"/>
        <w:rPr>
          <w:rFonts w:ascii="宋体" w:hAnsi="宋体" w:cs="宋体"/>
        </w:rPr>
      </w:pPr>
      <w:r>
        <w:rPr>
          <w:rFonts w:hint="eastAsia" w:ascii="宋体" w:hAnsi="宋体" w:cs="宋体"/>
        </w:rPr>
        <w:t>当期服务成本 （管理费用）</w:t>
      </w:r>
    </w:p>
    <w:p w14:paraId="4865170A">
      <w:pPr>
        <w:jc w:val="left"/>
        <w:rPr>
          <w:rFonts w:ascii="宋体" w:hAnsi="宋体" w:cs="宋体"/>
        </w:rPr>
      </w:pPr>
      <w:r>
        <w:rPr>
          <w:rFonts w:hint="eastAsia" w:ascii="宋体" w:hAnsi="宋体" w:cs="宋体"/>
        </w:rPr>
        <w:t>过去服务成本 （管理费用）</w:t>
      </w:r>
    </w:p>
    <w:p w14:paraId="658DCD39">
      <w:pPr>
        <w:jc w:val="left"/>
        <w:rPr>
          <w:rFonts w:ascii="宋体" w:hAnsi="宋体" w:cs="宋体"/>
          <w:color w:val="FF0000"/>
        </w:rPr>
      </w:pPr>
      <w:r>
        <w:rPr>
          <w:rFonts w:hint="eastAsia" w:ascii="宋体" w:hAnsi="宋体" w:cs="宋体"/>
          <w:color w:val="FF0000"/>
        </w:rPr>
        <w:t>结算利得或损失（管理费用）</w:t>
      </w:r>
    </w:p>
    <w:p w14:paraId="12D48184">
      <w:pPr>
        <w:jc w:val="left"/>
        <w:rPr>
          <w:rFonts w:hint="eastAsia" w:ascii="宋体" w:hAnsi="宋体" w:cs="宋体"/>
          <w:color w:val="FF0000"/>
        </w:rPr>
      </w:pPr>
      <w:r>
        <w:rPr>
          <w:rFonts w:hint="eastAsia" w:ascii="宋体" w:hAnsi="宋体" w:cs="宋体"/>
          <w:color w:val="FF0000"/>
        </w:rPr>
        <w:t>（二）设定受益净负债或净资产的利息净额（财务费用）</w:t>
      </w:r>
    </w:p>
    <w:p w14:paraId="420F60F3">
      <w:pPr>
        <w:jc w:val="left"/>
        <w:rPr>
          <w:rFonts w:ascii="宋体" w:hAnsi="宋体" w:cs="宋体"/>
          <w:color w:val="FF0000"/>
        </w:rPr>
      </w:pPr>
      <w:r>
        <w:rPr>
          <w:rFonts w:hint="eastAsia" w:ascii="宋体" w:hAnsi="宋体" w:cs="宋体"/>
          <w:color w:val="FF0000"/>
        </w:rPr>
        <w:t>（1）当期服务成本</w:t>
      </w:r>
    </w:p>
    <w:p w14:paraId="657BD13B">
      <w:pPr>
        <w:jc w:val="left"/>
        <w:rPr>
          <w:rFonts w:ascii="宋体" w:hAnsi="宋体" w:cs="宋体"/>
        </w:rPr>
      </w:pPr>
      <w:r>
        <w:rPr>
          <w:rFonts w:hint="eastAsia" w:ascii="宋体" w:hAnsi="宋体" w:cs="宋体"/>
        </w:rPr>
        <w:t>是指因职工</w:t>
      </w:r>
      <w:r>
        <w:rPr>
          <w:rFonts w:hint="eastAsia" w:ascii="宋体" w:hAnsi="宋体" w:cs="宋体"/>
          <w:color w:val="FF0000"/>
        </w:rPr>
        <w:t>当期服务</w:t>
      </w:r>
      <w:r>
        <w:rPr>
          <w:rFonts w:hint="eastAsia" w:ascii="宋体" w:hAnsi="宋体" w:cs="宋体"/>
        </w:rPr>
        <w:t>导致的设定受益义务现值的增加额。　　</w:t>
      </w:r>
    </w:p>
    <w:p w14:paraId="206DAED5">
      <w:pPr>
        <w:jc w:val="left"/>
        <w:rPr>
          <w:rFonts w:ascii="宋体" w:hAnsi="宋体" w:cs="宋体"/>
          <w:color w:val="FF0000"/>
        </w:rPr>
      </w:pPr>
      <w:r>
        <w:rPr>
          <w:rFonts w:hint="eastAsia" w:ascii="宋体" w:hAnsi="宋体" w:cs="宋体"/>
          <w:color w:val="FF0000"/>
        </w:rPr>
        <w:t>（2）过去服务成本</w:t>
      </w:r>
    </w:p>
    <w:p w14:paraId="238C97D3">
      <w:pPr>
        <w:jc w:val="left"/>
        <w:rPr>
          <w:rFonts w:hint="eastAsia" w:ascii="宋体" w:hAnsi="宋体" w:cs="宋体"/>
        </w:rPr>
      </w:pPr>
      <w:r>
        <w:rPr>
          <w:rFonts w:hint="eastAsia" w:ascii="宋体" w:hAnsi="宋体" w:cs="宋体"/>
        </w:rPr>
        <w:t>是指设定受益</w:t>
      </w:r>
      <w:r>
        <w:rPr>
          <w:rFonts w:hint="eastAsia" w:ascii="宋体" w:hAnsi="宋体" w:cs="宋体"/>
          <w:color w:val="FF0000"/>
        </w:rPr>
        <w:t>计划修改所导致的与以前期间</w:t>
      </w:r>
      <w:r>
        <w:rPr>
          <w:rFonts w:hint="eastAsia" w:ascii="宋体" w:hAnsi="宋体" w:cs="宋体"/>
        </w:rPr>
        <w:t>职工服务相关的设定受益计划义务</w:t>
      </w:r>
      <w:r>
        <w:rPr>
          <w:rFonts w:hint="eastAsia" w:ascii="宋体" w:hAnsi="宋体" w:cs="宋体"/>
          <w:color w:val="FF0000"/>
        </w:rPr>
        <w:t>现值的增加或减少。</w:t>
      </w:r>
    </w:p>
    <w:p w14:paraId="100D334F">
      <w:pPr>
        <w:jc w:val="left"/>
        <w:rPr>
          <w:rFonts w:ascii="宋体" w:hAnsi="宋体" w:cs="宋体"/>
          <w:color w:val="FF0000"/>
        </w:rPr>
      </w:pPr>
      <w:r>
        <w:rPr>
          <w:rFonts w:hint="eastAsia" w:ascii="宋体" w:hAnsi="宋体" w:cs="宋体"/>
          <w:color w:val="FF0000"/>
        </w:rPr>
        <w:t>（3）结算利得和损失</w:t>
      </w:r>
    </w:p>
    <w:p w14:paraId="68EEC58C">
      <w:pPr>
        <w:jc w:val="left"/>
        <w:rPr>
          <w:rFonts w:ascii="宋体" w:hAnsi="宋体" w:cs="宋体"/>
        </w:rPr>
      </w:pPr>
      <w:r>
        <w:rPr>
          <w:rFonts w:hint="eastAsia" w:ascii="宋体" w:hAnsi="宋体" w:cs="宋体"/>
        </w:rPr>
        <w:t>企业应当在设定受益计划结算时，确认一项结算利得或损失。</w:t>
      </w:r>
    </w:p>
    <w:p w14:paraId="0D2B4563">
      <w:pPr>
        <w:jc w:val="left"/>
        <w:rPr>
          <w:rFonts w:ascii="宋体" w:hAnsi="宋体" w:cs="宋体"/>
        </w:rPr>
      </w:pPr>
      <w:r>
        <w:rPr>
          <w:rFonts w:hint="eastAsia" w:ascii="宋体" w:hAnsi="宋体" w:cs="宋体"/>
        </w:rPr>
        <w:t>设定受益计划结算利得或损失是下列两项的差额：</w:t>
      </w:r>
    </w:p>
    <w:p w14:paraId="037FE65D">
      <w:pPr>
        <w:jc w:val="left"/>
        <w:rPr>
          <w:rFonts w:ascii="宋体" w:hAnsi="宋体" w:cs="宋体"/>
          <w:color w:val="FF0000"/>
        </w:rPr>
      </w:pPr>
      <w:r>
        <w:rPr>
          <w:rFonts w:hint="eastAsia" w:ascii="宋体" w:hAnsi="宋体" w:cs="宋体"/>
        </w:rPr>
        <w:t>①在结算日确定的设定受益计划义务</w:t>
      </w:r>
      <w:r>
        <w:rPr>
          <w:rFonts w:hint="eastAsia" w:ascii="宋体" w:hAnsi="宋体" w:cs="宋体"/>
          <w:color w:val="FF0000"/>
        </w:rPr>
        <w:t>现值。</w:t>
      </w:r>
    </w:p>
    <w:p w14:paraId="78A6D351">
      <w:pPr>
        <w:jc w:val="left"/>
        <w:rPr>
          <w:rFonts w:hint="eastAsia" w:ascii="宋体" w:hAnsi="宋体" w:cs="宋体"/>
        </w:rPr>
      </w:pPr>
      <w:r>
        <w:rPr>
          <w:rFonts w:hint="eastAsia" w:ascii="宋体" w:hAnsi="宋体" w:cs="宋体"/>
          <w:color w:val="FF0000"/>
        </w:rPr>
        <w:t>②结算价格，</w:t>
      </w:r>
      <w:r>
        <w:rPr>
          <w:rFonts w:hint="eastAsia" w:ascii="宋体" w:hAnsi="宋体" w:cs="宋体"/>
        </w:rPr>
        <w:t xml:space="preserve">包括转移的计划资产的公允价值和企业直接发生的与结算相关的支付。 </w:t>
      </w:r>
    </w:p>
    <w:p w14:paraId="2E13C15A">
      <w:pPr>
        <w:jc w:val="left"/>
        <w:rPr>
          <w:rFonts w:ascii="宋体" w:hAnsi="宋体" w:cs="宋体"/>
        </w:rPr>
      </w:pPr>
      <w:r>
        <w:rPr>
          <w:rFonts w:hint="eastAsia" w:ascii="宋体" w:hAnsi="宋体" w:cs="宋体"/>
        </w:rPr>
        <w:t>（4）设定受益计划净负债或净资产的</w:t>
      </w:r>
      <w:r>
        <w:rPr>
          <w:rFonts w:hint="eastAsia" w:ascii="宋体" w:hAnsi="宋体" w:cs="宋体"/>
          <w:color w:val="FF0000"/>
        </w:rPr>
        <w:t>利息净额</w:t>
      </w:r>
    </w:p>
    <w:p w14:paraId="5CBA18DA">
      <w:pPr>
        <w:jc w:val="left"/>
        <w:rPr>
          <w:rFonts w:hint="eastAsia" w:ascii="宋体" w:hAnsi="宋体" w:cs="宋体"/>
        </w:rPr>
      </w:pPr>
      <w:r>
        <w:rPr>
          <w:rFonts w:hint="eastAsia" w:ascii="宋体" w:hAnsi="宋体" w:cs="宋体"/>
        </w:rPr>
        <w:t>设定受益计划净负债或净资产的利息净额，是指设定受益净负债或净资产在所处期间由于时间流逝产生的变动。包括</w:t>
      </w:r>
      <w:r>
        <w:rPr>
          <w:rFonts w:hint="eastAsia" w:ascii="宋体" w:hAnsi="宋体" w:cs="宋体"/>
          <w:color w:val="FF0000"/>
        </w:rPr>
        <w:t>计划资产的利息收益、设定受益计划义务的利息费用以及资产上限影响的利息。</w:t>
      </w:r>
    </w:p>
    <w:p w14:paraId="7F77C9E7">
      <w:pPr>
        <w:jc w:val="left"/>
        <w:rPr>
          <w:rFonts w:ascii="宋体" w:hAnsi="宋体" w:cs="宋体"/>
          <w:color w:val="FF0000"/>
        </w:rPr>
      </w:pPr>
      <w:r>
        <w:rPr>
          <w:rFonts w:hint="eastAsia" w:ascii="宋体" w:hAnsi="宋体" w:cs="宋体"/>
          <w:color w:val="FF0000"/>
        </w:rPr>
        <w:t xml:space="preserve">步骤四：确定应当计入其他综合收益的金额  </w:t>
      </w:r>
    </w:p>
    <w:p w14:paraId="308335AD">
      <w:pPr>
        <w:jc w:val="left"/>
        <w:rPr>
          <w:rFonts w:ascii="宋体" w:hAnsi="宋体" w:cs="宋体"/>
        </w:rPr>
      </w:pPr>
      <w:r>
        <w:rPr>
          <w:rFonts w:hint="eastAsia" w:ascii="宋体" w:hAnsi="宋体" w:cs="宋体"/>
        </w:rPr>
        <w:t>设定受益净负债或净资产的</w:t>
      </w:r>
      <w:r>
        <w:rPr>
          <w:rFonts w:hint="eastAsia" w:ascii="宋体" w:hAnsi="宋体" w:cs="宋体"/>
          <w:color w:val="FF0000"/>
        </w:rPr>
        <w:t>重新计量</w:t>
      </w:r>
      <w:r>
        <w:rPr>
          <w:rFonts w:hint="eastAsia" w:ascii="宋体" w:hAnsi="宋体" w:cs="宋体"/>
        </w:rPr>
        <w:t>应当计入</w:t>
      </w:r>
      <w:r>
        <w:rPr>
          <w:rFonts w:hint="eastAsia" w:ascii="宋体" w:hAnsi="宋体" w:cs="宋体"/>
          <w:color w:val="FF0000"/>
        </w:rPr>
        <w:t>其他综合收益，且在后续期间不应重分类计入损益</w:t>
      </w:r>
      <w:r>
        <w:rPr>
          <w:rFonts w:hint="eastAsia" w:ascii="宋体" w:hAnsi="宋体" w:cs="宋体"/>
        </w:rPr>
        <w:t xml:space="preserve">，但是企业可以在权益范围内转移这些在其他综合收益中确认的金额。 </w:t>
      </w:r>
    </w:p>
    <w:p w14:paraId="1D556597">
      <w:pPr>
        <w:jc w:val="left"/>
        <w:rPr>
          <w:rFonts w:ascii="宋体" w:hAnsi="宋体" w:cs="宋体"/>
          <w:color w:val="FF0000"/>
        </w:rPr>
      </w:pPr>
      <w:r>
        <w:rPr>
          <w:rFonts w:hint="eastAsia" w:ascii="宋体" w:hAnsi="宋体" w:cs="宋体"/>
          <w:color w:val="FF0000"/>
        </w:rPr>
        <w:t>包括：</w:t>
      </w:r>
    </w:p>
    <w:p w14:paraId="7EB52F52">
      <w:pPr>
        <w:jc w:val="left"/>
        <w:rPr>
          <w:rFonts w:ascii="宋体" w:hAnsi="宋体" w:cs="宋体"/>
          <w:color w:val="FF0000"/>
        </w:rPr>
      </w:pPr>
      <w:r>
        <w:rPr>
          <w:rFonts w:hint="eastAsia" w:ascii="宋体" w:hAnsi="宋体" w:cs="宋体"/>
          <w:color w:val="FF0000"/>
        </w:rPr>
        <w:t>精算利得和损失</w:t>
      </w:r>
    </w:p>
    <w:p w14:paraId="0575C1C8">
      <w:pPr>
        <w:jc w:val="left"/>
        <w:rPr>
          <w:rFonts w:ascii="宋体" w:hAnsi="宋体" w:cs="宋体"/>
          <w:color w:val="FF0000"/>
        </w:rPr>
      </w:pPr>
      <w:r>
        <w:rPr>
          <w:rFonts w:hint="eastAsia" w:ascii="宋体" w:hAnsi="宋体" w:cs="宋体"/>
          <w:color w:val="FF0000"/>
        </w:rPr>
        <w:t>计划资产回报</w:t>
      </w:r>
    </w:p>
    <w:p w14:paraId="181E3FD9">
      <w:pPr>
        <w:jc w:val="left"/>
        <w:rPr>
          <w:rFonts w:ascii="宋体" w:hAnsi="宋体" w:cs="宋体"/>
          <w:color w:val="FF0000"/>
        </w:rPr>
      </w:pPr>
      <w:r>
        <w:rPr>
          <w:rFonts w:hint="eastAsia" w:ascii="宋体" w:hAnsi="宋体" w:cs="宋体"/>
          <w:color w:val="FF0000"/>
        </w:rPr>
        <w:t>资产上线影响的变动</w:t>
      </w:r>
    </w:p>
    <w:p w14:paraId="13BFC3AD">
      <w:pPr>
        <w:jc w:val="left"/>
        <w:rPr>
          <w:rFonts w:ascii="宋体" w:hAnsi="宋体" w:cs="宋体"/>
        </w:rPr>
      </w:pPr>
    </w:p>
    <w:p w14:paraId="6E2F7360">
      <w:pPr>
        <w:overflowPunct w:val="0"/>
        <w:jc w:val="center"/>
        <w:rPr>
          <w:rFonts w:hint="eastAsia" w:ascii="宋体" w:hAnsi="宋体" w:cs="宋体"/>
          <w:b/>
          <w:bCs/>
        </w:rPr>
      </w:pPr>
      <w:r>
        <w:rPr>
          <w:rFonts w:hint="eastAsia" w:ascii="宋体" w:hAnsi="宋体" w:cs="宋体"/>
          <w:b/>
          <w:bCs/>
        </w:rPr>
        <w:t>第四节  辞退福利和其他长期职工福利的确认和计量</w:t>
      </w:r>
    </w:p>
    <w:p w14:paraId="5F1111A6">
      <w:pPr>
        <w:jc w:val="left"/>
        <w:rPr>
          <w:rFonts w:ascii="宋体" w:hAnsi="宋体" w:cs="宋体"/>
        </w:rPr>
      </w:pPr>
      <w:r>
        <w:rPr>
          <w:rFonts w:hint="eastAsia" w:ascii="宋体" w:hAnsi="宋体" w:cs="宋体"/>
        </w:rPr>
        <w:t>辞退福利</w:t>
      </w:r>
    </w:p>
    <w:p w14:paraId="01CDCAA0">
      <w:pPr>
        <w:jc w:val="left"/>
        <w:rPr>
          <w:rFonts w:hint="eastAsia" w:ascii="宋体" w:hAnsi="宋体" w:cs="宋体"/>
        </w:rPr>
      </w:pPr>
      <w:r>
        <w:rPr>
          <w:rFonts w:hint="eastAsia" w:ascii="宋体" w:hAnsi="宋体" w:cs="宋体"/>
        </w:rPr>
        <w:t>企业向职工提供辞退福利的，应当在企业不能单方面撤回因解除劳动关系计划或裁减建议所提供的辞退福利时、企业确认辞退福利产生的职工薪酬负债，并计入当期损益</w:t>
      </w:r>
      <w:r>
        <w:rPr>
          <w:rFonts w:hint="eastAsia" w:ascii="宋体" w:hAnsi="宋体" w:cs="宋体"/>
          <w:color w:val="FF0000"/>
        </w:rPr>
        <w:t>（管理费用）。</w:t>
      </w:r>
    </w:p>
    <w:p w14:paraId="54344D30">
      <w:pPr>
        <w:jc w:val="left"/>
        <w:rPr>
          <w:rFonts w:hint="eastAsia" w:ascii="宋体" w:hAnsi="宋体" w:cs="宋体"/>
        </w:rPr>
      </w:pPr>
      <w:r>
        <w:rPr>
          <w:rFonts w:hint="eastAsia" w:ascii="宋体" w:hAnsi="宋体" w:cs="宋体"/>
          <w:color w:val="FF0000"/>
        </w:rPr>
        <w:t>【例9-8】</w:t>
      </w:r>
      <w:r>
        <w:rPr>
          <w:rFonts w:hint="eastAsia" w:ascii="宋体" w:hAnsi="宋体" w:cs="宋体"/>
        </w:rPr>
        <w:t>甲公司是一家空调制造企业。2023年9月，为了能够在下一年度顺利实施转产，甲公司管理层制定了一项辞退计划，计划规定，从2024年1月1日起，企业以职工自愿方式，辞退其柜式空调生产车间的职工。辞退计划的详细内容，包括拟辞退的职工所在的部门、数量、各级别职工能够获得的补偿以及计划大体实施的时间等均已与职工沟通，并达成一致意见，辞退计划已于2023年12月10日经董事会正式批准，辞退计划将于下一个年度内实施完毕。</w:t>
      </w:r>
    </w:p>
    <w:p w14:paraId="05351E65">
      <w:pPr>
        <w:jc w:val="center"/>
        <w:rPr>
          <w:rFonts w:hint="eastAsia" w:ascii="宋体" w:hAnsi="宋体" w:cs="宋体"/>
        </w:rPr>
      </w:pPr>
      <w:r>
        <w:rPr>
          <w:rFonts w:hint="eastAsia" w:ascii="宋体" w:hAnsi="宋体" w:cs="宋体"/>
        </w:rPr>
        <w:t>该项辞退计划的详细内容如下表：     单位：万元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026"/>
        <w:gridCol w:w="2026"/>
        <w:gridCol w:w="2029"/>
        <w:gridCol w:w="2029"/>
      </w:tblGrid>
      <w:tr w14:paraId="0115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tcPr>
          <w:p w14:paraId="6DE48615">
            <w:pPr>
              <w:overflowPunct w:val="0"/>
              <w:jc w:val="center"/>
              <w:rPr>
                <w:rFonts w:ascii="宋体" w:hAnsi="宋体" w:cs="宋体"/>
              </w:rPr>
            </w:pPr>
            <w:r>
              <w:rPr>
                <w:rFonts w:hint="eastAsia" w:ascii="宋体" w:hAnsi="宋体" w:cs="宋体"/>
              </w:rPr>
              <w:t>所属部门</w:t>
            </w:r>
          </w:p>
        </w:tc>
        <w:tc>
          <w:tcPr>
            <w:tcW w:w="999" w:type="pct"/>
          </w:tcPr>
          <w:p w14:paraId="1F9D039F">
            <w:pPr>
              <w:overflowPunct w:val="0"/>
              <w:jc w:val="center"/>
              <w:rPr>
                <w:rFonts w:ascii="宋体" w:hAnsi="宋体" w:cs="宋体"/>
              </w:rPr>
            </w:pPr>
            <w:r>
              <w:rPr>
                <w:rFonts w:hint="eastAsia" w:ascii="宋体" w:hAnsi="宋体" w:cs="宋体"/>
              </w:rPr>
              <w:t>职位</w:t>
            </w:r>
          </w:p>
        </w:tc>
        <w:tc>
          <w:tcPr>
            <w:tcW w:w="999" w:type="pct"/>
          </w:tcPr>
          <w:p w14:paraId="743F68AE">
            <w:pPr>
              <w:overflowPunct w:val="0"/>
              <w:jc w:val="center"/>
              <w:rPr>
                <w:rFonts w:ascii="宋体" w:hAnsi="宋体" w:cs="宋体"/>
              </w:rPr>
            </w:pPr>
            <w:r>
              <w:rPr>
                <w:rFonts w:hint="eastAsia" w:ascii="宋体" w:hAnsi="宋体" w:cs="宋体"/>
              </w:rPr>
              <w:t>辞退数量（人）</w:t>
            </w:r>
          </w:p>
        </w:tc>
        <w:tc>
          <w:tcPr>
            <w:tcW w:w="1000" w:type="pct"/>
          </w:tcPr>
          <w:p w14:paraId="38C80AE1">
            <w:pPr>
              <w:overflowPunct w:val="0"/>
              <w:jc w:val="center"/>
              <w:rPr>
                <w:rFonts w:ascii="宋体" w:hAnsi="宋体" w:cs="宋体"/>
              </w:rPr>
            </w:pPr>
            <w:r>
              <w:rPr>
                <w:rFonts w:hint="eastAsia" w:ascii="宋体" w:hAnsi="宋体" w:cs="宋体"/>
              </w:rPr>
              <w:t>工龄（年）</w:t>
            </w:r>
          </w:p>
        </w:tc>
        <w:tc>
          <w:tcPr>
            <w:tcW w:w="1000" w:type="pct"/>
          </w:tcPr>
          <w:p w14:paraId="4668E61E">
            <w:pPr>
              <w:overflowPunct w:val="0"/>
              <w:jc w:val="center"/>
              <w:rPr>
                <w:rFonts w:ascii="宋体" w:hAnsi="宋体" w:cs="宋体"/>
              </w:rPr>
            </w:pPr>
            <w:r>
              <w:rPr>
                <w:rFonts w:hint="eastAsia" w:ascii="宋体" w:hAnsi="宋体" w:cs="宋体"/>
              </w:rPr>
              <w:t>每人补偿额</w:t>
            </w:r>
          </w:p>
        </w:tc>
      </w:tr>
      <w:tr w14:paraId="65CF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7C001E7A">
            <w:pPr>
              <w:overflowPunct w:val="0"/>
              <w:jc w:val="center"/>
              <w:rPr>
                <w:rFonts w:ascii="宋体" w:hAnsi="宋体" w:cs="宋体"/>
              </w:rPr>
            </w:pPr>
            <w:r>
              <w:rPr>
                <w:rFonts w:hint="eastAsia" w:ascii="宋体" w:hAnsi="宋体" w:cs="宋体"/>
              </w:rPr>
              <w:t>空调车间</w:t>
            </w:r>
          </w:p>
        </w:tc>
        <w:tc>
          <w:tcPr>
            <w:tcW w:w="999" w:type="pct"/>
            <w:vMerge w:val="restart"/>
          </w:tcPr>
          <w:p w14:paraId="34D8CB0B">
            <w:pPr>
              <w:overflowPunct w:val="0"/>
              <w:jc w:val="center"/>
              <w:rPr>
                <w:rFonts w:ascii="宋体" w:hAnsi="宋体" w:cs="宋体"/>
              </w:rPr>
            </w:pPr>
            <w:r>
              <w:rPr>
                <w:rFonts w:hint="eastAsia" w:ascii="宋体" w:hAnsi="宋体" w:cs="宋体"/>
              </w:rPr>
              <w:t>车间主任、</w:t>
            </w:r>
          </w:p>
          <w:p w14:paraId="0CCA5391">
            <w:pPr>
              <w:overflowPunct w:val="0"/>
              <w:jc w:val="center"/>
              <w:rPr>
                <w:rFonts w:ascii="宋体" w:hAnsi="宋体" w:cs="宋体"/>
              </w:rPr>
            </w:pPr>
            <w:r>
              <w:rPr>
                <w:rFonts w:hint="eastAsia" w:ascii="宋体" w:hAnsi="宋体" w:cs="宋体"/>
              </w:rPr>
              <w:t>副主任</w:t>
            </w:r>
          </w:p>
        </w:tc>
        <w:tc>
          <w:tcPr>
            <w:tcW w:w="999" w:type="pct"/>
            <w:vMerge w:val="restart"/>
          </w:tcPr>
          <w:p w14:paraId="23473303">
            <w:pPr>
              <w:overflowPunct w:val="0"/>
              <w:jc w:val="center"/>
              <w:rPr>
                <w:rFonts w:ascii="宋体" w:hAnsi="宋体" w:cs="宋体"/>
              </w:rPr>
            </w:pPr>
            <w:r>
              <w:rPr>
                <w:rFonts w:hint="eastAsia" w:ascii="宋体" w:hAnsi="宋体" w:cs="宋体"/>
              </w:rPr>
              <w:t>10</w:t>
            </w:r>
          </w:p>
        </w:tc>
        <w:tc>
          <w:tcPr>
            <w:tcW w:w="1000" w:type="pct"/>
          </w:tcPr>
          <w:p w14:paraId="6D75AD8A">
            <w:pPr>
              <w:overflowPunct w:val="0"/>
              <w:jc w:val="center"/>
              <w:rPr>
                <w:rFonts w:ascii="宋体" w:hAnsi="宋体" w:cs="宋体"/>
              </w:rPr>
            </w:pPr>
            <w:r>
              <w:rPr>
                <w:rFonts w:hint="eastAsia" w:ascii="宋体" w:hAnsi="宋体" w:cs="宋体"/>
              </w:rPr>
              <w:t>1-10</w:t>
            </w:r>
          </w:p>
        </w:tc>
        <w:tc>
          <w:tcPr>
            <w:tcW w:w="1000" w:type="pct"/>
          </w:tcPr>
          <w:p w14:paraId="01B0F560">
            <w:pPr>
              <w:overflowPunct w:val="0"/>
              <w:jc w:val="center"/>
              <w:rPr>
                <w:rFonts w:ascii="宋体" w:hAnsi="宋体" w:cs="宋体"/>
              </w:rPr>
            </w:pPr>
            <w:r>
              <w:rPr>
                <w:rFonts w:hint="eastAsia" w:ascii="宋体" w:hAnsi="宋体" w:cs="宋体"/>
              </w:rPr>
              <w:t>10</w:t>
            </w:r>
          </w:p>
        </w:tc>
      </w:tr>
      <w:tr w14:paraId="51DE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6F66315E">
            <w:pPr>
              <w:jc w:val="left"/>
              <w:rPr>
                <w:rFonts w:ascii="宋体" w:hAnsi="宋体" w:cs="宋体"/>
              </w:rPr>
            </w:pPr>
          </w:p>
        </w:tc>
        <w:tc>
          <w:tcPr>
            <w:tcW w:w="999" w:type="pct"/>
            <w:vMerge w:val="continue"/>
          </w:tcPr>
          <w:p w14:paraId="2418ED00">
            <w:pPr>
              <w:jc w:val="left"/>
              <w:rPr>
                <w:rFonts w:ascii="宋体" w:hAnsi="宋体" w:cs="宋体"/>
              </w:rPr>
            </w:pPr>
          </w:p>
        </w:tc>
        <w:tc>
          <w:tcPr>
            <w:tcW w:w="999" w:type="pct"/>
            <w:vMerge w:val="continue"/>
          </w:tcPr>
          <w:p w14:paraId="6456514E">
            <w:pPr>
              <w:jc w:val="left"/>
              <w:rPr>
                <w:rFonts w:ascii="宋体" w:hAnsi="宋体" w:cs="宋体"/>
              </w:rPr>
            </w:pPr>
          </w:p>
        </w:tc>
        <w:tc>
          <w:tcPr>
            <w:tcW w:w="1000" w:type="pct"/>
          </w:tcPr>
          <w:p w14:paraId="14056E36">
            <w:pPr>
              <w:overflowPunct w:val="0"/>
              <w:jc w:val="center"/>
              <w:rPr>
                <w:rFonts w:ascii="宋体" w:hAnsi="宋体" w:cs="宋体"/>
              </w:rPr>
            </w:pPr>
            <w:r>
              <w:rPr>
                <w:rFonts w:hint="eastAsia" w:ascii="宋体" w:hAnsi="宋体" w:cs="宋体"/>
              </w:rPr>
              <w:t>10-20</w:t>
            </w:r>
          </w:p>
        </w:tc>
        <w:tc>
          <w:tcPr>
            <w:tcW w:w="1000" w:type="pct"/>
          </w:tcPr>
          <w:p w14:paraId="093EFCEB">
            <w:pPr>
              <w:overflowPunct w:val="0"/>
              <w:jc w:val="center"/>
              <w:rPr>
                <w:rFonts w:ascii="宋体" w:hAnsi="宋体" w:cs="宋体"/>
              </w:rPr>
            </w:pPr>
            <w:r>
              <w:rPr>
                <w:rFonts w:hint="eastAsia" w:ascii="宋体" w:hAnsi="宋体" w:cs="宋体"/>
              </w:rPr>
              <w:t>20</w:t>
            </w:r>
          </w:p>
        </w:tc>
      </w:tr>
      <w:tr w14:paraId="13C3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55601FEC">
            <w:pPr>
              <w:jc w:val="left"/>
              <w:rPr>
                <w:rFonts w:ascii="宋体" w:hAnsi="宋体" w:cs="宋体"/>
              </w:rPr>
            </w:pPr>
          </w:p>
        </w:tc>
        <w:tc>
          <w:tcPr>
            <w:tcW w:w="999" w:type="pct"/>
            <w:vMerge w:val="continue"/>
          </w:tcPr>
          <w:p w14:paraId="7F5594B9">
            <w:pPr>
              <w:jc w:val="left"/>
              <w:rPr>
                <w:rFonts w:ascii="宋体" w:hAnsi="宋体" w:cs="宋体"/>
              </w:rPr>
            </w:pPr>
          </w:p>
        </w:tc>
        <w:tc>
          <w:tcPr>
            <w:tcW w:w="999" w:type="pct"/>
            <w:vMerge w:val="continue"/>
          </w:tcPr>
          <w:p w14:paraId="316F415C">
            <w:pPr>
              <w:jc w:val="left"/>
              <w:rPr>
                <w:rFonts w:ascii="宋体" w:hAnsi="宋体" w:cs="宋体"/>
              </w:rPr>
            </w:pPr>
          </w:p>
        </w:tc>
        <w:tc>
          <w:tcPr>
            <w:tcW w:w="1000" w:type="pct"/>
          </w:tcPr>
          <w:p w14:paraId="103CDED0">
            <w:pPr>
              <w:overflowPunct w:val="0"/>
              <w:jc w:val="center"/>
              <w:rPr>
                <w:rFonts w:ascii="宋体" w:hAnsi="宋体" w:cs="宋体"/>
              </w:rPr>
            </w:pPr>
            <w:r>
              <w:rPr>
                <w:rFonts w:hint="eastAsia" w:ascii="宋体" w:hAnsi="宋体" w:cs="宋体"/>
              </w:rPr>
              <w:t>20-30</w:t>
            </w:r>
          </w:p>
        </w:tc>
        <w:tc>
          <w:tcPr>
            <w:tcW w:w="1000" w:type="pct"/>
          </w:tcPr>
          <w:p w14:paraId="6CAB437C">
            <w:pPr>
              <w:overflowPunct w:val="0"/>
              <w:jc w:val="center"/>
              <w:rPr>
                <w:rFonts w:ascii="宋体" w:hAnsi="宋体" w:cs="宋体"/>
              </w:rPr>
            </w:pPr>
            <w:r>
              <w:rPr>
                <w:rFonts w:hint="eastAsia" w:ascii="宋体" w:hAnsi="宋体" w:cs="宋体"/>
              </w:rPr>
              <w:t>30</w:t>
            </w:r>
          </w:p>
        </w:tc>
      </w:tr>
      <w:tr w14:paraId="6951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11DE868E">
            <w:pPr>
              <w:jc w:val="left"/>
              <w:rPr>
                <w:rFonts w:ascii="宋体" w:hAnsi="宋体" w:cs="宋体"/>
              </w:rPr>
            </w:pPr>
          </w:p>
        </w:tc>
        <w:tc>
          <w:tcPr>
            <w:tcW w:w="999" w:type="pct"/>
            <w:vMerge w:val="restart"/>
          </w:tcPr>
          <w:p w14:paraId="40F2BEE4">
            <w:pPr>
              <w:overflowPunct w:val="0"/>
              <w:jc w:val="center"/>
              <w:rPr>
                <w:rFonts w:ascii="宋体" w:hAnsi="宋体" w:cs="宋体"/>
              </w:rPr>
            </w:pPr>
            <w:r>
              <w:rPr>
                <w:rFonts w:hint="eastAsia" w:ascii="宋体" w:hAnsi="宋体" w:cs="宋体"/>
              </w:rPr>
              <w:t>高级</w:t>
            </w:r>
          </w:p>
          <w:p w14:paraId="3902FDAD">
            <w:pPr>
              <w:overflowPunct w:val="0"/>
              <w:jc w:val="center"/>
              <w:rPr>
                <w:rFonts w:ascii="宋体" w:hAnsi="宋体" w:cs="宋体"/>
              </w:rPr>
            </w:pPr>
            <w:r>
              <w:rPr>
                <w:rFonts w:hint="eastAsia" w:ascii="宋体" w:hAnsi="宋体" w:cs="宋体"/>
              </w:rPr>
              <w:t>技工</w:t>
            </w:r>
          </w:p>
        </w:tc>
        <w:tc>
          <w:tcPr>
            <w:tcW w:w="999" w:type="pct"/>
            <w:vMerge w:val="restart"/>
          </w:tcPr>
          <w:p w14:paraId="1D785E93">
            <w:pPr>
              <w:overflowPunct w:val="0"/>
              <w:jc w:val="center"/>
              <w:rPr>
                <w:rFonts w:ascii="宋体" w:hAnsi="宋体" w:cs="宋体"/>
              </w:rPr>
            </w:pPr>
            <w:r>
              <w:rPr>
                <w:rFonts w:hint="eastAsia" w:ascii="宋体" w:hAnsi="宋体" w:cs="宋体"/>
              </w:rPr>
              <w:t>50</w:t>
            </w:r>
          </w:p>
        </w:tc>
        <w:tc>
          <w:tcPr>
            <w:tcW w:w="1000" w:type="pct"/>
          </w:tcPr>
          <w:p w14:paraId="76D616EE">
            <w:pPr>
              <w:overflowPunct w:val="0"/>
              <w:jc w:val="center"/>
              <w:rPr>
                <w:rFonts w:ascii="宋体" w:hAnsi="宋体" w:cs="宋体"/>
              </w:rPr>
            </w:pPr>
            <w:r>
              <w:rPr>
                <w:rFonts w:hint="eastAsia" w:ascii="宋体" w:hAnsi="宋体" w:cs="宋体"/>
              </w:rPr>
              <w:t>1-10</w:t>
            </w:r>
          </w:p>
        </w:tc>
        <w:tc>
          <w:tcPr>
            <w:tcW w:w="1000" w:type="pct"/>
          </w:tcPr>
          <w:p w14:paraId="1BD66CD1">
            <w:pPr>
              <w:overflowPunct w:val="0"/>
              <w:jc w:val="center"/>
              <w:rPr>
                <w:rFonts w:ascii="宋体" w:hAnsi="宋体" w:cs="宋体"/>
              </w:rPr>
            </w:pPr>
            <w:r>
              <w:rPr>
                <w:rFonts w:hint="eastAsia" w:ascii="宋体" w:hAnsi="宋体" w:cs="宋体"/>
              </w:rPr>
              <w:t>8</w:t>
            </w:r>
          </w:p>
        </w:tc>
      </w:tr>
      <w:tr w14:paraId="13E6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4BA7B4D0">
            <w:pPr>
              <w:jc w:val="left"/>
              <w:rPr>
                <w:rFonts w:ascii="宋体" w:hAnsi="宋体" w:cs="宋体"/>
              </w:rPr>
            </w:pPr>
          </w:p>
        </w:tc>
        <w:tc>
          <w:tcPr>
            <w:tcW w:w="999" w:type="pct"/>
            <w:vMerge w:val="continue"/>
          </w:tcPr>
          <w:p w14:paraId="457D67F2">
            <w:pPr>
              <w:jc w:val="left"/>
              <w:rPr>
                <w:rFonts w:ascii="宋体" w:hAnsi="宋体" w:cs="宋体"/>
              </w:rPr>
            </w:pPr>
          </w:p>
        </w:tc>
        <w:tc>
          <w:tcPr>
            <w:tcW w:w="999" w:type="pct"/>
            <w:vMerge w:val="continue"/>
          </w:tcPr>
          <w:p w14:paraId="23446697">
            <w:pPr>
              <w:jc w:val="left"/>
              <w:rPr>
                <w:rFonts w:ascii="宋体" w:hAnsi="宋体" w:cs="宋体"/>
              </w:rPr>
            </w:pPr>
          </w:p>
        </w:tc>
        <w:tc>
          <w:tcPr>
            <w:tcW w:w="1000" w:type="pct"/>
          </w:tcPr>
          <w:p w14:paraId="452A39CC">
            <w:pPr>
              <w:overflowPunct w:val="0"/>
              <w:jc w:val="center"/>
              <w:rPr>
                <w:rFonts w:ascii="宋体" w:hAnsi="宋体" w:cs="宋体"/>
              </w:rPr>
            </w:pPr>
            <w:r>
              <w:rPr>
                <w:rFonts w:hint="eastAsia" w:ascii="宋体" w:hAnsi="宋体" w:cs="宋体"/>
              </w:rPr>
              <w:t>10-20</w:t>
            </w:r>
          </w:p>
        </w:tc>
        <w:tc>
          <w:tcPr>
            <w:tcW w:w="1000" w:type="pct"/>
          </w:tcPr>
          <w:p w14:paraId="28621C6A">
            <w:pPr>
              <w:overflowPunct w:val="0"/>
              <w:jc w:val="center"/>
              <w:rPr>
                <w:rFonts w:ascii="宋体" w:hAnsi="宋体" w:cs="宋体"/>
              </w:rPr>
            </w:pPr>
            <w:r>
              <w:rPr>
                <w:rFonts w:hint="eastAsia" w:ascii="宋体" w:hAnsi="宋体" w:cs="宋体"/>
              </w:rPr>
              <w:t>18</w:t>
            </w:r>
          </w:p>
        </w:tc>
      </w:tr>
      <w:tr w14:paraId="352D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66F93895">
            <w:pPr>
              <w:jc w:val="left"/>
              <w:rPr>
                <w:rFonts w:ascii="宋体" w:hAnsi="宋体" w:cs="宋体"/>
              </w:rPr>
            </w:pPr>
          </w:p>
        </w:tc>
        <w:tc>
          <w:tcPr>
            <w:tcW w:w="999" w:type="pct"/>
            <w:vMerge w:val="continue"/>
          </w:tcPr>
          <w:p w14:paraId="53295239">
            <w:pPr>
              <w:jc w:val="left"/>
              <w:rPr>
                <w:rFonts w:ascii="宋体" w:hAnsi="宋体" w:cs="宋体"/>
              </w:rPr>
            </w:pPr>
          </w:p>
        </w:tc>
        <w:tc>
          <w:tcPr>
            <w:tcW w:w="999" w:type="pct"/>
            <w:vMerge w:val="continue"/>
          </w:tcPr>
          <w:p w14:paraId="1416C1DE">
            <w:pPr>
              <w:jc w:val="left"/>
              <w:rPr>
                <w:rFonts w:ascii="宋体" w:hAnsi="宋体" w:cs="宋体"/>
              </w:rPr>
            </w:pPr>
          </w:p>
        </w:tc>
        <w:tc>
          <w:tcPr>
            <w:tcW w:w="1000" w:type="pct"/>
          </w:tcPr>
          <w:p w14:paraId="04B47222">
            <w:pPr>
              <w:overflowPunct w:val="0"/>
              <w:jc w:val="center"/>
              <w:rPr>
                <w:rFonts w:ascii="宋体" w:hAnsi="宋体" w:cs="宋体"/>
              </w:rPr>
            </w:pPr>
            <w:r>
              <w:rPr>
                <w:rFonts w:hint="eastAsia" w:ascii="宋体" w:hAnsi="宋体" w:cs="宋体"/>
              </w:rPr>
              <w:t>20-30</w:t>
            </w:r>
          </w:p>
        </w:tc>
        <w:tc>
          <w:tcPr>
            <w:tcW w:w="1000" w:type="pct"/>
          </w:tcPr>
          <w:p w14:paraId="32AAFEA3">
            <w:pPr>
              <w:overflowPunct w:val="0"/>
              <w:jc w:val="center"/>
              <w:rPr>
                <w:rFonts w:ascii="宋体" w:hAnsi="宋体" w:cs="宋体"/>
              </w:rPr>
            </w:pPr>
            <w:r>
              <w:rPr>
                <w:rFonts w:hint="eastAsia" w:ascii="宋体" w:hAnsi="宋体" w:cs="宋体"/>
              </w:rPr>
              <w:t>28</w:t>
            </w:r>
          </w:p>
        </w:tc>
      </w:tr>
      <w:tr w14:paraId="5698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0E9AEC3F">
            <w:pPr>
              <w:jc w:val="left"/>
              <w:rPr>
                <w:rFonts w:ascii="宋体" w:hAnsi="宋体" w:cs="宋体"/>
              </w:rPr>
            </w:pPr>
          </w:p>
        </w:tc>
        <w:tc>
          <w:tcPr>
            <w:tcW w:w="999" w:type="pct"/>
            <w:vMerge w:val="restart"/>
          </w:tcPr>
          <w:p w14:paraId="78251F9B">
            <w:pPr>
              <w:overflowPunct w:val="0"/>
              <w:jc w:val="center"/>
              <w:rPr>
                <w:rFonts w:ascii="宋体" w:hAnsi="宋体" w:cs="宋体"/>
              </w:rPr>
            </w:pPr>
            <w:r>
              <w:rPr>
                <w:rFonts w:hint="eastAsia" w:ascii="宋体" w:hAnsi="宋体" w:cs="宋体"/>
              </w:rPr>
              <w:t>一般</w:t>
            </w:r>
          </w:p>
          <w:p w14:paraId="008A9C6D">
            <w:pPr>
              <w:overflowPunct w:val="0"/>
              <w:jc w:val="center"/>
              <w:rPr>
                <w:rFonts w:ascii="宋体" w:hAnsi="宋体" w:cs="宋体"/>
              </w:rPr>
            </w:pPr>
            <w:r>
              <w:rPr>
                <w:rFonts w:hint="eastAsia" w:ascii="宋体" w:hAnsi="宋体" w:cs="宋体"/>
              </w:rPr>
              <w:t>技工</w:t>
            </w:r>
          </w:p>
        </w:tc>
        <w:tc>
          <w:tcPr>
            <w:tcW w:w="999" w:type="pct"/>
            <w:vMerge w:val="restart"/>
          </w:tcPr>
          <w:p w14:paraId="2D36DAF0">
            <w:pPr>
              <w:overflowPunct w:val="0"/>
              <w:jc w:val="center"/>
              <w:rPr>
                <w:rFonts w:ascii="宋体" w:hAnsi="宋体" w:cs="宋体"/>
              </w:rPr>
            </w:pPr>
            <w:r>
              <w:rPr>
                <w:rFonts w:hint="eastAsia" w:ascii="宋体" w:hAnsi="宋体" w:cs="宋体"/>
              </w:rPr>
              <w:t>100</w:t>
            </w:r>
          </w:p>
        </w:tc>
        <w:tc>
          <w:tcPr>
            <w:tcW w:w="1000" w:type="pct"/>
          </w:tcPr>
          <w:p w14:paraId="4D4A9574">
            <w:pPr>
              <w:overflowPunct w:val="0"/>
              <w:jc w:val="center"/>
              <w:rPr>
                <w:rFonts w:ascii="宋体" w:hAnsi="宋体" w:cs="宋体"/>
              </w:rPr>
            </w:pPr>
            <w:r>
              <w:rPr>
                <w:rFonts w:hint="eastAsia" w:ascii="宋体" w:hAnsi="宋体" w:cs="宋体"/>
              </w:rPr>
              <w:t>1-10</w:t>
            </w:r>
          </w:p>
        </w:tc>
        <w:tc>
          <w:tcPr>
            <w:tcW w:w="1000" w:type="pct"/>
          </w:tcPr>
          <w:p w14:paraId="3DA09F1B">
            <w:pPr>
              <w:overflowPunct w:val="0"/>
              <w:jc w:val="center"/>
              <w:rPr>
                <w:rFonts w:ascii="宋体" w:hAnsi="宋体" w:cs="宋体"/>
              </w:rPr>
            </w:pPr>
            <w:r>
              <w:rPr>
                <w:rFonts w:hint="eastAsia" w:ascii="宋体" w:hAnsi="宋体" w:cs="宋体"/>
              </w:rPr>
              <w:t>5</w:t>
            </w:r>
          </w:p>
        </w:tc>
      </w:tr>
      <w:tr w14:paraId="7248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6E2FEED9">
            <w:pPr>
              <w:jc w:val="left"/>
              <w:rPr>
                <w:rFonts w:ascii="宋体" w:hAnsi="宋体" w:cs="宋体"/>
              </w:rPr>
            </w:pPr>
          </w:p>
        </w:tc>
        <w:tc>
          <w:tcPr>
            <w:tcW w:w="999" w:type="pct"/>
            <w:vMerge w:val="continue"/>
          </w:tcPr>
          <w:p w14:paraId="1A4E8F5E">
            <w:pPr>
              <w:jc w:val="left"/>
              <w:rPr>
                <w:rFonts w:ascii="宋体" w:hAnsi="宋体" w:cs="宋体"/>
              </w:rPr>
            </w:pPr>
          </w:p>
        </w:tc>
        <w:tc>
          <w:tcPr>
            <w:tcW w:w="999" w:type="pct"/>
            <w:vMerge w:val="continue"/>
          </w:tcPr>
          <w:p w14:paraId="29AE60FE">
            <w:pPr>
              <w:jc w:val="left"/>
              <w:rPr>
                <w:rFonts w:ascii="宋体" w:hAnsi="宋体" w:cs="宋体"/>
              </w:rPr>
            </w:pPr>
          </w:p>
        </w:tc>
        <w:tc>
          <w:tcPr>
            <w:tcW w:w="1000" w:type="pct"/>
          </w:tcPr>
          <w:p w14:paraId="4D52D942">
            <w:pPr>
              <w:overflowPunct w:val="0"/>
              <w:jc w:val="center"/>
              <w:rPr>
                <w:rFonts w:ascii="宋体" w:hAnsi="宋体" w:cs="宋体"/>
              </w:rPr>
            </w:pPr>
            <w:r>
              <w:rPr>
                <w:rFonts w:hint="eastAsia" w:ascii="宋体" w:hAnsi="宋体" w:cs="宋体"/>
              </w:rPr>
              <w:t>10-20</w:t>
            </w:r>
          </w:p>
        </w:tc>
        <w:tc>
          <w:tcPr>
            <w:tcW w:w="1000" w:type="pct"/>
          </w:tcPr>
          <w:p w14:paraId="50E1B369">
            <w:pPr>
              <w:overflowPunct w:val="0"/>
              <w:jc w:val="center"/>
              <w:rPr>
                <w:rFonts w:ascii="宋体" w:hAnsi="宋体" w:cs="宋体"/>
              </w:rPr>
            </w:pPr>
            <w:r>
              <w:rPr>
                <w:rFonts w:hint="eastAsia" w:ascii="宋体" w:hAnsi="宋体" w:cs="宋体"/>
              </w:rPr>
              <w:t>15</w:t>
            </w:r>
          </w:p>
        </w:tc>
      </w:tr>
      <w:tr w14:paraId="61CF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22BB0F70">
            <w:pPr>
              <w:jc w:val="left"/>
              <w:rPr>
                <w:rFonts w:ascii="宋体" w:hAnsi="宋体" w:cs="宋体"/>
              </w:rPr>
            </w:pPr>
          </w:p>
        </w:tc>
        <w:tc>
          <w:tcPr>
            <w:tcW w:w="999" w:type="pct"/>
            <w:vMerge w:val="continue"/>
          </w:tcPr>
          <w:p w14:paraId="14DD1760">
            <w:pPr>
              <w:jc w:val="left"/>
              <w:rPr>
                <w:rFonts w:ascii="宋体" w:hAnsi="宋体" w:cs="宋体"/>
              </w:rPr>
            </w:pPr>
          </w:p>
        </w:tc>
        <w:tc>
          <w:tcPr>
            <w:tcW w:w="999" w:type="pct"/>
            <w:vMerge w:val="continue"/>
          </w:tcPr>
          <w:p w14:paraId="62D4191B">
            <w:pPr>
              <w:jc w:val="left"/>
              <w:rPr>
                <w:rFonts w:ascii="宋体" w:hAnsi="宋体" w:cs="宋体"/>
              </w:rPr>
            </w:pPr>
          </w:p>
        </w:tc>
        <w:tc>
          <w:tcPr>
            <w:tcW w:w="1000" w:type="pct"/>
          </w:tcPr>
          <w:p w14:paraId="2F051499">
            <w:pPr>
              <w:overflowPunct w:val="0"/>
              <w:jc w:val="center"/>
              <w:rPr>
                <w:rFonts w:ascii="宋体" w:hAnsi="宋体" w:cs="宋体"/>
              </w:rPr>
            </w:pPr>
            <w:r>
              <w:rPr>
                <w:rFonts w:hint="eastAsia" w:ascii="宋体" w:hAnsi="宋体" w:cs="宋体"/>
              </w:rPr>
              <w:t>20-30</w:t>
            </w:r>
          </w:p>
        </w:tc>
        <w:tc>
          <w:tcPr>
            <w:tcW w:w="1000" w:type="pct"/>
          </w:tcPr>
          <w:p w14:paraId="3C5646C1">
            <w:pPr>
              <w:overflowPunct w:val="0"/>
              <w:jc w:val="center"/>
              <w:rPr>
                <w:rFonts w:ascii="宋体" w:hAnsi="宋体" w:cs="宋体"/>
              </w:rPr>
            </w:pPr>
            <w:r>
              <w:rPr>
                <w:rFonts w:hint="eastAsia" w:ascii="宋体" w:hAnsi="宋体" w:cs="宋体"/>
              </w:rPr>
              <w:t>25</w:t>
            </w:r>
          </w:p>
        </w:tc>
      </w:tr>
      <w:tr w14:paraId="0D5F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08F9B8BD">
            <w:pPr>
              <w:overflowPunct w:val="0"/>
              <w:jc w:val="center"/>
              <w:rPr>
                <w:rFonts w:ascii="宋体" w:hAnsi="宋体" w:cs="宋体"/>
              </w:rPr>
            </w:pPr>
            <w:r>
              <w:rPr>
                <w:rFonts w:hint="eastAsia" w:ascii="宋体" w:hAnsi="宋体" w:cs="宋体"/>
              </w:rPr>
              <w:t>合计</w:t>
            </w:r>
          </w:p>
        </w:tc>
        <w:tc>
          <w:tcPr>
            <w:tcW w:w="999" w:type="pct"/>
          </w:tcPr>
          <w:p w14:paraId="1381ECE8">
            <w:pPr>
              <w:jc w:val="left"/>
              <w:rPr>
                <w:rFonts w:ascii="宋体" w:hAnsi="宋体" w:cs="宋体"/>
              </w:rPr>
            </w:pPr>
          </w:p>
        </w:tc>
        <w:tc>
          <w:tcPr>
            <w:tcW w:w="999" w:type="pct"/>
          </w:tcPr>
          <w:p w14:paraId="3554B380">
            <w:pPr>
              <w:overflowPunct w:val="0"/>
              <w:jc w:val="center"/>
              <w:rPr>
                <w:rFonts w:ascii="宋体" w:hAnsi="宋体" w:cs="宋体"/>
              </w:rPr>
            </w:pPr>
            <w:r>
              <w:rPr>
                <w:rFonts w:hint="eastAsia" w:ascii="宋体" w:hAnsi="宋体" w:cs="宋体"/>
              </w:rPr>
              <w:t>160</w:t>
            </w:r>
          </w:p>
        </w:tc>
        <w:tc>
          <w:tcPr>
            <w:tcW w:w="1000" w:type="pct"/>
          </w:tcPr>
          <w:p w14:paraId="3C4A61BA">
            <w:pPr>
              <w:jc w:val="left"/>
              <w:rPr>
                <w:rFonts w:ascii="宋体" w:hAnsi="宋体" w:cs="宋体"/>
              </w:rPr>
            </w:pPr>
          </w:p>
        </w:tc>
        <w:tc>
          <w:tcPr>
            <w:tcW w:w="1000" w:type="pct"/>
          </w:tcPr>
          <w:p w14:paraId="5C07E336">
            <w:pPr>
              <w:jc w:val="left"/>
              <w:rPr>
                <w:rFonts w:ascii="宋体" w:hAnsi="宋体" w:cs="宋体"/>
              </w:rPr>
            </w:pPr>
          </w:p>
        </w:tc>
      </w:tr>
    </w:tbl>
    <w:p w14:paraId="407F1FFC">
      <w:pPr>
        <w:jc w:val="left"/>
        <w:rPr>
          <w:rFonts w:hint="eastAsia" w:ascii="宋体" w:hAnsi="宋体" w:cs="宋体"/>
        </w:rPr>
      </w:pPr>
      <w:r>
        <w:rPr>
          <w:rFonts w:hint="eastAsia" w:ascii="宋体" w:hAnsi="宋体" w:cs="宋体"/>
        </w:rPr>
        <w:t>2023年12月31日，企业预计各级别职工拟接受辞退职工数量的最佳估计数（最可能发生数）及其应支付的补偿如下表9-4：</w:t>
      </w:r>
    </w:p>
    <w:p w14:paraId="7D026123">
      <w:pPr>
        <w:jc w:val="right"/>
        <w:rPr>
          <w:rFonts w:ascii="宋体" w:hAnsi="宋体" w:cs="宋体"/>
        </w:rPr>
      </w:pPr>
      <w:r>
        <w:rPr>
          <w:rFonts w:hint="eastAsia" w:ascii="宋体" w:hAnsi="宋体" w:cs="宋体"/>
        </w:rPr>
        <w:t>单位：万元</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157"/>
        <w:gridCol w:w="1739"/>
        <w:gridCol w:w="1447"/>
        <w:gridCol w:w="1447"/>
        <w:gridCol w:w="1447"/>
        <w:gridCol w:w="1447"/>
      </w:tblGrid>
      <w:tr w14:paraId="1F95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tcPr>
          <w:p w14:paraId="4AFFDE5C">
            <w:pPr>
              <w:overflowPunct w:val="0"/>
              <w:jc w:val="center"/>
              <w:rPr>
                <w:rFonts w:ascii="宋体" w:hAnsi="宋体" w:cs="宋体"/>
              </w:rPr>
            </w:pPr>
            <w:r>
              <w:rPr>
                <w:rFonts w:hint="eastAsia" w:ascii="宋体" w:hAnsi="宋体" w:cs="宋体"/>
              </w:rPr>
              <w:t>所属部门</w:t>
            </w:r>
          </w:p>
        </w:tc>
        <w:tc>
          <w:tcPr>
            <w:tcW w:w="571" w:type="pct"/>
          </w:tcPr>
          <w:p w14:paraId="5CF125A9">
            <w:pPr>
              <w:overflowPunct w:val="0"/>
              <w:jc w:val="center"/>
              <w:rPr>
                <w:rFonts w:ascii="宋体" w:hAnsi="宋体" w:cs="宋体"/>
              </w:rPr>
            </w:pPr>
            <w:r>
              <w:rPr>
                <w:rFonts w:hint="eastAsia" w:ascii="宋体" w:hAnsi="宋体" w:cs="宋体"/>
              </w:rPr>
              <w:t>职位</w:t>
            </w:r>
          </w:p>
        </w:tc>
        <w:tc>
          <w:tcPr>
            <w:tcW w:w="858" w:type="pct"/>
          </w:tcPr>
          <w:p w14:paraId="305BD80B">
            <w:pPr>
              <w:overflowPunct w:val="0"/>
              <w:jc w:val="center"/>
              <w:rPr>
                <w:rFonts w:ascii="宋体" w:hAnsi="宋体" w:cs="宋体"/>
              </w:rPr>
            </w:pPr>
            <w:r>
              <w:rPr>
                <w:rFonts w:hint="eastAsia" w:ascii="宋体" w:hAnsi="宋体" w:cs="宋体"/>
              </w:rPr>
              <w:t>辞退数量（人）</w:t>
            </w:r>
          </w:p>
        </w:tc>
        <w:tc>
          <w:tcPr>
            <w:tcW w:w="714" w:type="pct"/>
          </w:tcPr>
          <w:p w14:paraId="0612B3F3">
            <w:pPr>
              <w:overflowPunct w:val="0"/>
              <w:jc w:val="center"/>
              <w:rPr>
                <w:rFonts w:ascii="宋体" w:hAnsi="宋体" w:cs="宋体"/>
              </w:rPr>
            </w:pPr>
            <w:r>
              <w:rPr>
                <w:rFonts w:hint="eastAsia" w:ascii="宋体" w:hAnsi="宋体" w:cs="宋体"/>
              </w:rPr>
              <w:t>工龄（年）</w:t>
            </w:r>
          </w:p>
        </w:tc>
        <w:tc>
          <w:tcPr>
            <w:tcW w:w="714" w:type="pct"/>
          </w:tcPr>
          <w:p w14:paraId="5948B903">
            <w:pPr>
              <w:overflowPunct w:val="0"/>
              <w:jc w:val="center"/>
              <w:rPr>
                <w:rFonts w:ascii="宋体" w:hAnsi="宋体" w:cs="宋体"/>
              </w:rPr>
            </w:pPr>
            <w:r>
              <w:rPr>
                <w:rFonts w:hint="eastAsia" w:ascii="宋体" w:hAnsi="宋体" w:cs="宋体"/>
              </w:rPr>
              <w:t>接受数量</w:t>
            </w:r>
          </w:p>
        </w:tc>
        <w:tc>
          <w:tcPr>
            <w:tcW w:w="714" w:type="pct"/>
          </w:tcPr>
          <w:p w14:paraId="0BD128C5">
            <w:pPr>
              <w:overflowPunct w:val="0"/>
              <w:jc w:val="center"/>
              <w:rPr>
                <w:rFonts w:ascii="宋体" w:hAnsi="宋体" w:cs="宋体"/>
              </w:rPr>
            </w:pPr>
            <w:r>
              <w:rPr>
                <w:rFonts w:hint="eastAsia" w:ascii="宋体" w:hAnsi="宋体" w:cs="宋体"/>
              </w:rPr>
              <w:t>每人补偿额</w:t>
            </w:r>
          </w:p>
        </w:tc>
        <w:tc>
          <w:tcPr>
            <w:tcW w:w="714" w:type="pct"/>
          </w:tcPr>
          <w:p w14:paraId="1635EF6E">
            <w:pPr>
              <w:overflowPunct w:val="0"/>
              <w:jc w:val="center"/>
              <w:rPr>
                <w:rFonts w:ascii="宋体" w:hAnsi="宋体" w:cs="宋体"/>
              </w:rPr>
            </w:pPr>
            <w:r>
              <w:rPr>
                <w:rFonts w:hint="eastAsia" w:ascii="宋体" w:hAnsi="宋体" w:cs="宋体"/>
              </w:rPr>
              <w:t>补偿金额</w:t>
            </w:r>
          </w:p>
        </w:tc>
      </w:tr>
      <w:tr w14:paraId="07BC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restart"/>
          </w:tcPr>
          <w:p w14:paraId="7755F58B">
            <w:pPr>
              <w:overflowPunct w:val="0"/>
              <w:jc w:val="center"/>
              <w:rPr>
                <w:rFonts w:ascii="宋体" w:hAnsi="宋体" w:cs="宋体"/>
              </w:rPr>
            </w:pPr>
            <w:r>
              <w:rPr>
                <w:rFonts w:hint="eastAsia" w:ascii="宋体" w:hAnsi="宋体" w:cs="宋体"/>
              </w:rPr>
              <w:t>空调</w:t>
            </w:r>
          </w:p>
          <w:p w14:paraId="05CBDC45">
            <w:pPr>
              <w:overflowPunct w:val="0"/>
              <w:jc w:val="center"/>
              <w:rPr>
                <w:rFonts w:ascii="宋体" w:hAnsi="宋体" w:cs="宋体"/>
              </w:rPr>
            </w:pPr>
            <w:r>
              <w:rPr>
                <w:rFonts w:hint="eastAsia" w:ascii="宋体" w:hAnsi="宋体" w:cs="宋体"/>
              </w:rPr>
              <w:t>车间</w:t>
            </w:r>
          </w:p>
        </w:tc>
        <w:tc>
          <w:tcPr>
            <w:tcW w:w="571" w:type="pct"/>
            <w:vMerge w:val="restart"/>
          </w:tcPr>
          <w:p w14:paraId="68A2849D">
            <w:pPr>
              <w:overflowPunct w:val="0"/>
              <w:jc w:val="center"/>
              <w:rPr>
                <w:rFonts w:ascii="宋体" w:hAnsi="宋体" w:cs="宋体"/>
              </w:rPr>
            </w:pPr>
            <w:r>
              <w:rPr>
                <w:rFonts w:hint="eastAsia" w:ascii="宋体" w:hAnsi="宋体" w:cs="宋体"/>
              </w:rPr>
              <w:t>车间主任</w:t>
            </w:r>
          </w:p>
          <w:p w14:paraId="0ECC94AD">
            <w:pPr>
              <w:overflowPunct w:val="0"/>
              <w:jc w:val="center"/>
              <w:rPr>
                <w:rFonts w:ascii="宋体" w:hAnsi="宋体" w:cs="宋体"/>
              </w:rPr>
            </w:pPr>
            <w:r>
              <w:rPr>
                <w:rFonts w:hint="eastAsia" w:ascii="宋体" w:hAnsi="宋体" w:cs="宋体"/>
              </w:rPr>
              <w:t>副主任</w:t>
            </w:r>
          </w:p>
        </w:tc>
        <w:tc>
          <w:tcPr>
            <w:tcW w:w="858" w:type="pct"/>
            <w:vMerge w:val="restart"/>
          </w:tcPr>
          <w:p w14:paraId="78D86857">
            <w:pPr>
              <w:overflowPunct w:val="0"/>
              <w:jc w:val="center"/>
              <w:rPr>
                <w:rFonts w:ascii="宋体" w:hAnsi="宋体" w:cs="宋体"/>
              </w:rPr>
            </w:pPr>
            <w:r>
              <w:rPr>
                <w:rFonts w:hint="eastAsia" w:ascii="宋体" w:hAnsi="宋体" w:cs="宋体"/>
              </w:rPr>
              <w:t>10</w:t>
            </w:r>
          </w:p>
        </w:tc>
        <w:tc>
          <w:tcPr>
            <w:tcW w:w="714" w:type="pct"/>
          </w:tcPr>
          <w:p w14:paraId="4A29A28F">
            <w:pPr>
              <w:overflowPunct w:val="0"/>
              <w:jc w:val="center"/>
              <w:rPr>
                <w:rFonts w:ascii="宋体" w:hAnsi="宋体" w:cs="宋体"/>
              </w:rPr>
            </w:pPr>
            <w:r>
              <w:rPr>
                <w:rFonts w:hint="eastAsia" w:ascii="宋体" w:hAnsi="宋体" w:cs="宋体"/>
              </w:rPr>
              <w:t>1-10</w:t>
            </w:r>
          </w:p>
        </w:tc>
        <w:tc>
          <w:tcPr>
            <w:tcW w:w="714" w:type="pct"/>
          </w:tcPr>
          <w:p w14:paraId="0B8A0CB0">
            <w:pPr>
              <w:overflowPunct w:val="0"/>
              <w:jc w:val="center"/>
              <w:rPr>
                <w:rFonts w:ascii="宋体" w:hAnsi="宋体" w:cs="宋体"/>
              </w:rPr>
            </w:pPr>
            <w:r>
              <w:rPr>
                <w:rFonts w:hint="eastAsia" w:ascii="宋体" w:hAnsi="宋体" w:cs="宋体"/>
              </w:rPr>
              <w:t>5</w:t>
            </w:r>
          </w:p>
        </w:tc>
        <w:tc>
          <w:tcPr>
            <w:tcW w:w="714" w:type="pct"/>
          </w:tcPr>
          <w:p w14:paraId="03D9335F">
            <w:pPr>
              <w:overflowPunct w:val="0"/>
              <w:jc w:val="center"/>
              <w:rPr>
                <w:rFonts w:ascii="宋体" w:hAnsi="宋体" w:cs="宋体"/>
              </w:rPr>
            </w:pPr>
            <w:r>
              <w:rPr>
                <w:rFonts w:hint="eastAsia" w:ascii="宋体" w:hAnsi="宋体" w:cs="宋体"/>
              </w:rPr>
              <w:t>10</w:t>
            </w:r>
          </w:p>
        </w:tc>
        <w:tc>
          <w:tcPr>
            <w:tcW w:w="714" w:type="pct"/>
          </w:tcPr>
          <w:p w14:paraId="5CDDA1D1">
            <w:pPr>
              <w:overflowPunct w:val="0"/>
              <w:jc w:val="center"/>
              <w:rPr>
                <w:rFonts w:ascii="宋体" w:hAnsi="宋体" w:cs="宋体"/>
              </w:rPr>
            </w:pPr>
            <w:r>
              <w:rPr>
                <w:rFonts w:hint="eastAsia" w:ascii="宋体" w:hAnsi="宋体" w:cs="宋体"/>
              </w:rPr>
              <w:t>50</w:t>
            </w:r>
          </w:p>
        </w:tc>
      </w:tr>
      <w:tr w14:paraId="7EDC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continue"/>
          </w:tcPr>
          <w:p w14:paraId="6FE4B631">
            <w:pPr>
              <w:jc w:val="right"/>
              <w:rPr>
                <w:rFonts w:ascii="宋体" w:hAnsi="宋体" w:cs="宋体"/>
              </w:rPr>
            </w:pPr>
          </w:p>
        </w:tc>
        <w:tc>
          <w:tcPr>
            <w:tcW w:w="571" w:type="pct"/>
            <w:vMerge w:val="continue"/>
          </w:tcPr>
          <w:p w14:paraId="624C94FE">
            <w:pPr>
              <w:jc w:val="right"/>
              <w:rPr>
                <w:rFonts w:ascii="宋体" w:hAnsi="宋体" w:cs="宋体"/>
              </w:rPr>
            </w:pPr>
          </w:p>
        </w:tc>
        <w:tc>
          <w:tcPr>
            <w:tcW w:w="858" w:type="pct"/>
            <w:vMerge w:val="continue"/>
          </w:tcPr>
          <w:p w14:paraId="25AF7D46">
            <w:pPr>
              <w:jc w:val="right"/>
              <w:rPr>
                <w:rFonts w:ascii="宋体" w:hAnsi="宋体" w:cs="宋体"/>
              </w:rPr>
            </w:pPr>
          </w:p>
        </w:tc>
        <w:tc>
          <w:tcPr>
            <w:tcW w:w="714" w:type="pct"/>
          </w:tcPr>
          <w:p w14:paraId="29DF7D30">
            <w:pPr>
              <w:overflowPunct w:val="0"/>
              <w:jc w:val="center"/>
              <w:rPr>
                <w:rFonts w:ascii="宋体" w:hAnsi="宋体" w:cs="宋体"/>
              </w:rPr>
            </w:pPr>
            <w:r>
              <w:rPr>
                <w:rFonts w:hint="eastAsia" w:ascii="宋体" w:hAnsi="宋体" w:cs="宋体"/>
              </w:rPr>
              <w:t>10-20</w:t>
            </w:r>
          </w:p>
        </w:tc>
        <w:tc>
          <w:tcPr>
            <w:tcW w:w="714" w:type="pct"/>
          </w:tcPr>
          <w:p w14:paraId="2BF807A7">
            <w:pPr>
              <w:overflowPunct w:val="0"/>
              <w:jc w:val="center"/>
              <w:rPr>
                <w:rFonts w:ascii="宋体" w:hAnsi="宋体" w:cs="宋体"/>
              </w:rPr>
            </w:pPr>
            <w:r>
              <w:rPr>
                <w:rFonts w:hint="eastAsia" w:ascii="宋体" w:hAnsi="宋体" w:cs="宋体"/>
              </w:rPr>
              <w:t>2</w:t>
            </w:r>
          </w:p>
        </w:tc>
        <w:tc>
          <w:tcPr>
            <w:tcW w:w="714" w:type="pct"/>
          </w:tcPr>
          <w:p w14:paraId="741E379B">
            <w:pPr>
              <w:overflowPunct w:val="0"/>
              <w:jc w:val="center"/>
              <w:rPr>
                <w:rFonts w:ascii="宋体" w:hAnsi="宋体" w:cs="宋体"/>
              </w:rPr>
            </w:pPr>
            <w:r>
              <w:rPr>
                <w:rFonts w:hint="eastAsia" w:ascii="宋体" w:hAnsi="宋体" w:cs="宋体"/>
              </w:rPr>
              <w:t>20</w:t>
            </w:r>
          </w:p>
        </w:tc>
        <w:tc>
          <w:tcPr>
            <w:tcW w:w="714" w:type="pct"/>
          </w:tcPr>
          <w:p w14:paraId="6BC3B1DF">
            <w:pPr>
              <w:overflowPunct w:val="0"/>
              <w:jc w:val="center"/>
              <w:rPr>
                <w:rFonts w:ascii="宋体" w:hAnsi="宋体" w:cs="宋体"/>
              </w:rPr>
            </w:pPr>
            <w:r>
              <w:rPr>
                <w:rFonts w:hint="eastAsia" w:ascii="宋体" w:hAnsi="宋体" w:cs="宋体"/>
              </w:rPr>
              <w:t>40</w:t>
            </w:r>
          </w:p>
        </w:tc>
      </w:tr>
      <w:tr w14:paraId="5100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continue"/>
          </w:tcPr>
          <w:p w14:paraId="4342486B">
            <w:pPr>
              <w:jc w:val="right"/>
              <w:rPr>
                <w:rFonts w:ascii="宋体" w:hAnsi="宋体" w:cs="宋体"/>
              </w:rPr>
            </w:pPr>
          </w:p>
        </w:tc>
        <w:tc>
          <w:tcPr>
            <w:tcW w:w="571" w:type="pct"/>
            <w:vMerge w:val="continue"/>
          </w:tcPr>
          <w:p w14:paraId="4F124A8D">
            <w:pPr>
              <w:jc w:val="right"/>
              <w:rPr>
                <w:rFonts w:ascii="宋体" w:hAnsi="宋体" w:cs="宋体"/>
              </w:rPr>
            </w:pPr>
          </w:p>
        </w:tc>
        <w:tc>
          <w:tcPr>
            <w:tcW w:w="858" w:type="pct"/>
            <w:vMerge w:val="continue"/>
          </w:tcPr>
          <w:p w14:paraId="7C8C34EA">
            <w:pPr>
              <w:jc w:val="right"/>
              <w:rPr>
                <w:rFonts w:ascii="宋体" w:hAnsi="宋体" w:cs="宋体"/>
              </w:rPr>
            </w:pPr>
          </w:p>
        </w:tc>
        <w:tc>
          <w:tcPr>
            <w:tcW w:w="714" w:type="pct"/>
          </w:tcPr>
          <w:p w14:paraId="56C08F0E">
            <w:pPr>
              <w:overflowPunct w:val="0"/>
              <w:jc w:val="center"/>
              <w:rPr>
                <w:rFonts w:ascii="宋体" w:hAnsi="宋体" w:cs="宋体"/>
              </w:rPr>
            </w:pPr>
            <w:r>
              <w:rPr>
                <w:rFonts w:hint="eastAsia" w:ascii="宋体" w:hAnsi="宋体" w:cs="宋体"/>
              </w:rPr>
              <w:t>20-30</w:t>
            </w:r>
          </w:p>
        </w:tc>
        <w:tc>
          <w:tcPr>
            <w:tcW w:w="714" w:type="pct"/>
          </w:tcPr>
          <w:p w14:paraId="13D8586F">
            <w:pPr>
              <w:overflowPunct w:val="0"/>
              <w:jc w:val="center"/>
              <w:rPr>
                <w:rFonts w:ascii="宋体" w:hAnsi="宋体" w:cs="宋体"/>
              </w:rPr>
            </w:pPr>
            <w:r>
              <w:rPr>
                <w:rFonts w:hint="eastAsia" w:ascii="宋体" w:hAnsi="宋体" w:cs="宋体"/>
              </w:rPr>
              <w:t>1</w:t>
            </w:r>
          </w:p>
        </w:tc>
        <w:tc>
          <w:tcPr>
            <w:tcW w:w="714" w:type="pct"/>
          </w:tcPr>
          <w:p w14:paraId="6F83D3BD">
            <w:pPr>
              <w:overflowPunct w:val="0"/>
              <w:jc w:val="center"/>
              <w:rPr>
                <w:rFonts w:ascii="宋体" w:hAnsi="宋体" w:cs="宋体"/>
              </w:rPr>
            </w:pPr>
            <w:r>
              <w:rPr>
                <w:rFonts w:hint="eastAsia" w:ascii="宋体" w:hAnsi="宋体" w:cs="宋体"/>
              </w:rPr>
              <w:t>30</w:t>
            </w:r>
          </w:p>
        </w:tc>
        <w:tc>
          <w:tcPr>
            <w:tcW w:w="714" w:type="pct"/>
          </w:tcPr>
          <w:p w14:paraId="7DB29A28">
            <w:pPr>
              <w:overflowPunct w:val="0"/>
              <w:jc w:val="center"/>
              <w:rPr>
                <w:rFonts w:ascii="宋体" w:hAnsi="宋体" w:cs="宋体"/>
              </w:rPr>
            </w:pPr>
            <w:r>
              <w:rPr>
                <w:rFonts w:hint="eastAsia" w:ascii="宋体" w:hAnsi="宋体" w:cs="宋体"/>
              </w:rPr>
              <w:t>30</w:t>
            </w:r>
          </w:p>
        </w:tc>
      </w:tr>
      <w:tr w14:paraId="463B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continue"/>
          </w:tcPr>
          <w:p w14:paraId="2452AE80">
            <w:pPr>
              <w:jc w:val="right"/>
              <w:rPr>
                <w:rFonts w:ascii="宋体" w:hAnsi="宋体" w:cs="宋体"/>
              </w:rPr>
            </w:pPr>
          </w:p>
        </w:tc>
        <w:tc>
          <w:tcPr>
            <w:tcW w:w="571" w:type="pct"/>
            <w:vMerge w:val="restart"/>
          </w:tcPr>
          <w:p w14:paraId="794038E4">
            <w:pPr>
              <w:overflowPunct w:val="0"/>
              <w:jc w:val="center"/>
              <w:rPr>
                <w:rFonts w:ascii="宋体" w:hAnsi="宋体" w:cs="宋体"/>
              </w:rPr>
            </w:pPr>
            <w:r>
              <w:rPr>
                <w:rFonts w:hint="eastAsia" w:ascii="宋体" w:hAnsi="宋体" w:cs="宋体"/>
              </w:rPr>
              <w:t>高级技工</w:t>
            </w:r>
          </w:p>
        </w:tc>
        <w:tc>
          <w:tcPr>
            <w:tcW w:w="858" w:type="pct"/>
            <w:vMerge w:val="restart"/>
          </w:tcPr>
          <w:p w14:paraId="5724E390">
            <w:pPr>
              <w:overflowPunct w:val="0"/>
              <w:jc w:val="center"/>
              <w:rPr>
                <w:rFonts w:ascii="宋体" w:hAnsi="宋体" w:cs="宋体"/>
              </w:rPr>
            </w:pPr>
            <w:r>
              <w:rPr>
                <w:rFonts w:hint="eastAsia" w:ascii="宋体" w:hAnsi="宋体" w:cs="宋体"/>
              </w:rPr>
              <w:t>50</w:t>
            </w:r>
          </w:p>
        </w:tc>
        <w:tc>
          <w:tcPr>
            <w:tcW w:w="714" w:type="pct"/>
          </w:tcPr>
          <w:p w14:paraId="02A6CF9B">
            <w:pPr>
              <w:overflowPunct w:val="0"/>
              <w:jc w:val="center"/>
              <w:rPr>
                <w:rFonts w:ascii="宋体" w:hAnsi="宋体" w:cs="宋体"/>
              </w:rPr>
            </w:pPr>
            <w:r>
              <w:rPr>
                <w:rFonts w:hint="eastAsia" w:ascii="宋体" w:hAnsi="宋体" w:cs="宋体"/>
              </w:rPr>
              <w:t>1-10</w:t>
            </w:r>
          </w:p>
        </w:tc>
        <w:tc>
          <w:tcPr>
            <w:tcW w:w="714" w:type="pct"/>
          </w:tcPr>
          <w:p w14:paraId="69C228FB">
            <w:pPr>
              <w:overflowPunct w:val="0"/>
              <w:jc w:val="center"/>
              <w:rPr>
                <w:rFonts w:ascii="宋体" w:hAnsi="宋体" w:cs="宋体"/>
              </w:rPr>
            </w:pPr>
            <w:r>
              <w:rPr>
                <w:rFonts w:hint="eastAsia" w:ascii="宋体" w:hAnsi="宋体" w:cs="宋体"/>
              </w:rPr>
              <w:t>20</w:t>
            </w:r>
          </w:p>
        </w:tc>
        <w:tc>
          <w:tcPr>
            <w:tcW w:w="714" w:type="pct"/>
          </w:tcPr>
          <w:p w14:paraId="3CC5317F">
            <w:pPr>
              <w:overflowPunct w:val="0"/>
              <w:jc w:val="center"/>
              <w:rPr>
                <w:rFonts w:ascii="宋体" w:hAnsi="宋体" w:cs="宋体"/>
              </w:rPr>
            </w:pPr>
            <w:r>
              <w:rPr>
                <w:rFonts w:hint="eastAsia" w:ascii="宋体" w:hAnsi="宋体" w:cs="宋体"/>
              </w:rPr>
              <w:t>8</w:t>
            </w:r>
          </w:p>
        </w:tc>
        <w:tc>
          <w:tcPr>
            <w:tcW w:w="714" w:type="pct"/>
          </w:tcPr>
          <w:p w14:paraId="0BAAB10C">
            <w:pPr>
              <w:overflowPunct w:val="0"/>
              <w:jc w:val="center"/>
              <w:rPr>
                <w:rFonts w:ascii="宋体" w:hAnsi="宋体" w:cs="宋体"/>
              </w:rPr>
            </w:pPr>
            <w:r>
              <w:rPr>
                <w:rFonts w:hint="eastAsia" w:ascii="宋体" w:hAnsi="宋体" w:cs="宋体"/>
              </w:rPr>
              <w:t>160</w:t>
            </w:r>
          </w:p>
        </w:tc>
      </w:tr>
      <w:tr w14:paraId="0028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continue"/>
          </w:tcPr>
          <w:p w14:paraId="70AD7167">
            <w:pPr>
              <w:jc w:val="right"/>
              <w:rPr>
                <w:rFonts w:ascii="宋体" w:hAnsi="宋体" w:cs="宋体"/>
              </w:rPr>
            </w:pPr>
          </w:p>
        </w:tc>
        <w:tc>
          <w:tcPr>
            <w:tcW w:w="571" w:type="pct"/>
            <w:vMerge w:val="continue"/>
          </w:tcPr>
          <w:p w14:paraId="5F78EA26">
            <w:pPr>
              <w:jc w:val="right"/>
              <w:rPr>
                <w:rFonts w:ascii="宋体" w:hAnsi="宋体" w:cs="宋体"/>
              </w:rPr>
            </w:pPr>
          </w:p>
        </w:tc>
        <w:tc>
          <w:tcPr>
            <w:tcW w:w="858" w:type="pct"/>
            <w:vMerge w:val="continue"/>
          </w:tcPr>
          <w:p w14:paraId="2E901897">
            <w:pPr>
              <w:jc w:val="right"/>
              <w:rPr>
                <w:rFonts w:ascii="宋体" w:hAnsi="宋体" w:cs="宋体"/>
              </w:rPr>
            </w:pPr>
          </w:p>
        </w:tc>
        <w:tc>
          <w:tcPr>
            <w:tcW w:w="714" w:type="pct"/>
          </w:tcPr>
          <w:p w14:paraId="02F35272">
            <w:pPr>
              <w:overflowPunct w:val="0"/>
              <w:jc w:val="center"/>
              <w:rPr>
                <w:rFonts w:ascii="宋体" w:hAnsi="宋体" w:cs="宋体"/>
              </w:rPr>
            </w:pPr>
            <w:r>
              <w:rPr>
                <w:rFonts w:hint="eastAsia" w:ascii="宋体" w:hAnsi="宋体" w:cs="宋体"/>
              </w:rPr>
              <w:t>10-20</w:t>
            </w:r>
          </w:p>
        </w:tc>
        <w:tc>
          <w:tcPr>
            <w:tcW w:w="714" w:type="pct"/>
          </w:tcPr>
          <w:p w14:paraId="41054772">
            <w:pPr>
              <w:overflowPunct w:val="0"/>
              <w:jc w:val="center"/>
              <w:rPr>
                <w:rFonts w:ascii="宋体" w:hAnsi="宋体" w:cs="宋体"/>
              </w:rPr>
            </w:pPr>
            <w:r>
              <w:rPr>
                <w:rFonts w:hint="eastAsia" w:ascii="宋体" w:hAnsi="宋体" w:cs="宋体"/>
              </w:rPr>
              <w:t>10</w:t>
            </w:r>
          </w:p>
        </w:tc>
        <w:tc>
          <w:tcPr>
            <w:tcW w:w="714" w:type="pct"/>
          </w:tcPr>
          <w:p w14:paraId="2198C40D">
            <w:pPr>
              <w:overflowPunct w:val="0"/>
              <w:jc w:val="center"/>
              <w:rPr>
                <w:rFonts w:ascii="宋体" w:hAnsi="宋体" w:cs="宋体"/>
              </w:rPr>
            </w:pPr>
            <w:r>
              <w:rPr>
                <w:rFonts w:hint="eastAsia" w:ascii="宋体" w:hAnsi="宋体" w:cs="宋体"/>
              </w:rPr>
              <w:t>18</w:t>
            </w:r>
          </w:p>
        </w:tc>
        <w:tc>
          <w:tcPr>
            <w:tcW w:w="714" w:type="pct"/>
          </w:tcPr>
          <w:p w14:paraId="3DA566E6">
            <w:pPr>
              <w:overflowPunct w:val="0"/>
              <w:jc w:val="center"/>
              <w:rPr>
                <w:rFonts w:ascii="宋体" w:hAnsi="宋体" w:cs="宋体"/>
              </w:rPr>
            </w:pPr>
            <w:r>
              <w:rPr>
                <w:rFonts w:hint="eastAsia" w:ascii="宋体" w:hAnsi="宋体" w:cs="宋体"/>
              </w:rPr>
              <w:t>180</w:t>
            </w:r>
          </w:p>
        </w:tc>
      </w:tr>
      <w:tr w14:paraId="2B09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continue"/>
          </w:tcPr>
          <w:p w14:paraId="61AB4167">
            <w:pPr>
              <w:jc w:val="right"/>
              <w:rPr>
                <w:rFonts w:ascii="宋体" w:hAnsi="宋体" w:cs="宋体"/>
              </w:rPr>
            </w:pPr>
          </w:p>
        </w:tc>
        <w:tc>
          <w:tcPr>
            <w:tcW w:w="571" w:type="pct"/>
            <w:vMerge w:val="continue"/>
          </w:tcPr>
          <w:p w14:paraId="4C3433B0">
            <w:pPr>
              <w:jc w:val="right"/>
              <w:rPr>
                <w:rFonts w:ascii="宋体" w:hAnsi="宋体" w:cs="宋体"/>
              </w:rPr>
            </w:pPr>
          </w:p>
        </w:tc>
        <w:tc>
          <w:tcPr>
            <w:tcW w:w="858" w:type="pct"/>
            <w:vMerge w:val="continue"/>
          </w:tcPr>
          <w:p w14:paraId="777077D9">
            <w:pPr>
              <w:jc w:val="right"/>
              <w:rPr>
                <w:rFonts w:ascii="宋体" w:hAnsi="宋体" w:cs="宋体"/>
              </w:rPr>
            </w:pPr>
          </w:p>
        </w:tc>
        <w:tc>
          <w:tcPr>
            <w:tcW w:w="714" w:type="pct"/>
          </w:tcPr>
          <w:p w14:paraId="44EB2B03">
            <w:pPr>
              <w:overflowPunct w:val="0"/>
              <w:jc w:val="center"/>
              <w:rPr>
                <w:rFonts w:ascii="宋体" w:hAnsi="宋体" w:cs="宋体"/>
              </w:rPr>
            </w:pPr>
            <w:r>
              <w:rPr>
                <w:rFonts w:hint="eastAsia" w:ascii="宋体" w:hAnsi="宋体" w:cs="宋体"/>
              </w:rPr>
              <w:t>20-30</w:t>
            </w:r>
          </w:p>
        </w:tc>
        <w:tc>
          <w:tcPr>
            <w:tcW w:w="714" w:type="pct"/>
          </w:tcPr>
          <w:p w14:paraId="01EF3ADF">
            <w:pPr>
              <w:overflowPunct w:val="0"/>
              <w:jc w:val="center"/>
              <w:rPr>
                <w:rFonts w:ascii="宋体" w:hAnsi="宋体" w:cs="宋体"/>
              </w:rPr>
            </w:pPr>
            <w:r>
              <w:rPr>
                <w:rFonts w:hint="eastAsia" w:ascii="宋体" w:hAnsi="宋体" w:cs="宋体"/>
              </w:rPr>
              <w:t>5</w:t>
            </w:r>
          </w:p>
        </w:tc>
        <w:tc>
          <w:tcPr>
            <w:tcW w:w="714" w:type="pct"/>
          </w:tcPr>
          <w:p w14:paraId="3B1EB23C">
            <w:pPr>
              <w:overflowPunct w:val="0"/>
              <w:jc w:val="center"/>
              <w:rPr>
                <w:rFonts w:ascii="宋体" w:hAnsi="宋体" w:cs="宋体"/>
              </w:rPr>
            </w:pPr>
            <w:r>
              <w:rPr>
                <w:rFonts w:hint="eastAsia" w:ascii="宋体" w:hAnsi="宋体" w:cs="宋体"/>
              </w:rPr>
              <w:t>28</w:t>
            </w:r>
          </w:p>
        </w:tc>
        <w:tc>
          <w:tcPr>
            <w:tcW w:w="714" w:type="pct"/>
          </w:tcPr>
          <w:p w14:paraId="3BD602F0">
            <w:pPr>
              <w:overflowPunct w:val="0"/>
              <w:jc w:val="center"/>
              <w:rPr>
                <w:rFonts w:ascii="宋体" w:hAnsi="宋体" w:cs="宋体"/>
              </w:rPr>
            </w:pPr>
            <w:r>
              <w:rPr>
                <w:rFonts w:hint="eastAsia" w:ascii="宋体" w:hAnsi="宋体" w:cs="宋体"/>
              </w:rPr>
              <w:t>140</w:t>
            </w:r>
          </w:p>
        </w:tc>
      </w:tr>
      <w:tr w14:paraId="6F65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continue"/>
          </w:tcPr>
          <w:p w14:paraId="45E29034">
            <w:pPr>
              <w:jc w:val="right"/>
              <w:rPr>
                <w:rFonts w:ascii="宋体" w:hAnsi="宋体" w:cs="宋体"/>
              </w:rPr>
            </w:pPr>
          </w:p>
        </w:tc>
        <w:tc>
          <w:tcPr>
            <w:tcW w:w="571" w:type="pct"/>
            <w:vMerge w:val="restart"/>
          </w:tcPr>
          <w:p w14:paraId="4005406F">
            <w:pPr>
              <w:overflowPunct w:val="0"/>
              <w:jc w:val="center"/>
              <w:rPr>
                <w:rFonts w:ascii="宋体" w:hAnsi="宋体" w:cs="宋体"/>
              </w:rPr>
            </w:pPr>
            <w:r>
              <w:rPr>
                <w:rFonts w:hint="eastAsia" w:ascii="宋体" w:hAnsi="宋体" w:cs="宋体"/>
              </w:rPr>
              <w:t>一般技工</w:t>
            </w:r>
          </w:p>
        </w:tc>
        <w:tc>
          <w:tcPr>
            <w:tcW w:w="858" w:type="pct"/>
            <w:vMerge w:val="restart"/>
          </w:tcPr>
          <w:p w14:paraId="3D157D33">
            <w:pPr>
              <w:overflowPunct w:val="0"/>
              <w:jc w:val="center"/>
              <w:rPr>
                <w:rFonts w:ascii="宋体" w:hAnsi="宋体" w:cs="宋体"/>
              </w:rPr>
            </w:pPr>
            <w:r>
              <w:rPr>
                <w:rFonts w:hint="eastAsia" w:ascii="宋体" w:hAnsi="宋体" w:cs="宋体"/>
              </w:rPr>
              <w:t>100</w:t>
            </w:r>
          </w:p>
        </w:tc>
        <w:tc>
          <w:tcPr>
            <w:tcW w:w="714" w:type="pct"/>
          </w:tcPr>
          <w:p w14:paraId="3C92C25A">
            <w:pPr>
              <w:overflowPunct w:val="0"/>
              <w:jc w:val="center"/>
              <w:rPr>
                <w:rFonts w:ascii="宋体" w:hAnsi="宋体" w:cs="宋体"/>
              </w:rPr>
            </w:pPr>
            <w:r>
              <w:rPr>
                <w:rFonts w:hint="eastAsia" w:ascii="宋体" w:hAnsi="宋体" w:cs="宋体"/>
              </w:rPr>
              <w:t>1-10</w:t>
            </w:r>
          </w:p>
        </w:tc>
        <w:tc>
          <w:tcPr>
            <w:tcW w:w="714" w:type="pct"/>
          </w:tcPr>
          <w:p w14:paraId="059401DC">
            <w:pPr>
              <w:overflowPunct w:val="0"/>
              <w:jc w:val="center"/>
              <w:rPr>
                <w:rFonts w:ascii="宋体" w:hAnsi="宋体" w:cs="宋体"/>
              </w:rPr>
            </w:pPr>
            <w:r>
              <w:rPr>
                <w:rFonts w:hint="eastAsia" w:ascii="宋体" w:hAnsi="宋体" w:cs="宋体"/>
              </w:rPr>
              <w:t>50</w:t>
            </w:r>
          </w:p>
        </w:tc>
        <w:tc>
          <w:tcPr>
            <w:tcW w:w="714" w:type="pct"/>
          </w:tcPr>
          <w:p w14:paraId="26205762">
            <w:pPr>
              <w:overflowPunct w:val="0"/>
              <w:jc w:val="center"/>
              <w:rPr>
                <w:rFonts w:ascii="宋体" w:hAnsi="宋体" w:cs="宋体"/>
              </w:rPr>
            </w:pPr>
            <w:r>
              <w:rPr>
                <w:rFonts w:hint="eastAsia" w:ascii="宋体" w:hAnsi="宋体" w:cs="宋体"/>
              </w:rPr>
              <w:t>5</w:t>
            </w:r>
          </w:p>
        </w:tc>
        <w:tc>
          <w:tcPr>
            <w:tcW w:w="714" w:type="pct"/>
          </w:tcPr>
          <w:p w14:paraId="0BAF1B09">
            <w:pPr>
              <w:overflowPunct w:val="0"/>
              <w:jc w:val="center"/>
              <w:rPr>
                <w:rFonts w:ascii="宋体" w:hAnsi="宋体" w:cs="宋体"/>
              </w:rPr>
            </w:pPr>
            <w:r>
              <w:rPr>
                <w:rFonts w:hint="eastAsia" w:ascii="宋体" w:hAnsi="宋体" w:cs="宋体"/>
              </w:rPr>
              <w:t>250</w:t>
            </w:r>
          </w:p>
        </w:tc>
      </w:tr>
      <w:tr w14:paraId="34A6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pct"/>
            <w:vMerge w:val="continue"/>
          </w:tcPr>
          <w:p w14:paraId="22FF11B3">
            <w:pPr>
              <w:jc w:val="right"/>
              <w:rPr>
                <w:rFonts w:ascii="宋体" w:hAnsi="宋体" w:cs="宋体"/>
              </w:rPr>
            </w:pPr>
          </w:p>
        </w:tc>
        <w:tc>
          <w:tcPr>
            <w:tcW w:w="571" w:type="pct"/>
            <w:vMerge w:val="continue"/>
          </w:tcPr>
          <w:p w14:paraId="2F0253BF">
            <w:pPr>
              <w:jc w:val="right"/>
              <w:rPr>
                <w:rFonts w:ascii="宋体" w:hAnsi="宋体" w:cs="宋体"/>
              </w:rPr>
            </w:pPr>
          </w:p>
        </w:tc>
        <w:tc>
          <w:tcPr>
            <w:tcW w:w="858" w:type="pct"/>
            <w:vMerge w:val="continue"/>
          </w:tcPr>
          <w:p w14:paraId="77C62EB1">
            <w:pPr>
              <w:jc w:val="right"/>
              <w:rPr>
                <w:rFonts w:ascii="宋体" w:hAnsi="宋体" w:cs="宋体"/>
              </w:rPr>
            </w:pPr>
          </w:p>
        </w:tc>
        <w:tc>
          <w:tcPr>
            <w:tcW w:w="714" w:type="pct"/>
          </w:tcPr>
          <w:p w14:paraId="48391997">
            <w:pPr>
              <w:overflowPunct w:val="0"/>
              <w:jc w:val="center"/>
              <w:rPr>
                <w:rFonts w:ascii="宋体" w:hAnsi="宋体" w:cs="宋体"/>
              </w:rPr>
            </w:pPr>
            <w:r>
              <w:rPr>
                <w:rFonts w:hint="eastAsia" w:ascii="宋体" w:hAnsi="宋体" w:cs="宋体"/>
              </w:rPr>
              <w:t>10-20</w:t>
            </w:r>
          </w:p>
        </w:tc>
        <w:tc>
          <w:tcPr>
            <w:tcW w:w="714" w:type="pct"/>
          </w:tcPr>
          <w:p w14:paraId="1B0EE28B">
            <w:pPr>
              <w:overflowPunct w:val="0"/>
              <w:jc w:val="center"/>
              <w:rPr>
                <w:rFonts w:ascii="宋体" w:hAnsi="宋体" w:cs="宋体"/>
              </w:rPr>
            </w:pPr>
            <w:r>
              <w:rPr>
                <w:rFonts w:hint="eastAsia" w:ascii="宋体" w:hAnsi="宋体" w:cs="宋体"/>
              </w:rPr>
              <w:t>20</w:t>
            </w:r>
          </w:p>
        </w:tc>
        <w:tc>
          <w:tcPr>
            <w:tcW w:w="714" w:type="pct"/>
          </w:tcPr>
          <w:p w14:paraId="0A611F4D">
            <w:pPr>
              <w:overflowPunct w:val="0"/>
              <w:jc w:val="center"/>
              <w:rPr>
                <w:rFonts w:ascii="宋体" w:hAnsi="宋体" w:cs="宋体"/>
              </w:rPr>
            </w:pPr>
            <w:r>
              <w:rPr>
                <w:rFonts w:hint="eastAsia" w:ascii="宋体" w:hAnsi="宋体" w:cs="宋体"/>
              </w:rPr>
              <w:t>15</w:t>
            </w:r>
          </w:p>
        </w:tc>
        <w:tc>
          <w:tcPr>
            <w:tcW w:w="714" w:type="pct"/>
          </w:tcPr>
          <w:p w14:paraId="483333EB">
            <w:pPr>
              <w:overflowPunct w:val="0"/>
              <w:jc w:val="center"/>
              <w:rPr>
                <w:rFonts w:ascii="宋体" w:hAnsi="宋体" w:cs="宋体"/>
              </w:rPr>
            </w:pPr>
            <w:r>
              <w:rPr>
                <w:rFonts w:hint="eastAsia" w:ascii="宋体" w:hAnsi="宋体" w:cs="宋体"/>
              </w:rPr>
              <w:t>300</w:t>
            </w:r>
          </w:p>
        </w:tc>
      </w:tr>
      <w:tr w14:paraId="2A6D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vMerge w:val="continue"/>
          </w:tcPr>
          <w:p w14:paraId="7877D824">
            <w:pPr>
              <w:jc w:val="right"/>
              <w:rPr>
                <w:rFonts w:ascii="宋体" w:hAnsi="宋体" w:cs="宋体"/>
              </w:rPr>
            </w:pPr>
          </w:p>
        </w:tc>
        <w:tc>
          <w:tcPr>
            <w:tcW w:w="571" w:type="pct"/>
            <w:vMerge w:val="continue"/>
          </w:tcPr>
          <w:p w14:paraId="41073A1F">
            <w:pPr>
              <w:jc w:val="right"/>
              <w:rPr>
                <w:rFonts w:ascii="宋体" w:hAnsi="宋体" w:cs="宋体"/>
              </w:rPr>
            </w:pPr>
          </w:p>
        </w:tc>
        <w:tc>
          <w:tcPr>
            <w:tcW w:w="858" w:type="pct"/>
            <w:vMerge w:val="continue"/>
          </w:tcPr>
          <w:p w14:paraId="2D395F83">
            <w:pPr>
              <w:jc w:val="right"/>
              <w:rPr>
                <w:rFonts w:ascii="宋体" w:hAnsi="宋体" w:cs="宋体"/>
              </w:rPr>
            </w:pPr>
          </w:p>
        </w:tc>
        <w:tc>
          <w:tcPr>
            <w:tcW w:w="714" w:type="pct"/>
          </w:tcPr>
          <w:p w14:paraId="6D71534A">
            <w:pPr>
              <w:overflowPunct w:val="0"/>
              <w:jc w:val="center"/>
              <w:rPr>
                <w:rFonts w:ascii="宋体" w:hAnsi="宋体" w:cs="宋体"/>
              </w:rPr>
            </w:pPr>
            <w:r>
              <w:rPr>
                <w:rFonts w:hint="eastAsia" w:ascii="宋体" w:hAnsi="宋体" w:cs="宋体"/>
              </w:rPr>
              <w:t>20-30</w:t>
            </w:r>
          </w:p>
        </w:tc>
        <w:tc>
          <w:tcPr>
            <w:tcW w:w="714" w:type="pct"/>
          </w:tcPr>
          <w:p w14:paraId="51747C93">
            <w:pPr>
              <w:overflowPunct w:val="0"/>
              <w:jc w:val="center"/>
              <w:rPr>
                <w:rFonts w:ascii="宋体" w:hAnsi="宋体" w:cs="宋体"/>
              </w:rPr>
            </w:pPr>
            <w:r>
              <w:rPr>
                <w:rFonts w:hint="eastAsia" w:ascii="宋体" w:hAnsi="宋体" w:cs="宋体"/>
              </w:rPr>
              <w:t>10</w:t>
            </w:r>
          </w:p>
        </w:tc>
        <w:tc>
          <w:tcPr>
            <w:tcW w:w="714" w:type="pct"/>
          </w:tcPr>
          <w:p w14:paraId="5B88E6E7">
            <w:pPr>
              <w:overflowPunct w:val="0"/>
              <w:jc w:val="center"/>
              <w:rPr>
                <w:rFonts w:ascii="宋体" w:hAnsi="宋体" w:cs="宋体"/>
              </w:rPr>
            </w:pPr>
            <w:r>
              <w:rPr>
                <w:rFonts w:hint="eastAsia" w:ascii="宋体" w:hAnsi="宋体" w:cs="宋体"/>
              </w:rPr>
              <w:t>25</w:t>
            </w:r>
          </w:p>
        </w:tc>
        <w:tc>
          <w:tcPr>
            <w:tcW w:w="714" w:type="pct"/>
          </w:tcPr>
          <w:p w14:paraId="73F534E2">
            <w:pPr>
              <w:overflowPunct w:val="0"/>
              <w:jc w:val="center"/>
              <w:rPr>
                <w:rFonts w:ascii="宋体" w:hAnsi="宋体" w:cs="宋体"/>
              </w:rPr>
            </w:pPr>
            <w:r>
              <w:rPr>
                <w:rFonts w:hint="eastAsia" w:ascii="宋体" w:hAnsi="宋体" w:cs="宋体"/>
              </w:rPr>
              <w:t>250</w:t>
            </w:r>
          </w:p>
        </w:tc>
      </w:tr>
      <w:tr w14:paraId="3C09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pct"/>
          </w:tcPr>
          <w:p w14:paraId="2D09DF47">
            <w:pPr>
              <w:overflowPunct w:val="0"/>
              <w:jc w:val="center"/>
              <w:rPr>
                <w:rFonts w:ascii="宋体" w:hAnsi="宋体" w:cs="宋体"/>
              </w:rPr>
            </w:pPr>
            <w:r>
              <w:rPr>
                <w:rFonts w:hint="eastAsia" w:ascii="宋体" w:hAnsi="宋体" w:cs="宋体"/>
              </w:rPr>
              <w:t>合计</w:t>
            </w:r>
          </w:p>
        </w:tc>
        <w:tc>
          <w:tcPr>
            <w:tcW w:w="571" w:type="pct"/>
          </w:tcPr>
          <w:p w14:paraId="4A975A3A">
            <w:pPr>
              <w:jc w:val="right"/>
              <w:rPr>
                <w:rFonts w:ascii="宋体" w:hAnsi="宋体" w:cs="宋体"/>
              </w:rPr>
            </w:pPr>
          </w:p>
        </w:tc>
        <w:tc>
          <w:tcPr>
            <w:tcW w:w="858" w:type="pct"/>
          </w:tcPr>
          <w:p w14:paraId="7424E142">
            <w:pPr>
              <w:overflowPunct w:val="0"/>
              <w:jc w:val="center"/>
              <w:rPr>
                <w:rFonts w:ascii="宋体" w:hAnsi="宋体" w:cs="宋体"/>
              </w:rPr>
            </w:pPr>
            <w:r>
              <w:rPr>
                <w:rFonts w:hint="eastAsia" w:ascii="宋体" w:hAnsi="宋体" w:cs="宋体"/>
              </w:rPr>
              <w:t>160</w:t>
            </w:r>
          </w:p>
        </w:tc>
        <w:tc>
          <w:tcPr>
            <w:tcW w:w="714" w:type="pct"/>
          </w:tcPr>
          <w:p w14:paraId="39731EFD">
            <w:pPr>
              <w:jc w:val="right"/>
              <w:rPr>
                <w:rFonts w:ascii="宋体" w:hAnsi="宋体" w:cs="宋体"/>
              </w:rPr>
            </w:pPr>
          </w:p>
        </w:tc>
        <w:tc>
          <w:tcPr>
            <w:tcW w:w="714" w:type="pct"/>
          </w:tcPr>
          <w:p w14:paraId="1E6C22B3">
            <w:pPr>
              <w:overflowPunct w:val="0"/>
              <w:jc w:val="center"/>
              <w:rPr>
                <w:rFonts w:ascii="宋体" w:hAnsi="宋体" w:cs="宋体"/>
              </w:rPr>
            </w:pPr>
            <w:r>
              <w:rPr>
                <w:rFonts w:hint="eastAsia" w:ascii="宋体" w:hAnsi="宋体" w:cs="宋体"/>
              </w:rPr>
              <w:t>123</w:t>
            </w:r>
          </w:p>
        </w:tc>
        <w:tc>
          <w:tcPr>
            <w:tcW w:w="714" w:type="pct"/>
          </w:tcPr>
          <w:p w14:paraId="5C5C05DE">
            <w:pPr>
              <w:jc w:val="right"/>
              <w:rPr>
                <w:rFonts w:ascii="宋体" w:hAnsi="宋体" w:cs="宋体"/>
              </w:rPr>
            </w:pPr>
          </w:p>
        </w:tc>
        <w:tc>
          <w:tcPr>
            <w:tcW w:w="714" w:type="pct"/>
          </w:tcPr>
          <w:p w14:paraId="62610B6A">
            <w:pPr>
              <w:overflowPunct w:val="0"/>
              <w:jc w:val="center"/>
              <w:rPr>
                <w:rFonts w:ascii="宋体" w:hAnsi="宋体" w:cs="宋体"/>
              </w:rPr>
            </w:pPr>
            <w:r>
              <w:rPr>
                <w:rFonts w:hint="eastAsia" w:ascii="宋体" w:hAnsi="宋体" w:cs="宋体"/>
              </w:rPr>
              <w:t>1 400</w:t>
            </w:r>
          </w:p>
        </w:tc>
      </w:tr>
    </w:tbl>
    <w:p w14:paraId="2E07DA8F">
      <w:pPr>
        <w:jc w:val="left"/>
        <w:rPr>
          <w:rFonts w:ascii="宋体" w:hAnsi="宋体" w:cs="宋体"/>
        </w:rPr>
      </w:pPr>
      <w:r>
        <w:rPr>
          <w:rFonts w:hint="eastAsia" w:ascii="宋体" w:hAnsi="宋体" w:cs="宋体"/>
        </w:rPr>
        <w:t>根据表9-4，愿意接受辞退职工的最可能数量为123名，预计补偿总额为1 400万元，则企业2023年（辞退计划是2023年12月10日由董事会批准）应作如下账务处理：</w:t>
      </w:r>
    </w:p>
    <w:p w14:paraId="6077A997">
      <w:pPr>
        <w:jc w:val="left"/>
        <w:rPr>
          <w:rFonts w:ascii="宋体" w:hAnsi="宋体" w:cs="宋体"/>
        </w:rPr>
      </w:pPr>
      <w:r>
        <w:rPr>
          <w:rFonts w:hint="eastAsia" w:ascii="宋体" w:hAnsi="宋体" w:cs="宋体"/>
        </w:rPr>
        <w:t>借：管理费用</w:t>
      </w:r>
      <w:r>
        <w:rPr>
          <w:rFonts w:hint="eastAsia" w:ascii="宋体" w:hAnsi="宋体" w:cs="宋体"/>
        </w:rPr>
        <w:tab/>
      </w:r>
      <w:r>
        <w:rPr>
          <w:rFonts w:hint="eastAsia" w:ascii="宋体" w:hAnsi="宋体" w:cs="宋体"/>
        </w:rPr>
        <w:tab/>
      </w:r>
      <w:r>
        <w:rPr>
          <w:rFonts w:hint="eastAsia" w:ascii="宋体" w:hAnsi="宋体" w:cs="宋体"/>
        </w:rPr>
        <w:t xml:space="preserve">           14 000 000</w:t>
      </w:r>
    </w:p>
    <w:p w14:paraId="6AAAA202">
      <w:pPr>
        <w:jc w:val="left"/>
        <w:rPr>
          <w:rFonts w:hint="eastAsia" w:ascii="宋体" w:hAnsi="宋体" w:cs="宋体"/>
        </w:rPr>
      </w:pPr>
      <w:r>
        <w:rPr>
          <w:rFonts w:hint="eastAsia" w:ascii="宋体" w:hAnsi="宋体" w:cs="宋体"/>
        </w:rPr>
        <w:t xml:space="preserve">   贷：应付职工薪酬——辞退福利            14 000 000</w:t>
      </w:r>
    </w:p>
    <w:p w14:paraId="42AB13D1">
      <w:pPr>
        <w:jc w:val="left"/>
        <w:rPr>
          <w:rFonts w:ascii="宋体" w:hAnsi="宋体" w:cs="宋体"/>
        </w:rPr>
      </w:pPr>
      <w:r>
        <w:rPr>
          <w:rFonts w:hint="eastAsia" w:ascii="宋体" w:hAnsi="宋体" w:cs="宋体"/>
        </w:rPr>
        <w:t>（四）其他长期职工福利</w:t>
      </w:r>
    </w:p>
    <w:p w14:paraId="1D2271D7">
      <w:pPr>
        <w:jc w:val="left"/>
        <w:rPr>
          <w:rFonts w:ascii="宋体" w:hAnsi="宋体" w:cs="宋体"/>
        </w:rPr>
      </w:pPr>
      <w:r>
        <w:rPr>
          <w:rFonts w:hint="eastAsia" w:ascii="宋体" w:hAnsi="宋体" w:cs="宋体"/>
        </w:rPr>
        <w:t>企业向职工提供的其他长期职工福利，符合设定提存计划条件的，应当按照设定提存计划的有关规定进行会计处理。</w:t>
      </w:r>
    </w:p>
    <w:p w14:paraId="33B071CE">
      <w:pPr>
        <w:jc w:val="left"/>
        <w:rPr>
          <w:rFonts w:hint="eastAsia" w:ascii="宋体" w:hAnsi="宋体" w:cs="宋体"/>
        </w:rPr>
      </w:pPr>
      <w:r>
        <w:rPr>
          <w:rFonts w:hint="eastAsia" w:ascii="宋体" w:hAnsi="宋体" w:cs="宋体"/>
        </w:rPr>
        <w:t>企业向职工提供的其他长期职工福利，符合设定受益计划条件的，企业应当按照设定受益计划的有关规定，确认和计量其他长期职工福利净负债或净资产。</w:t>
      </w:r>
    </w:p>
    <w:p w14:paraId="1E44355E">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01BC9"/>
    <w:rsid w:val="000346EF"/>
    <w:rsid w:val="00054451"/>
    <w:rsid w:val="001026FE"/>
    <w:rsid w:val="00157E25"/>
    <w:rsid w:val="001F192C"/>
    <w:rsid w:val="002120BE"/>
    <w:rsid w:val="002A1721"/>
    <w:rsid w:val="002B3B70"/>
    <w:rsid w:val="00301308"/>
    <w:rsid w:val="00314F51"/>
    <w:rsid w:val="003B71E3"/>
    <w:rsid w:val="00401D9A"/>
    <w:rsid w:val="00676415"/>
    <w:rsid w:val="008C2AA6"/>
    <w:rsid w:val="009336F8"/>
    <w:rsid w:val="009A0471"/>
    <w:rsid w:val="00AA0512"/>
    <w:rsid w:val="00AE0A92"/>
    <w:rsid w:val="00B84AC7"/>
    <w:rsid w:val="00C06051"/>
    <w:rsid w:val="00D21F38"/>
    <w:rsid w:val="00D2703F"/>
    <w:rsid w:val="00DA6E56"/>
    <w:rsid w:val="04043713"/>
    <w:rsid w:val="06D24D7E"/>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78D06EA"/>
    <w:rsid w:val="387719FE"/>
    <w:rsid w:val="4B550AA9"/>
    <w:rsid w:val="514836E7"/>
    <w:rsid w:val="537D11A8"/>
    <w:rsid w:val="5FD6198B"/>
    <w:rsid w:val="5FEF7F48"/>
    <w:rsid w:val="61BBCD9D"/>
    <w:rsid w:val="67A535E2"/>
    <w:rsid w:val="68753EF9"/>
    <w:rsid w:val="68921DB9"/>
    <w:rsid w:val="6AC81AA4"/>
    <w:rsid w:val="6F315D76"/>
    <w:rsid w:val="77E724E8"/>
    <w:rsid w:val="7DA55C93"/>
    <w:rsid w:val="7F761A53"/>
    <w:rsid w:val="96EF1A7F"/>
    <w:rsid w:val="BBFFCDBE"/>
    <w:rsid w:val="BFFB5B3F"/>
    <w:rsid w:val="F7FFBA63"/>
    <w:rsid w:val="FD9368DD"/>
    <w:rsid w:val="FFFD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2200</Words>
  <Characters>2346</Characters>
  <Lines>20</Lines>
  <Paragraphs>5</Paragraphs>
  <TotalTime>0</TotalTime>
  <ScaleCrop>false</ScaleCrop>
  <LinksUpToDate>false</LinksUpToDate>
  <CharactersWithSpaces>2748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2025-04-15T06:53:00Z</dcterms:created>
  <dc:creator>Administrator</dc:creator>
  <cp:lastModifiedBy>万rui</cp:lastModifiedBy>
  <dcterms:modified xsi:type="dcterms:W3CDTF">2025-05-20T14:16:22Z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