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30DA" w:rsidRPr="003E0D06" w:rsidRDefault="00000000" w:rsidP="003E0D06">
      <w:pPr>
        <w:overflowPunct w:val="0"/>
        <w:jc w:val="center"/>
        <w:rPr>
          <w:rFonts w:ascii="宋体" w:hAnsi="宋体" w:cs="宋体" w:hint="eastAsia"/>
          <w:b/>
          <w:bCs/>
        </w:rPr>
      </w:pPr>
      <w:r>
        <w:rPr>
          <w:rFonts w:ascii="宋体" w:hAnsi="宋体" w:cs="宋体" w:hint="eastAsia"/>
          <w:b/>
          <w:bCs/>
        </w:rPr>
        <w:t>第二节  长期股权投资的后续计量</w:t>
      </w:r>
    </w:p>
    <w:p w:rsidR="002730DA" w:rsidRDefault="00000000">
      <w:pPr>
        <w:jc w:val="left"/>
        <w:rPr>
          <w:rFonts w:ascii="宋体" w:hAnsi="宋体" w:cs="宋体"/>
        </w:rPr>
      </w:pPr>
      <w:r>
        <w:rPr>
          <w:rFonts w:ascii="宋体" w:hAnsi="宋体" w:cs="宋体" w:hint="eastAsia"/>
        </w:rPr>
        <w:t>追溯调整基本思路：</w:t>
      </w:r>
    </w:p>
    <w:tbl>
      <w:tblPr>
        <w:tblStyle w:val="a5"/>
        <w:tblW w:w="4999" w:type="pct"/>
        <w:tblLook w:val="04A0" w:firstRow="1" w:lastRow="0" w:firstColumn="1" w:lastColumn="0" w:noHBand="0" w:noVBand="1"/>
      </w:tblPr>
      <w:tblGrid>
        <w:gridCol w:w="2547"/>
        <w:gridCol w:w="3970"/>
        <w:gridCol w:w="87"/>
        <w:gridCol w:w="3306"/>
      </w:tblGrid>
      <w:tr w:rsidR="002730DA" w:rsidTr="003E0D06">
        <w:tc>
          <w:tcPr>
            <w:tcW w:w="1285" w:type="pct"/>
          </w:tcPr>
          <w:p w:rsidR="002730DA" w:rsidRDefault="00000000">
            <w:pPr>
              <w:jc w:val="center"/>
              <w:rPr>
                <w:rFonts w:ascii="宋体" w:hAnsi="宋体" w:cs="宋体"/>
              </w:rPr>
            </w:pPr>
            <w:r>
              <w:rPr>
                <w:rFonts w:ascii="宋体" w:hAnsi="宋体" w:cs="宋体" w:hint="eastAsia"/>
              </w:rPr>
              <w:t>成本法核算</w:t>
            </w:r>
          </w:p>
        </w:tc>
        <w:tc>
          <w:tcPr>
            <w:tcW w:w="2003" w:type="pct"/>
          </w:tcPr>
          <w:p w:rsidR="002730DA" w:rsidRDefault="00000000">
            <w:pPr>
              <w:jc w:val="center"/>
              <w:rPr>
                <w:rFonts w:ascii="宋体" w:hAnsi="宋体" w:cs="宋体"/>
              </w:rPr>
            </w:pPr>
            <w:r>
              <w:rPr>
                <w:rFonts w:ascii="宋体" w:hAnsi="宋体" w:cs="宋体" w:hint="eastAsia"/>
              </w:rPr>
              <w:t>调整分录</w:t>
            </w:r>
          </w:p>
        </w:tc>
        <w:tc>
          <w:tcPr>
            <w:tcW w:w="1712" w:type="pct"/>
            <w:gridSpan w:val="2"/>
          </w:tcPr>
          <w:p w:rsidR="002730DA" w:rsidRDefault="00000000">
            <w:pPr>
              <w:jc w:val="center"/>
              <w:rPr>
                <w:rFonts w:ascii="宋体" w:hAnsi="宋体" w:cs="宋体"/>
              </w:rPr>
            </w:pPr>
            <w:r>
              <w:rPr>
                <w:rFonts w:ascii="宋体" w:hAnsi="宋体" w:cs="宋体" w:hint="eastAsia"/>
              </w:rPr>
              <w:t>权益法核算</w:t>
            </w:r>
          </w:p>
        </w:tc>
      </w:tr>
      <w:tr w:rsidR="002730DA" w:rsidTr="003E0D06">
        <w:tc>
          <w:tcPr>
            <w:tcW w:w="1285" w:type="pct"/>
          </w:tcPr>
          <w:p w:rsidR="002730DA" w:rsidRDefault="00000000">
            <w:pPr>
              <w:jc w:val="left"/>
              <w:rPr>
                <w:rFonts w:ascii="宋体" w:hAnsi="宋体" w:cs="宋体"/>
              </w:rPr>
            </w:pPr>
            <w:r>
              <w:rPr>
                <w:rFonts w:ascii="宋体" w:hAnsi="宋体" w:cs="宋体" w:hint="eastAsia"/>
              </w:rPr>
              <w:t>1、初始投资：</w:t>
            </w:r>
          </w:p>
          <w:p w:rsidR="002730DA" w:rsidRDefault="00000000">
            <w:pPr>
              <w:jc w:val="left"/>
              <w:rPr>
                <w:rFonts w:ascii="宋体" w:hAnsi="宋体" w:cs="宋体"/>
              </w:rPr>
            </w:pPr>
            <w:r>
              <w:rPr>
                <w:rFonts w:ascii="宋体" w:hAnsi="宋体" w:cs="宋体" w:hint="eastAsia"/>
              </w:rPr>
              <w:t xml:space="preserve">借：长期股权投资　</w:t>
            </w:r>
          </w:p>
          <w:p w:rsidR="002730DA" w:rsidRDefault="00000000">
            <w:pPr>
              <w:jc w:val="left"/>
              <w:rPr>
                <w:rFonts w:ascii="宋体" w:hAnsi="宋体" w:cs="宋体"/>
              </w:rPr>
            </w:pPr>
            <w:r>
              <w:rPr>
                <w:rFonts w:ascii="宋体" w:hAnsi="宋体" w:cs="宋体" w:hint="eastAsia"/>
              </w:rPr>
              <w:t xml:space="preserve">   贷：银行存款等</w:t>
            </w:r>
          </w:p>
        </w:tc>
        <w:tc>
          <w:tcPr>
            <w:tcW w:w="2003" w:type="pct"/>
          </w:tcPr>
          <w:p w:rsidR="002730DA" w:rsidRDefault="00000000">
            <w:pPr>
              <w:jc w:val="left"/>
              <w:rPr>
                <w:rFonts w:ascii="宋体" w:hAnsi="宋体" w:cs="宋体"/>
              </w:rPr>
            </w:pPr>
            <w:r>
              <w:rPr>
                <w:rFonts w:ascii="宋体" w:hAnsi="宋体" w:cs="宋体" w:hint="eastAsia"/>
              </w:rPr>
              <w:t xml:space="preserve">借：长期股权投资——投资成本　</w:t>
            </w:r>
          </w:p>
          <w:p w:rsidR="002730DA" w:rsidRDefault="00000000">
            <w:pPr>
              <w:jc w:val="left"/>
              <w:rPr>
                <w:rFonts w:ascii="宋体" w:hAnsi="宋体" w:cs="宋体"/>
              </w:rPr>
            </w:pPr>
            <w:r>
              <w:rPr>
                <w:rFonts w:ascii="宋体" w:hAnsi="宋体" w:cs="宋体" w:hint="eastAsia"/>
              </w:rPr>
              <w:t xml:space="preserve">   贷：营业外收入（当年）　　　</w:t>
            </w:r>
          </w:p>
          <w:p w:rsidR="002730DA" w:rsidRDefault="00000000">
            <w:pPr>
              <w:jc w:val="left"/>
              <w:rPr>
                <w:rFonts w:ascii="宋体" w:hAnsi="宋体" w:cs="宋体"/>
              </w:rPr>
            </w:pPr>
            <w:r>
              <w:rPr>
                <w:rFonts w:ascii="宋体" w:hAnsi="宋体" w:cs="宋体" w:hint="eastAsia"/>
              </w:rPr>
              <w:t xml:space="preserve">       利润分配—未分配利润（以前）</w:t>
            </w:r>
          </w:p>
        </w:tc>
        <w:tc>
          <w:tcPr>
            <w:tcW w:w="1712" w:type="pct"/>
            <w:gridSpan w:val="2"/>
          </w:tcPr>
          <w:p w:rsidR="002730DA" w:rsidRDefault="00000000">
            <w:pPr>
              <w:jc w:val="left"/>
              <w:rPr>
                <w:rFonts w:ascii="宋体" w:hAnsi="宋体" w:cs="宋体"/>
              </w:rPr>
            </w:pPr>
            <w:r>
              <w:rPr>
                <w:rFonts w:ascii="宋体" w:hAnsi="宋体" w:cs="宋体" w:hint="eastAsia"/>
              </w:rPr>
              <w:t>1、初始投资：</w:t>
            </w:r>
          </w:p>
          <w:p w:rsidR="002730DA" w:rsidRDefault="00000000">
            <w:pPr>
              <w:jc w:val="left"/>
              <w:rPr>
                <w:rFonts w:ascii="宋体" w:hAnsi="宋体" w:cs="宋体"/>
              </w:rPr>
            </w:pPr>
            <w:r>
              <w:rPr>
                <w:rFonts w:ascii="宋体" w:hAnsi="宋体" w:cs="宋体" w:hint="eastAsia"/>
              </w:rPr>
              <w:t xml:space="preserve">借：长期股权投资—投资成本　</w:t>
            </w:r>
          </w:p>
          <w:p w:rsidR="002730DA" w:rsidRDefault="00000000">
            <w:pPr>
              <w:jc w:val="left"/>
              <w:rPr>
                <w:rFonts w:ascii="宋体" w:hAnsi="宋体" w:cs="宋体"/>
              </w:rPr>
            </w:pPr>
            <w:r>
              <w:rPr>
                <w:rFonts w:ascii="宋体" w:hAnsi="宋体" w:cs="宋体" w:hint="eastAsia"/>
              </w:rPr>
              <w:t xml:space="preserve">   贷：银行存款等　　　</w:t>
            </w:r>
          </w:p>
          <w:p w:rsidR="002730DA" w:rsidRDefault="00000000">
            <w:pPr>
              <w:jc w:val="left"/>
              <w:rPr>
                <w:rFonts w:ascii="宋体" w:hAnsi="宋体" w:cs="宋体"/>
              </w:rPr>
            </w:pPr>
            <w:r>
              <w:rPr>
                <w:rFonts w:ascii="宋体" w:hAnsi="宋体" w:cs="宋体" w:hint="eastAsia"/>
              </w:rPr>
              <w:t xml:space="preserve">       营业外收入</w:t>
            </w:r>
          </w:p>
        </w:tc>
      </w:tr>
      <w:tr w:rsidR="002730DA" w:rsidTr="003E0D06">
        <w:tc>
          <w:tcPr>
            <w:tcW w:w="1285" w:type="pct"/>
          </w:tcPr>
          <w:p w:rsidR="002730DA" w:rsidRDefault="00000000">
            <w:pPr>
              <w:jc w:val="left"/>
              <w:rPr>
                <w:rFonts w:ascii="宋体" w:hAnsi="宋体" w:cs="宋体"/>
              </w:rPr>
            </w:pPr>
            <w:r>
              <w:rPr>
                <w:rFonts w:ascii="宋体" w:hAnsi="宋体" w:cs="宋体" w:hint="eastAsia"/>
              </w:rPr>
              <w:t>2、宣告分配现金股利：</w:t>
            </w:r>
          </w:p>
          <w:p w:rsidR="002730DA" w:rsidRDefault="00000000">
            <w:pPr>
              <w:jc w:val="left"/>
              <w:rPr>
                <w:rFonts w:ascii="宋体" w:hAnsi="宋体" w:cs="宋体"/>
              </w:rPr>
            </w:pPr>
            <w:r>
              <w:rPr>
                <w:rFonts w:ascii="宋体" w:hAnsi="宋体" w:cs="宋体" w:hint="eastAsia"/>
              </w:rPr>
              <w:t xml:space="preserve">借：应收股利　　</w:t>
            </w:r>
          </w:p>
          <w:p w:rsidR="002730DA" w:rsidRDefault="00000000">
            <w:pPr>
              <w:jc w:val="left"/>
              <w:rPr>
                <w:rFonts w:ascii="宋体" w:hAnsi="宋体" w:cs="宋体"/>
              </w:rPr>
            </w:pPr>
            <w:r>
              <w:rPr>
                <w:rFonts w:ascii="宋体" w:hAnsi="宋体" w:cs="宋体" w:hint="eastAsia"/>
              </w:rPr>
              <w:t xml:space="preserve">  </w:t>
            </w:r>
            <w:r w:rsidR="003E0D06">
              <w:rPr>
                <w:rFonts w:ascii="宋体" w:hAnsi="宋体" w:cs="宋体"/>
              </w:rPr>
              <w:t xml:space="preserve"> </w:t>
            </w:r>
            <w:r>
              <w:rPr>
                <w:rFonts w:ascii="宋体" w:hAnsi="宋体" w:cs="宋体" w:hint="eastAsia"/>
              </w:rPr>
              <w:t>贷：投资收益</w:t>
            </w:r>
          </w:p>
        </w:tc>
        <w:tc>
          <w:tcPr>
            <w:tcW w:w="2003" w:type="pct"/>
          </w:tcPr>
          <w:p w:rsidR="002730DA" w:rsidRDefault="00000000">
            <w:pPr>
              <w:jc w:val="left"/>
              <w:rPr>
                <w:rFonts w:ascii="宋体" w:hAnsi="宋体" w:cs="宋体"/>
              </w:rPr>
            </w:pPr>
            <w:r>
              <w:rPr>
                <w:rFonts w:ascii="宋体" w:hAnsi="宋体" w:cs="宋体" w:hint="eastAsia"/>
              </w:rPr>
              <w:t xml:space="preserve">借：投资收益（当年）　　</w:t>
            </w:r>
          </w:p>
          <w:p w:rsidR="002730DA" w:rsidRDefault="00000000">
            <w:pPr>
              <w:jc w:val="left"/>
              <w:rPr>
                <w:rFonts w:ascii="宋体" w:hAnsi="宋体" w:cs="宋体"/>
              </w:rPr>
            </w:pPr>
            <w:r>
              <w:rPr>
                <w:rFonts w:ascii="宋体" w:hAnsi="宋体" w:cs="宋体" w:hint="eastAsia"/>
              </w:rPr>
              <w:t xml:space="preserve">    利润分配—未分配利润（以前）　</w:t>
            </w:r>
          </w:p>
          <w:p w:rsidR="002730DA" w:rsidRDefault="00000000">
            <w:pPr>
              <w:jc w:val="left"/>
              <w:rPr>
                <w:rFonts w:ascii="宋体" w:hAnsi="宋体" w:cs="宋体"/>
              </w:rPr>
            </w:pPr>
            <w:r>
              <w:rPr>
                <w:rFonts w:ascii="宋体" w:hAnsi="宋体" w:cs="宋体" w:hint="eastAsia"/>
              </w:rPr>
              <w:t xml:space="preserve">   贷：长期股权投资—损益调整 </w:t>
            </w:r>
          </w:p>
        </w:tc>
        <w:tc>
          <w:tcPr>
            <w:tcW w:w="1712" w:type="pct"/>
            <w:gridSpan w:val="2"/>
          </w:tcPr>
          <w:p w:rsidR="002730DA" w:rsidRDefault="00000000">
            <w:pPr>
              <w:jc w:val="left"/>
              <w:rPr>
                <w:rFonts w:ascii="宋体" w:hAnsi="宋体" w:cs="宋体"/>
              </w:rPr>
            </w:pPr>
            <w:r>
              <w:rPr>
                <w:rFonts w:ascii="宋体" w:hAnsi="宋体" w:cs="宋体" w:hint="eastAsia"/>
              </w:rPr>
              <w:t>2、宣告分配现金股利时：</w:t>
            </w:r>
          </w:p>
          <w:p w:rsidR="002730DA" w:rsidRDefault="00000000">
            <w:pPr>
              <w:jc w:val="left"/>
              <w:rPr>
                <w:rFonts w:ascii="宋体" w:hAnsi="宋体" w:cs="宋体"/>
              </w:rPr>
            </w:pPr>
            <w:r>
              <w:rPr>
                <w:rFonts w:ascii="宋体" w:hAnsi="宋体" w:cs="宋体" w:hint="eastAsia"/>
              </w:rPr>
              <w:t xml:space="preserve">借：应收股利　</w:t>
            </w:r>
          </w:p>
          <w:p w:rsidR="002730DA" w:rsidRDefault="00000000">
            <w:pPr>
              <w:jc w:val="left"/>
              <w:rPr>
                <w:rFonts w:ascii="宋体" w:hAnsi="宋体" w:cs="宋体"/>
              </w:rPr>
            </w:pPr>
            <w:r>
              <w:rPr>
                <w:rFonts w:ascii="宋体" w:hAnsi="宋体" w:cs="宋体" w:hint="eastAsia"/>
              </w:rPr>
              <w:t xml:space="preserve">  贷：长期股权投资—损益调整 </w:t>
            </w:r>
          </w:p>
        </w:tc>
      </w:tr>
      <w:tr w:rsidR="002730DA" w:rsidTr="003E0D06">
        <w:tc>
          <w:tcPr>
            <w:tcW w:w="1285" w:type="pct"/>
          </w:tcPr>
          <w:p w:rsidR="002730DA" w:rsidRDefault="00000000">
            <w:pPr>
              <w:jc w:val="left"/>
              <w:rPr>
                <w:rFonts w:ascii="宋体" w:hAnsi="宋体" w:cs="宋体"/>
              </w:rPr>
            </w:pPr>
            <w:r>
              <w:rPr>
                <w:rFonts w:ascii="宋体" w:hAnsi="宋体" w:cs="宋体" w:hint="eastAsia"/>
              </w:rPr>
              <w:t>3、盈利或亏损：</w:t>
            </w:r>
          </w:p>
          <w:p w:rsidR="002730DA" w:rsidRDefault="00000000">
            <w:pPr>
              <w:jc w:val="left"/>
              <w:rPr>
                <w:rFonts w:ascii="宋体" w:hAnsi="宋体" w:cs="宋体"/>
              </w:rPr>
            </w:pPr>
            <w:r>
              <w:rPr>
                <w:rFonts w:ascii="宋体" w:hAnsi="宋体" w:cs="宋体" w:hint="eastAsia"/>
              </w:rPr>
              <w:t>不作处理</w:t>
            </w:r>
          </w:p>
        </w:tc>
        <w:tc>
          <w:tcPr>
            <w:tcW w:w="2047" w:type="pct"/>
            <w:gridSpan w:val="2"/>
          </w:tcPr>
          <w:p w:rsidR="002730DA" w:rsidRDefault="00000000">
            <w:pPr>
              <w:jc w:val="left"/>
              <w:rPr>
                <w:rFonts w:ascii="宋体" w:hAnsi="宋体" w:cs="宋体"/>
              </w:rPr>
            </w:pPr>
            <w:r>
              <w:rPr>
                <w:rFonts w:ascii="宋体" w:hAnsi="宋体" w:cs="宋体" w:hint="eastAsia"/>
              </w:rPr>
              <w:t xml:space="preserve">借或贷：长期股权投资—损益调整　</w:t>
            </w:r>
          </w:p>
          <w:p w:rsidR="002730DA" w:rsidRDefault="00000000">
            <w:pPr>
              <w:jc w:val="left"/>
              <w:rPr>
                <w:rFonts w:ascii="宋体" w:hAnsi="宋体" w:cs="宋体"/>
              </w:rPr>
            </w:pPr>
            <w:r>
              <w:rPr>
                <w:rFonts w:ascii="宋体" w:hAnsi="宋体" w:cs="宋体" w:hint="eastAsia"/>
              </w:rPr>
              <w:t xml:space="preserve">贷或借：投资收益（当年）　　　　　</w:t>
            </w:r>
          </w:p>
          <w:p w:rsidR="002730DA" w:rsidRDefault="00000000">
            <w:pPr>
              <w:jc w:val="left"/>
              <w:rPr>
                <w:rFonts w:ascii="宋体" w:hAnsi="宋体" w:cs="宋体"/>
              </w:rPr>
            </w:pPr>
            <w:r>
              <w:rPr>
                <w:rFonts w:ascii="宋体" w:hAnsi="宋体" w:cs="宋体" w:hint="eastAsia"/>
              </w:rPr>
              <w:t xml:space="preserve">        利润分配—未分配利润（以前） </w:t>
            </w:r>
          </w:p>
        </w:tc>
        <w:tc>
          <w:tcPr>
            <w:tcW w:w="1668" w:type="pct"/>
          </w:tcPr>
          <w:p w:rsidR="002730DA" w:rsidRDefault="00000000">
            <w:pPr>
              <w:jc w:val="left"/>
              <w:rPr>
                <w:rFonts w:ascii="宋体" w:hAnsi="宋体" w:cs="宋体"/>
              </w:rPr>
            </w:pPr>
            <w:r>
              <w:rPr>
                <w:rFonts w:ascii="宋体" w:hAnsi="宋体" w:cs="宋体" w:hint="eastAsia"/>
              </w:rPr>
              <w:t>3、盈利或亏损：</w:t>
            </w:r>
          </w:p>
          <w:p w:rsidR="002730DA" w:rsidRDefault="00000000">
            <w:pPr>
              <w:jc w:val="left"/>
              <w:rPr>
                <w:rFonts w:ascii="宋体" w:hAnsi="宋体" w:cs="宋体"/>
              </w:rPr>
            </w:pPr>
            <w:r>
              <w:rPr>
                <w:rFonts w:ascii="宋体" w:hAnsi="宋体" w:cs="宋体" w:hint="eastAsia"/>
              </w:rPr>
              <w:t xml:space="preserve">借或贷：长期股权投资—损益调整　</w:t>
            </w:r>
          </w:p>
          <w:p w:rsidR="002730DA" w:rsidRDefault="00000000">
            <w:pPr>
              <w:jc w:val="left"/>
              <w:rPr>
                <w:rFonts w:ascii="宋体" w:hAnsi="宋体" w:cs="宋体"/>
              </w:rPr>
            </w:pPr>
            <w:r>
              <w:rPr>
                <w:rFonts w:ascii="宋体" w:hAnsi="宋体" w:cs="宋体" w:hint="eastAsia"/>
              </w:rPr>
              <w:t xml:space="preserve">贷或借：投资收益 </w:t>
            </w:r>
          </w:p>
        </w:tc>
      </w:tr>
      <w:tr w:rsidR="002730DA" w:rsidTr="003E0D06">
        <w:tc>
          <w:tcPr>
            <w:tcW w:w="1285" w:type="pct"/>
          </w:tcPr>
          <w:p w:rsidR="002730DA" w:rsidRDefault="00000000">
            <w:pPr>
              <w:jc w:val="left"/>
              <w:rPr>
                <w:rFonts w:ascii="宋体" w:hAnsi="宋体" w:cs="宋体"/>
              </w:rPr>
            </w:pPr>
            <w:r>
              <w:rPr>
                <w:rFonts w:ascii="宋体" w:hAnsi="宋体" w:cs="宋体" w:hint="eastAsia"/>
              </w:rPr>
              <w:t>4、其他综合收益变动：不作处理</w:t>
            </w:r>
          </w:p>
        </w:tc>
        <w:tc>
          <w:tcPr>
            <w:tcW w:w="2047" w:type="pct"/>
            <w:gridSpan w:val="2"/>
          </w:tcPr>
          <w:p w:rsidR="002730DA" w:rsidRDefault="00000000">
            <w:pPr>
              <w:jc w:val="left"/>
              <w:rPr>
                <w:rFonts w:ascii="宋体" w:hAnsi="宋体" w:cs="宋体"/>
              </w:rPr>
            </w:pPr>
            <w:r>
              <w:rPr>
                <w:rFonts w:ascii="宋体" w:hAnsi="宋体" w:cs="宋体" w:hint="eastAsia"/>
              </w:rPr>
              <w:t xml:space="preserve">借或贷：长期股权投资—其他综合收益　</w:t>
            </w:r>
          </w:p>
          <w:p w:rsidR="002730DA" w:rsidRDefault="00000000">
            <w:pPr>
              <w:jc w:val="left"/>
              <w:rPr>
                <w:rFonts w:ascii="宋体" w:hAnsi="宋体" w:cs="宋体"/>
              </w:rPr>
            </w:pPr>
            <w:r>
              <w:rPr>
                <w:rFonts w:ascii="宋体" w:hAnsi="宋体" w:cs="宋体" w:hint="eastAsia"/>
              </w:rPr>
              <w:t xml:space="preserve">贷或借：其他综合收益 </w:t>
            </w:r>
          </w:p>
        </w:tc>
        <w:tc>
          <w:tcPr>
            <w:tcW w:w="1668" w:type="pct"/>
          </w:tcPr>
          <w:p w:rsidR="002730DA" w:rsidRDefault="00000000">
            <w:pPr>
              <w:jc w:val="left"/>
              <w:rPr>
                <w:rFonts w:ascii="宋体" w:hAnsi="宋体" w:cs="宋体"/>
              </w:rPr>
            </w:pPr>
            <w:r>
              <w:rPr>
                <w:rFonts w:ascii="宋体" w:hAnsi="宋体" w:cs="宋体" w:hint="eastAsia"/>
              </w:rPr>
              <w:t>4、其他综合收益变动：</w:t>
            </w:r>
          </w:p>
          <w:p w:rsidR="002730DA" w:rsidRDefault="00000000">
            <w:pPr>
              <w:jc w:val="left"/>
              <w:rPr>
                <w:rFonts w:ascii="宋体" w:hAnsi="宋体" w:cs="宋体"/>
              </w:rPr>
            </w:pPr>
            <w:r>
              <w:rPr>
                <w:rFonts w:ascii="宋体" w:hAnsi="宋体" w:cs="宋体" w:hint="eastAsia"/>
              </w:rPr>
              <w:t xml:space="preserve">借或贷：长期股权投资—其他综合收益　</w:t>
            </w:r>
          </w:p>
          <w:p w:rsidR="002730DA" w:rsidRDefault="00000000">
            <w:pPr>
              <w:jc w:val="left"/>
              <w:rPr>
                <w:rFonts w:ascii="宋体" w:hAnsi="宋体" w:cs="宋体"/>
              </w:rPr>
            </w:pPr>
            <w:r>
              <w:rPr>
                <w:rFonts w:ascii="宋体" w:hAnsi="宋体" w:cs="宋体" w:hint="eastAsia"/>
              </w:rPr>
              <w:t>贷或借：其他综合收益</w:t>
            </w:r>
          </w:p>
        </w:tc>
      </w:tr>
      <w:tr w:rsidR="002730DA" w:rsidTr="003E0D06">
        <w:tc>
          <w:tcPr>
            <w:tcW w:w="1285" w:type="pct"/>
          </w:tcPr>
          <w:p w:rsidR="002730DA" w:rsidRDefault="00000000">
            <w:pPr>
              <w:jc w:val="left"/>
              <w:rPr>
                <w:rFonts w:ascii="宋体" w:hAnsi="宋体" w:cs="宋体"/>
              </w:rPr>
            </w:pPr>
            <w:r>
              <w:rPr>
                <w:rFonts w:ascii="宋体" w:hAnsi="宋体" w:cs="宋体" w:hint="eastAsia"/>
              </w:rPr>
              <w:t>5、除净损益、</w:t>
            </w:r>
          </w:p>
          <w:p w:rsidR="002730DA" w:rsidRDefault="00000000">
            <w:pPr>
              <w:jc w:val="left"/>
              <w:rPr>
                <w:rFonts w:ascii="宋体" w:hAnsi="宋体" w:cs="宋体"/>
              </w:rPr>
            </w:pPr>
            <w:r>
              <w:rPr>
                <w:rFonts w:ascii="宋体" w:hAnsi="宋体" w:cs="宋体" w:hint="eastAsia"/>
              </w:rPr>
              <w:t>其他综合收益和利润分配以外的所有者权益变动：不作处理</w:t>
            </w:r>
          </w:p>
        </w:tc>
        <w:tc>
          <w:tcPr>
            <w:tcW w:w="2047" w:type="pct"/>
            <w:gridSpan w:val="2"/>
          </w:tcPr>
          <w:p w:rsidR="002730DA" w:rsidRDefault="00000000">
            <w:pPr>
              <w:jc w:val="left"/>
              <w:rPr>
                <w:rFonts w:ascii="宋体" w:hAnsi="宋体" w:cs="宋体"/>
              </w:rPr>
            </w:pPr>
            <w:r>
              <w:rPr>
                <w:rFonts w:ascii="宋体" w:hAnsi="宋体" w:cs="宋体" w:hint="eastAsia"/>
              </w:rPr>
              <w:t xml:space="preserve">借或贷：长期股权投资—其他权益变动　</w:t>
            </w:r>
          </w:p>
          <w:p w:rsidR="002730DA" w:rsidRDefault="00000000">
            <w:pPr>
              <w:jc w:val="left"/>
              <w:rPr>
                <w:rFonts w:ascii="宋体" w:hAnsi="宋体" w:cs="宋体"/>
              </w:rPr>
            </w:pPr>
            <w:r>
              <w:rPr>
                <w:rFonts w:ascii="宋体" w:hAnsi="宋体" w:cs="宋体" w:hint="eastAsia"/>
              </w:rPr>
              <w:t xml:space="preserve">贷或借：资本公积——其他资本公积 </w:t>
            </w:r>
          </w:p>
        </w:tc>
        <w:tc>
          <w:tcPr>
            <w:tcW w:w="1668" w:type="pct"/>
          </w:tcPr>
          <w:p w:rsidR="002730DA" w:rsidRDefault="00000000">
            <w:pPr>
              <w:jc w:val="left"/>
              <w:rPr>
                <w:rFonts w:ascii="宋体" w:hAnsi="宋体" w:cs="宋体"/>
              </w:rPr>
            </w:pPr>
            <w:r>
              <w:rPr>
                <w:rFonts w:ascii="宋体" w:hAnsi="宋体" w:cs="宋体" w:hint="eastAsia"/>
              </w:rPr>
              <w:t>5、除净损益、其他综合收益和利润分配以外的所有者权益变动：</w:t>
            </w:r>
          </w:p>
          <w:p w:rsidR="002730DA" w:rsidRDefault="00000000">
            <w:pPr>
              <w:jc w:val="left"/>
              <w:rPr>
                <w:rFonts w:ascii="宋体" w:hAnsi="宋体" w:cs="宋体"/>
              </w:rPr>
            </w:pPr>
            <w:r>
              <w:rPr>
                <w:rFonts w:ascii="宋体" w:hAnsi="宋体" w:cs="宋体" w:hint="eastAsia"/>
              </w:rPr>
              <w:t xml:space="preserve">借或贷：长期股权投资—其他权益变动　</w:t>
            </w:r>
          </w:p>
          <w:p w:rsidR="002730DA" w:rsidRDefault="00000000">
            <w:pPr>
              <w:jc w:val="left"/>
              <w:rPr>
                <w:rFonts w:ascii="宋体" w:hAnsi="宋体" w:cs="宋体"/>
              </w:rPr>
            </w:pPr>
            <w:r>
              <w:rPr>
                <w:rFonts w:ascii="宋体" w:hAnsi="宋体" w:cs="宋体" w:hint="eastAsia"/>
              </w:rPr>
              <w:t>贷或借：资本公积——</w:t>
            </w:r>
          </w:p>
          <w:p w:rsidR="002730DA" w:rsidRDefault="00000000">
            <w:pPr>
              <w:jc w:val="left"/>
              <w:rPr>
                <w:rFonts w:ascii="宋体" w:hAnsi="宋体" w:cs="宋体"/>
              </w:rPr>
            </w:pPr>
            <w:r>
              <w:rPr>
                <w:rFonts w:ascii="宋体" w:hAnsi="宋体" w:cs="宋体" w:hint="eastAsia"/>
              </w:rPr>
              <w:t>其他资本公积</w:t>
            </w:r>
          </w:p>
        </w:tc>
      </w:tr>
    </w:tbl>
    <w:p w:rsidR="002730DA" w:rsidRDefault="002730DA">
      <w:pPr>
        <w:overflowPunct w:val="0"/>
        <w:jc w:val="left"/>
        <w:rPr>
          <w:rFonts w:ascii="宋体" w:hAnsi="宋体" w:cs="宋体"/>
        </w:rPr>
      </w:pPr>
    </w:p>
    <w:p w:rsidR="002730DA" w:rsidRDefault="00000000">
      <w:pPr>
        <w:jc w:val="left"/>
        <w:rPr>
          <w:rFonts w:ascii="宋体" w:hAnsi="宋体" w:cs="宋体"/>
        </w:rPr>
      </w:pPr>
      <w:r>
        <w:rPr>
          <w:rFonts w:ascii="宋体" w:hAnsi="宋体" w:cs="宋体" w:hint="eastAsia"/>
        </w:rPr>
        <w:t>【例-多选题】因部分处置长期股权投资，企业将剩余长期股权投资的核算方法由成本法转为权益法时进行的下列会计处理中，正确的有（  ）。</w:t>
      </w:r>
    </w:p>
    <w:p w:rsidR="002730DA" w:rsidRDefault="00000000">
      <w:pPr>
        <w:jc w:val="left"/>
        <w:rPr>
          <w:rFonts w:ascii="宋体" w:hAnsi="宋体" w:cs="宋体"/>
        </w:rPr>
      </w:pPr>
      <w:r>
        <w:rPr>
          <w:rFonts w:ascii="宋体" w:hAnsi="宋体" w:cs="宋体" w:hint="eastAsia"/>
        </w:rPr>
        <w:t>A.按照处置部分的比例结转应终止确认的长期股权投资成本</w:t>
      </w:r>
    </w:p>
    <w:p w:rsidR="002730DA" w:rsidRDefault="00000000">
      <w:pPr>
        <w:jc w:val="left"/>
        <w:rPr>
          <w:rFonts w:ascii="宋体" w:hAnsi="宋体" w:cs="宋体"/>
        </w:rPr>
      </w:pPr>
      <w:r>
        <w:rPr>
          <w:rFonts w:ascii="宋体" w:hAnsi="宋体" w:cs="宋体" w:hint="eastAsia"/>
        </w:rPr>
        <w:t>B.剩余股权按照处置投资当期期初至处置投资日应享有的被投资单位已实现净损益中的份额调整当期损益</w:t>
      </w:r>
    </w:p>
    <w:p w:rsidR="002730DA" w:rsidRDefault="00000000">
      <w:pPr>
        <w:jc w:val="left"/>
        <w:rPr>
          <w:rFonts w:ascii="宋体" w:hAnsi="宋体" w:cs="宋体"/>
        </w:rPr>
      </w:pPr>
      <w:r>
        <w:rPr>
          <w:rFonts w:ascii="宋体" w:hAnsi="宋体" w:cs="宋体" w:hint="eastAsia"/>
        </w:rPr>
        <w:t>C.剩余股权按照原取得投资时至处置投资当期期初应享有的被投资单位已实现净损益中的份额调整留存收益</w:t>
      </w:r>
    </w:p>
    <w:p w:rsidR="002730DA" w:rsidRDefault="00000000" w:rsidP="003E0D06">
      <w:pPr>
        <w:jc w:val="left"/>
        <w:rPr>
          <w:rFonts w:ascii="宋体" w:hAnsi="宋体" w:cs="宋体" w:hint="eastAsia"/>
        </w:rPr>
      </w:pPr>
      <w:r>
        <w:rPr>
          <w:rFonts w:ascii="宋体" w:hAnsi="宋体" w:cs="宋体" w:hint="eastAsia"/>
        </w:rPr>
        <w:t>D.将剩余股权的账面价值大于按照剩余持股比例计算原投资时应享有的被投资单位可辨认净资产公允价值份额的差额，调整长期股权投资的账面价值</w:t>
      </w:r>
    </w:p>
    <w:p w:rsidR="002730DA" w:rsidRDefault="00000000">
      <w:pPr>
        <w:jc w:val="left"/>
        <w:rPr>
          <w:rFonts w:ascii="宋体" w:hAnsi="宋体" w:cs="宋体"/>
        </w:rPr>
      </w:pPr>
      <w:r>
        <w:rPr>
          <w:rFonts w:ascii="宋体" w:hAnsi="宋体" w:cs="宋体" w:hint="eastAsia"/>
        </w:rPr>
        <w:t>答案：ABC</w:t>
      </w:r>
    </w:p>
    <w:p w:rsidR="002730DA" w:rsidRDefault="00000000">
      <w:pPr>
        <w:jc w:val="left"/>
        <w:rPr>
          <w:rFonts w:ascii="宋体" w:hAnsi="宋体" w:cs="宋体" w:hint="eastAsia"/>
        </w:rPr>
      </w:pPr>
      <w:r>
        <w:rPr>
          <w:rFonts w:ascii="宋体" w:hAnsi="宋体" w:cs="宋体" w:hint="eastAsia"/>
        </w:rPr>
        <w:t>解析：选项D，不调整长期股权投资。</w:t>
      </w:r>
    </w:p>
    <w:sectPr w:rsidR="002730DA">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8BCF04FD"/>
    <w:rsid w:val="8D7F0DEA"/>
    <w:rsid w:val="8FCE0D75"/>
    <w:rsid w:val="ADBF441C"/>
    <w:rsid w:val="ADCD4369"/>
    <w:rsid w:val="B9FD29D6"/>
    <w:rsid w:val="BF6B1AC9"/>
    <w:rsid w:val="BF718A0E"/>
    <w:rsid w:val="D9F56424"/>
    <w:rsid w:val="DDDF23BF"/>
    <w:rsid w:val="DDE65571"/>
    <w:rsid w:val="E9BF7DA3"/>
    <w:rsid w:val="EFFB9276"/>
    <w:rsid w:val="F7FFBA63"/>
    <w:rsid w:val="FBEF87D0"/>
    <w:rsid w:val="FBF6BD66"/>
    <w:rsid w:val="FF6351AF"/>
    <w:rsid w:val="FF673EF0"/>
    <w:rsid w:val="FF99AA03"/>
    <w:rsid w:val="00004132"/>
    <w:rsid w:val="000061D5"/>
    <w:rsid w:val="000B1F11"/>
    <w:rsid w:val="000E5C49"/>
    <w:rsid w:val="000F2126"/>
    <w:rsid w:val="00122A1C"/>
    <w:rsid w:val="00144E54"/>
    <w:rsid w:val="00167C52"/>
    <w:rsid w:val="001F192C"/>
    <w:rsid w:val="0027282F"/>
    <w:rsid w:val="002730DA"/>
    <w:rsid w:val="002A1721"/>
    <w:rsid w:val="00331738"/>
    <w:rsid w:val="003B71E3"/>
    <w:rsid w:val="003E0D06"/>
    <w:rsid w:val="00401D9A"/>
    <w:rsid w:val="00450143"/>
    <w:rsid w:val="00586FBC"/>
    <w:rsid w:val="005D5EC3"/>
    <w:rsid w:val="005E3B39"/>
    <w:rsid w:val="00641CE4"/>
    <w:rsid w:val="00732E40"/>
    <w:rsid w:val="00743680"/>
    <w:rsid w:val="007725F4"/>
    <w:rsid w:val="00801633"/>
    <w:rsid w:val="00841A53"/>
    <w:rsid w:val="0085649F"/>
    <w:rsid w:val="00906F14"/>
    <w:rsid w:val="00984964"/>
    <w:rsid w:val="009C2A07"/>
    <w:rsid w:val="009D29F9"/>
    <w:rsid w:val="009E1DA1"/>
    <w:rsid w:val="009E78BB"/>
    <w:rsid w:val="00A13B32"/>
    <w:rsid w:val="00A84615"/>
    <w:rsid w:val="00A9095F"/>
    <w:rsid w:val="00AA0512"/>
    <w:rsid w:val="00AA1A59"/>
    <w:rsid w:val="00AE010C"/>
    <w:rsid w:val="00AE0A92"/>
    <w:rsid w:val="00B37FD2"/>
    <w:rsid w:val="00B5599F"/>
    <w:rsid w:val="00B76B9D"/>
    <w:rsid w:val="00B867B9"/>
    <w:rsid w:val="00BC055A"/>
    <w:rsid w:val="00BE4B58"/>
    <w:rsid w:val="00CB0FE9"/>
    <w:rsid w:val="00CC6AFF"/>
    <w:rsid w:val="00CF5A87"/>
    <w:rsid w:val="00D0691E"/>
    <w:rsid w:val="00D44688"/>
    <w:rsid w:val="00E05841"/>
    <w:rsid w:val="00E22F55"/>
    <w:rsid w:val="00E257B7"/>
    <w:rsid w:val="00EE7CC5"/>
    <w:rsid w:val="00F17873"/>
    <w:rsid w:val="00F23AC5"/>
    <w:rsid w:val="00FB2AFC"/>
    <w:rsid w:val="00FD07CA"/>
    <w:rsid w:val="00FE07E1"/>
    <w:rsid w:val="04043713"/>
    <w:rsid w:val="06F537E7"/>
    <w:rsid w:val="078B5EF9"/>
    <w:rsid w:val="0C2030B4"/>
    <w:rsid w:val="0E99714E"/>
    <w:rsid w:val="135D5531"/>
    <w:rsid w:val="14E37374"/>
    <w:rsid w:val="17417CFA"/>
    <w:rsid w:val="17EBC250"/>
    <w:rsid w:val="182757CA"/>
    <w:rsid w:val="1AA11864"/>
    <w:rsid w:val="212B00D9"/>
    <w:rsid w:val="236C49D9"/>
    <w:rsid w:val="2A1A518F"/>
    <w:rsid w:val="2C0559CB"/>
    <w:rsid w:val="2F154177"/>
    <w:rsid w:val="2F283EAA"/>
    <w:rsid w:val="2FDE0A0C"/>
    <w:rsid w:val="333F2E2B"/>
    <w:rsid w:val="34715F1D"/>
    <w:rsid w:val="387719FE"/>
    <w:rsid w:val="3E7AA229"/>
    <w:rsid w:val="47CB76EB"/>
    <w:rsid w:val="4B550AA9"/>
    <w:rsid w:val="514836E7"/>
    <w:rsid w:val="537D11A8"/>
    <w:rsid w:val="55DB1658"/>
    <w:rsid w:val="5EFBB2E2"/>
    <w:rsid w:val="5FD6198B"/>
    <w:rsid w:val="5FEF7F48"/>
    <w:rsid w:val="67A535E2"/>
    <w:rsid w:val="68753EF9"/>
    <w:rsid w:val="68921DB9"/>
    <w:rsid w:val="69BA295A"/>
    <w:rsid w:val="69FF3A5F"/>
    <w:rsid w:val="6AC81AA4"/>
    <w:rsid w:val="6F315D76"/>
    <w:rsid w:val="7D791FB7"/>
    <w:rsid w:val="7DA55C93"/>
    <w:rsid w:val="7EFDB8B4"/>
    <w:rsid w:val="7FAB5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5E016A6"/>
  <w15:docId w15:val="{B649C23A-A2F1-9841-B11D-1E34A393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29</cp:revision>
  <dcterms:created xsi:type="dcterms:W3CDTF">2025-04-21T22:53:00Z</dcterms:created>
  <dcterms:modified xsi:type="dcterms:W3CDTF">2025-05-11T08:08:00Z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