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1D5" w:rsidRPr="00A13B32" w:rsidRDefault="00000000" w:rsidP="00A13B32">
      <w:pPr>
        <w:overflowPunct w:val="0"/>
        <w:jc w:val="center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第二节  长期股权投资的后续计量</w:t>
      </w:r>
    </w:p>
    <w:p w:rsidR="000061D5" w:rsidRDefault="00000000">
      <w:pPr>
        <w:jc w:val="left"/>
        <w:rPr>
          <w:rFonts w:ascii="宋体" w:hAnsi="宋体" w:cs="宋体"/>
        </w:rPr>
      </w:pPr>
      <w:r w:rsidRPr="00A13B32">
        <w:rPr>
          <w:rFonts w:ascii="宋体" w:hAnsi="宋体" w:cs="宋体" w:hint="eastAsia"/>
          <w:color w:val="FF0000"/>
        </w:rPr>
        <w:t>顺流交易和逆流交易</w:t>
      </w:r>
      <w:r>
        <w:rPr>
          <w:rFonts w:ascii="宋体" w:hAnsi="宋体" w:cs="宋体" w:hint="eastAsia"/>
        </w:rPr>
        <w:t>会计处理相同。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在顺流交易中，投资方投出资产或出售资产给其联营企业或合营企业产生的损益中，按照应享有比例计算确定归属于本企业的部分不予确认。</w:t>
      </w:r>
    </w:p>
    <w:p w:rsidR="000061D5" w:rsidRDefault="000061D5">
      <w:pPr>
        <w:overflowPunct w:val="0"/>
        <w:jc w:val="left"/>
        <w:rPr>
          <w:rFonts w:ascii="宋体" w:hAnsi="宋体" w:cs="宋体"/>
        </w:rPr>
      </w:pPr>
    </w:p>
    <w:p w:rsidR="000061D5" w:rsidRDefault="00000000" w:rsidP="00A13B32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【例】甲公司持有乙公司20%有表决权的股份，能够对乙公司施加重大影响。2024年9月，甲公司将其账面价值为8 000 000元的商品以12 000 000元的价格出售给乙公司，乙公司将取得的商品作为管理用固定资产，预计使用寿命为10年，净残值为0。假定甲公司取得该项投资时，乙公司各项可辨认资产、负债的公允价值与其账面价值相同，两者在以前期间未发生过内部交易。乙公司2024年实现净利润为20 000 000元。不考虑相关税费等其他因素影响。 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甲公司在该项交易中实现利润4 000 000元，其中的</w:t>
      </w:r>
      <w:r>
        <w:rPr>
          <w:rFonts w:ascii="宋体" w:hAnsi="宋体" w:cs="宋体" w:hint="eastAsia"/>
        </w:rPr>
        <w:br/>
        <w:t>800 000元（4 000 000×20%）是针对本公司持有的对联营企业的权益份额，在采用权益法计算确认投资收益时应予抵销，同时应考虑相关固定资产折旧对损益的影响，即甲公司应当进行以下账务处理：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借：长期股权投资—损益调整       3 220 000 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[（20 000 000-4 000 000+4 000 000÷10÷4）×20%]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贷：投资收益                                             3 220 000</w:t>
      </w:r>
    </w:p>
    <w:p w:rsidR="000061D5" w:rsidRDefault="000061D5">
      <w:pPr>
        <w:overflowPunct w:val="0"/>
        <w:jc w:val="left"/>
        <w:rPr>
          <w:rFonts w:ascii="宋体" w:hAnsi="宋体" w:cs="宋体"/>
        </w:rPr>
      </w:pPr>
    </w:p>
    <w:p w:rsidR="000061D5" w:rsidRDefault="00000000" w:rsidP="00A13B32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【例】甲公司持有乙公司20%有表决权股份，能够对乙公司施加重大影响。2024年8月，乙公司将其成本为9 000 000元的某商品以15 000 000元的价格出售给甲公司，甲公司将取得的商品作为存货。至2024年12月31日，甲公司仍未对外出售该存货。乙公司2024年实现净利润48 000 000元。假定甲公司取得该项投资时，乙公司各项可辨认资产、负债的公允价值与其账面价值相等，两者在以前期间未发生过内部交易。假定不考虑相关税费等其他因素影响。 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甲公司在按照权益法确认应享有乙公司2024年净损益时，应进行以下账务处理：  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借：长期股权投资—损益调整      8 400 000          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[（48 000 000-6 000 000）×20%]</w:t>
      </w:r>
    </w:p>
    <w:p w:rsidR="000061D5" w:rsidRDefault="00000000" w:rsidP="00A13B32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贷：投资收益                                          8 400 000</w:t>
      </w:r>
    </w:p>
    <w:p w:rsidR="000061D5" w:rsidRDefault="00000000" w:rsidP="00A13B32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假定2025年（次年），甲公司将该商品以18 000 000元的价格出售给外部独立第三方，因该部分内部交易损益已经实现，甲公司在确认应享有乙公司2024年净损益时，应考虑将原未确认的该部分内部交易损益（600万）计入投资损益，即应在考虑其他因素计算确定的投资损益基础上调整增加6 000 000元。假定乙公司2025年实现的净利润为30 000 000元。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甲公司的账务处理如下：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借：长期股权投资—损益调整        7 200 000      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[（30 000 000+6 000 000）×20%]</w:t>
      </w:r>
    </w:p>
    <w:p w:rsidR="000061D5" w:rsidRDefault="00000000" w:rsidP="00A13B32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贷：投资收益                                            7 200 000</w:t>
      </w:r>
    </w:p>
    <w:p w:rsidR="00A13B32" w:rsidRDefault="00A13B32" w:rsidP="00A13B32">
      <w:pPr>
        <w:jc w:val="left"/>
        <w:rPr>
          <w:rFonts w:ascii="宋体" w:hAnsi="宋体" w:cs="宋体" w:hint="eastAsia"/>
        </w:rPr>
      </w:pP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2、被投资单位宣告发放现金股利或利润 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投资单位分得的现金股利或利润，应抵减“长期股权投资——损益调整”明细科目。 </w:t>
      </w:r>
    </w:p>
    <w:p w:rsidR="000061D5" w:rsidRPr="00A13B32" w:rsidRDefault="00000000">
      <w:pPr>
        <w:jc w:val="left"/>
        <w:rPr>
          <w:rFonts w:ascii="宋体" w:hAnsi="宋体" w:cs="宋体"/>
          <w:color w:val="FF0000"/>
        </w:rPr>
      </w:pPr>
      <w:r w:rsidRPr="00A13B32">
        <w:rPr>
          <w:rFonts w:ascii="宋体" w:hAnsi="宋体" w:cs="宋体" w:hint="eastAsia"/>
          <w:color w:val="FF0000"/>
        </w:rPr>
        <w:t>宣告时：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借：应收股利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贷：长期股权投资——损益调整</w:t>
      </w:r>
    </w:p>
    <w:p w:rsidR="000061D5" w:rsidRPr="00A13B32" w:rsidRDefault="00000000">
      <w:pPr>
        <w:jc w:val="left"/>
        <w:rPr>
          <w:rFonts w:ascii="宋体" w:hAnsi="宋体" w:cs="宋体"/>
          <w:color w:val="FF0000"/>
        </w:rPr>
      </w:pPr>
      <w:r w:rsidRPr="00A13B32">
        <w:rPr>
          <w:rFonts w:ascii="宋体" w:hAnsi="宋体" w:cs="宋体" w:hint="eastAsia"/>
          <w:color w:val="FF0000"/>
        </w:rPr>
        <w:t>发放时：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借：银行存款</w:t>
      </w:r>
    </w:p>
    <w:p w:rsidR="000061D5" w:rsidRDefault="00000000" w:rsidP="00A13B32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贷：应收股利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3、被投资单位宣告发放</w:t>
      </w:r>
      <w:r w:rsidRPr="00A13B32">
        <w:rPr>
          <w:rFonts w:ascii="宋体" w:hAnsi="宋体" w:cs="宋体" w:hint="eastAsia"/>
          <w:color w:val="FF0000"/>
        </w:rPr>
        <w:t xml:space="preserve">股票股利 </w:t>
      </w:r>
    </w:p>
    <w:p w:rsidR="000061D5" w:rsidRDefault="00000000" w:rsidP="00A13B32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无论成本法还是权益法，均不能将其认定为投资收益，只需在</w:t>
      </w:r>
      <w:r w:rsidRPr="00A13B32">
        <w:rPr>
          <w:rFonts w:ascii="宋体" w:hAnsi="宋体" w:cs="宋体" w:hint="eastAsia"/>
          <w:color w:val="FF0000"/>
        </w:rPr>
        <w:t>备查簿中登记</w:t>
      </w:r>
      <w:r>
        <w:rPr>
          <w:rFonts w:ascii="宋体" w:hAnsi="宋体" w:cs="宋体" w:hint="eastAsia"/>
        </w:rPr>
        <w:t>由此而增加的股份额即可。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（三）被投资单位其他综合收益变动的处理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1、被投资单位其他综合收益发生变动的，投资方应当按照归属于本企业的部分，相应调整长期股权投资的账面价值，同时增加或减少其他综合收益。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借：长期股权投资——其他综合收益 </w:t>
      </w:r>
    </w:p>
    <w:p w:rsidR="000061D5" w:rsidRPr="00A13B32" w:rsidRDefault="00000000" w:rsidP="00A13B32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贷：其他综合收益（或反分录） </w:t>
      </w:r>
    </w:p>
    <w:p w:rsidR="000061D5" w:rsidRPr="00A13B32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2、投资方</w:t>
      </w:r>
      <w:r w:rsidRPr="00A13B32">
        <w:rPr>
          <w:rFonts w:ascii="宋体" w:hAnsi="宋体" w:cs="宋体" w:hint="eastAsia"/>
          <w:color w:val="FF0000"/>
        </w:rPr>
        <w:t>全部处置</w:t>
      </w:r>
      <w:r>
        <w:rPr>
          <w:rFonts w:ascii="宋体" w:hAnsi="宋体" w:cs="宋体" w:hint="eastAsia"/>
        </w:rPr>
        <w:t>权益法核算的长期股权投资时，原权益法核算的相关其他综合收益应当在终止采用权益法核算时</w:t>
      </w:r>
      <w:r w:rsidRPr="00A13B32">
        <w:rPr>
          <w:rFonts w:ascii="宋体" w:hAnsi="宋体" w:cs="宋体" w:hint="eastAsia"/>
          <w:color w:val="FF0000"/>
        </w:rPr>
        <w:t>全部计入投资收益；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投资方</w:t>
      </w:r>
      <w:r w:rsidRPr="00A13B32">
        <w:rPr>
          <w:rFonts w:ascii="宋体" w:hAnsi="宋体" w:cs="宋体" w:hint="eastAsia"/>
          <w:color w:val="FF0000"/>
        </w:rPr>
        <w:t>部分处置</w:t>
      </w:r>
      <w:r>
        <w:rPr>
          <w:rFonts w:ascii="宋体" w:hAnsi="宋体" w:cs="宋体" w:hint="eastAsia"/>
        </w:rPr>
        <w:t>权益法核算的长期股权投资，剩余股权仍采用权益法核算的，原权益法核算的相关其他综合收益</w:t>
      </w:r>
      <w:r w:rsidRPr="00A13B32">
        <w:rPr>
          <w:rFonts w:ascii="宋体" w:hAnsi="宋体" w:cs="宋体" w:hint="eastAsia"/>
          <w:color w:val="FF0000"/>
        </w:rPr>
        <w:t>按比例结转计入投资收益。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借：其他综合收益</w:t>
      </w:r>
    </w:p>
    <w:p w:rsidR="000061D5" w:rsidRDefault="00000000" w:rsidP="00A13B32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贷：投资收益（或反分录）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（四）取得现金股利或利润的处理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被投资单位发生除净损益、其他综合收益以及利润分配以外的所有者权益的其他变动的业务。应按所持股权比例计算应享有的份额，调整长期股权投资的账面价值，同时计入资本公积（其他资本公积），并在备查簿中予以登记。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借：长期股权投资——其他权益变动 </w:t>
      </w:r>
    </w:p>
    <w:p w:rsidR="000061D5" w:rsidRDefault="00000000" w:rsidP="00A13B32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贷：资本公积——其他资本公积（或反分录）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2、投资方在后续处置股权投资但对剩余股权仍采用权益法核算时，应按处置比例将这部分资本公积转入当期投资收益；对剩余股权终止权益法核算时，将这部分资本公积全部转入当期投资收益。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借：资本公积——其他资本公积</w:t>
      </w:r>
    </w:p>
    <w:p w:rsidR="000061D5" w:rsidRDefault="00000000" w:rsidP="00A13B32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贷：投资收益（或反分录）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（五）长期股权投资的减值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长期股权投资减值准备一经计提，持有期间不得转回。</w:t>
      </w:r>
    </w:p>
    <w:p w:rsidR="000061D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借：资产减值损失</w:t>
      </w:r>
    </w:p>
    <w:p w:rsidR="000061D5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贷：长期股权投资减值准备</w:t>
      </w:r>
    </w:p>
    <w:sectPr w:rsidR="000061D5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8BCF04FD"/>
    <w:rsid w:val="8D7F0DEA"/>
    <w:rsid w:val="8FCE0D75"/>
    <w:rsid w:val="ADBF441C"/>
    <w:rsid w:val="ADCD4369"/>
    <w:rsid w:val="BF718A0E"/>
    <w:rsid w:val="D9F56424"/>
    <w:rsid w:val="DDDF23BF"/>
    <w:rsid w:val="DDE65571"/>
    <w:rsid w:val="E9BF7DA3"/>
    <w:rsid w:val="EFFB9276"/>
    <w:rsid w:val="F7FFBA63"/>
    <w:rsid w:val="FBEF87D0"/>
    <w:rsid w:val="FF6351AF"/>
    <w:rsid w:val="FF99AA03"/>
    <w:rsid w:val="00004132"/>
    <w:rsid w:val="000061D5"/>
    <w:rsid w:val="000B1F11"/>
    <w:rsid w:val="000E5C49"/>
    <w:rsid w:val="000F2126"/>
    <w:rsid w:val="00122A1C"/>
    <w:rsid w:val="00144E54"/>
    <w:rsid w:val="001F192C"/>
    <w:rsid w:val="0027282F"/>
    <w:rsid w:val="002A1721"/>
    <w:rsid w:val="00331738"/>
    <w:rsid w:val="003B71E3"/>
    <w:rsid w:val="00401D9A"/>
    <w:rsid w:val="00586FBC"/>
    <w:rsid w:val="005D5EC3"/>
    <w:rsid w:val="005E3B39"/>
    <w:rsid w:val="00641CE4"/>
    <w:rsid w:val="00732E40"/>
    <w:rsid w:val="00743680"/>
    <w:rsid w:val="007725F4"/>
    <w:rsid w:val="00801633"/>
    <w:rsid w:val="0085649F"/>
    <w:rsid w:val="00984964"/>
    <w:rsid w:val="009C2A07"/>
    <w:rsid w:val="009D29F9"/>
    <w:rsid w:val="009E1DA1"/>
    <w:rsid w:val="009E78BB"/>
    <w:rsid w:val="00A13B32"/>
    <w:rsid w:val="00A84615"/>
    <w:rsid w:val="00A9095F"/>
    <w:rsid w:val="00AA0512"/>
    <w:rsid w:val="00AA1A59"/>
    <w:rsid w:val="00AE010C"/>
    <w:rsid w:val="00AE0A92"/>
    <w:rsid w:val="00B5599F"/>
    <w:rsid w:val="00B76B9D"/>
    <w:rsid w:val="00B867B9"/>
    <w:rsid w:val="00BC055A"/>
    <w:rsid w:val="00BE4B58"/>
    <w:rsid w:val="00CB0FE9"/>
    <w:rsid w:val="00CC6AFF"/>
    <w:rsid w:val="00CF5A87"/>
    <w:rsid w:val="00D0691E"/>
    <w:rsid w:val="00D44688"/>
    <w:rsid w:val="00E05841"/>
    <w:rsid w:val="00E257B7"/>
    <w:rsid w:val="00EE7CC5"/>
    <w:rsid w:val="00F17873"/>
    <w:rsid w:val="00F23AC5"/>
    <w:rsid w:val="00FB2AFC"/>
    <w:rsid w:val="00FD07CA"/>
    <w:rsid w:val="00FE07E1"/>
    <w:rsid w:val="04043713"/>
    <w:rsid w:val="06F537E7"/>
    <w:rsid w:val="078B5EF9"/>
    <w:rsid w:val="0C2030B4"/>
    <w:rsid w:val="0E99714E"/>
    <w:rsid w:val="135D5531"/>
    <w:rsid w:val="14E37374"/>
    <w:rsid w:val="17417CFA"/>
    <w:rsid w:val="17EBC250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33F2E2B"/>
    <w:rsid w:val="34715F1D"/>
    <w:rsid w:val="387719FE"/>
    <w:rsid w:val="3E7AA229"/>
    <w:rsid w:val="47CB76EB"/>
    <w:rsid w:val="4B550AA9"/>
    <w:rsid w:val="514836E7"/>
    <w:rsid w:val="537D11A8"/>
    <w:rsid w:val="55DB1658"/>
    <w:rsid w:val="5EFBB2E2"/>
    <w:rsid w:val="5FD6198B"/>
    <w:rsid w:val="5FEF7F48"/>
    <w:rsid w:val="67A535E2"/>
    <w:rsid w:val="68753EF9"/>
    <w:rsid w:val="68921DB9"/>
    <w:rsid w:val="69BA295A"/>
    <w:rsid w:val="69FF3A5F"/>
    <w:rsid w:val="6AC81AA4"/>
    <w:rsid w:val="6F315D76"/>
    <w:rsid w:val="7D791FB7"/>
    <w:rsid w:val="7DA55C93"/>
    <w:rsid w:val="7EFDB8B4"/>
    <w:rsid w:val="7FA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E513420"/>
  <w15:docId w15:val="{B649C23A-A2F1-9841-B11D-1E34A39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25</cp:revision>
  <dcterms:created xsi:type="dcterms:W3CDTF">2025-04-20T14:53:00Z</dcterms:created>
  <dcterms:modified xsi:type="dcterms:W3CDTF">2025-05-11T07:30:00Z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