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738" w:rsidRPr="00F17873" w:rsidRDefault="00000000" w:rsidP="00F17873">
      <w:pPr>
        <w:overflowPunct w:val="0"/>
        <w:jc w:val="center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第二节  长期股权投资的后续计量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【例-计算分析题】甲公司有关投资业务如下：</w:t>
      </w:r>
    </w:p>
    <w:p w:rsidR="00331738" w:rsidRDefault="00000000" w:rsidP="00F17873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资料一：甲公司于2025年1月1日购入乙公司20%的股份，并自取得投资之日起派一名董事参与乙公司的财务和生产经营决策。取得投资日，乙公司可辨认净资产账面价值为6 000万元，可辨认净资产公允价值为6 920万元，除下列项目外，其账面其他资产、负债的公允价值与账面价值相同：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                                                        单位：万元</w:t>
      </w:r>
    </w:p>
    <w:tbl>
      <w:tblPr>
        <w:tblStyle w:val="a5"/>
        <w:tblW w:w="4997" w:type="pct"/>
        <w:tblLook w:val="04A0" w:firstRow="1" w:lastRow="0" w:firstColumn="1" w:lastColumn="0" w:noHBand="0" w:noVBand="1"/>
      </w:tblPr>
      <w:tblGrid>
        <w:gridCol w:w="1235"/>
        <w:gridCol w:w="886"/>
        <w:gridCol w:w="1133"/>
        <w:gridCol w:w="993"/>
        <w:gridCol w:w="850"/>
        <w:gridCol w:w="1276"/>
        <w:gridCol w:w="1419"/>
        <w:gridCol w:w="2114"/>
      </w:tblGrid>
      <w:tr w:rsidR="00F17873" w:rsidTr="00F17873">
        <w:tc>
          <w:tcPr>
            <w:tcW w:w="624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</w:t>
            </w:r>
          </w:p>
        </w:tc>
        <w:tc>
          <w:tcPr>
            <w:tcW w:w="447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账面</w:t>
            </w:r>
          </w:p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成本</w:t>
            </w:r>
          </w:p>
        </w:tc>
        <w:tc>
          <w:tcPr>
            <w:tcW w:w="572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已提折旧或已摊销</w:t>
            </w:r>
          </w:p>
        </w:tc>
        <w:tc>
          <w:tcPr>
            <w:tcW w:w="501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公允</w:t>
            </w:r>
          </w:p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价值</w:t>
            </w:r>
          </w:p>
        </w:tc>
        <w:tc>
          <w:tcPr>
            <w:tcW w:w="429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评估</w:t>
            </w:r>
          </w:p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增值</w:t>
            </w:r>
          </w:p>
        </w:tc>
        <w:tc>
          <w:tcPr>
            <w:tcW w:w="644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乙公司预计使用年限</w:t>
            </w:r>
          </w:p>
        </w:tc>
        <w:tc>
          <w:tcPr>
            <w:tcW w:w="716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乙公司已使用年限</w:t>
            </w:r>
          </w:p>
        </w:tc>
        <w:tc>
          <w:tcPr>
            <w:tcW w:w="1067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甲公司取得投资后剩余使用年限</w:t>
            </w:r>
          </w:p>
        </w:tc>
      </w:tr>
      <w:tr w:rsidR="00F17873" w:rsidTr="00F17873">
        <w:tc>
          <w:tcPr>
            <w:tcW w:w="624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存货</w:t>
            </w:r>
          </w:p>
        </w:tc>
        <w:tc>
          <w:tcPr>
            <w:tcW w:w="447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500</w:t>
            </w:r>
          </w:p>
        </w:tc>
        <w:tc>
          <w:tcPr>
            <w:tcW w:w="572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501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700</w:t>
            </w:r>
          </w:p>
        </w:tc>
        <w:tc>
          <w:tcPr>
            <w:tcW w:w="429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</w:t>
            </w:r>
          </w:p>
        </w:tc>
        <w:tc>
          <w:tcPr>
            <w:tcW w:w="644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716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67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F17873" w:rsidTr="00F17873">
        <w:tc>
          <w:tcPr>
            <w:tcW w:w="624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固定资产</w:t>
            </w:r>
          </w:p>
        </w:tc>
        <w:tc>
          <w:tcPr>
            <w:tcW w:w="447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1 000</w:t>
            </w:r>
          </w:p>
        </w:tc>
        <w:tc>
          <w:tcPr>
            <w:tcW w:w="572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</w:t>
            </w:r>
          </w:p>
        </w:tc>
        <w:tc>
          <w:tcPr>
            <w:tcW w:w="501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1 200</w:t>
            </w:r>
          </w:p>
        </w:tc>
        <w:tc>
          <w:tcPr>
            <w:tcW w:w="429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400</w:t>
            </w:r>
          </w:p>
        </w:tc>
        <w:tc>
          <w:tcPr>
            <w:tcW w:w="644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716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067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</w:tr>
      <w:tr w:rsidR="00F17873" w:rsidTr="00F17873">
        <w:tc>
          <w:tcPr>
            <w:tcW w:w="624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无形资产</w:t>
            </w:r>
          </w:p>
        </w:tc>
        <w:tc>
          <w:tcPr>
            <w:tcW w:w="447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600</w:t>
            </w:r>
          </w:p>
        </w:tc>
        <w:tc>
          <w:tcPr>
            <w:tcW w:w="572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120</w:t>
            </w:r>
          </w:p>
        </w:tc>
        <w:tc>
          <w:tcPr>
            <w:tcW w:w="501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800</w:t>
            </w:r>
          </w:p>
        </w:tc>
        <w:tc>
          <w:tcPr>
            <w:tcW w:w="429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320</w:t>
            </w:r>
          </w:p>
        </w:tc>
        <w:tc>
          <w:tcPr>
            <w:tcW w:w="644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716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067" w:type="pct"/>
          </w:tcPr>
          <w:p w:rsidR="00F17873" w:rsidRDefault="00F17873" w:rsidP="00CB52E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</w:tbl>
    <w:p w:rsidR="00331738" w:rsidRDefault="00000000" w:rsidP="00F17873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上述固定资产和无形资产为乙公司管理用，甲公司和乙公司均采用直线法计提折旧。至年末在甲公司取得投资时的乙公司账面存货有80%对外出售。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资料二：假定乙公司于2025年实现净利润1 225万元，甲公司与乙公司的会计年度及采用的会计政策相同，甲、乙公司间未发生任何内部交易。（不考虑所得税影响）。根据上述资料，甲公司会计处理如下：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①2025年：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调整后的净利润＝</w:t>
      </w:r>
    </w:p>
    <w:p w:rsidR="00331738" w:rsidRDefault="00000000" w:rsidP="00F17873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1 225－200×80%－（1 200/16－1 000/20）－（800/8－600/10）＝1 225－160－25－40＝1 000（万元）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甲公司应享有份额＝1 000×20%＝200（万元）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借：长期股权投资——损益调整      200 </w:t>
      </w:r>
    </w:p>
    <w:p w:rsidR="00331738" w:rsidRDefault="00000000" w:rsidP="00F17873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贷：投资收益                                   200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②2026年：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假定乙公司于2026年发生净亏损405万元，甲公司取得投资时乙公司的账面存货剩余的20%在2026年对外出售。假定甲、乙公司间未发生任何内部交易。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调整后的净利润＝－405－200×20%－400/16－320/8＝－405－40－25－40＝－510（万元）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甲公司应承担的份额＝510×20%＝102（万元）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借：投资收益                                       102</w:t>
      </w:r>
    </w:p>
    <w:p w:rsidR="00331738" w:rsidRDefault="00000000" w:rsidP="00F17873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贷：长期股权投资——损益调整      102 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（3）被投资方发生巨额亏损时账务处理：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a.以</w:t>
      </w:r>
      <w:r w:rsidRPr="00F17873">
        <w:rPr>
          <w:rFonts w:ascii="宋体" w:hAnsi="宋体" w:cs="宋体" w:hint="eastAsia"/>
          <w:color w:val="FF0000"/>
        </w:rPr>
        <w:t>长期股权投资账面价值冲减至0</w:t>
      </w:r>
      <w:r>
        <w:rPr>
          <w:rFonts w:ascii="宋体" w:hAnsi="宋体" w:cs="宋体" w:hint="eastAsia"/>
        </w:rPr>
        <w:t>为限；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b.如果投资方对被投资方有</w:t>
      </w:r>
      <w:r w:rsidRPr="00F17873">
        <w:rPr>
          <w:rFonts w:ascii="宋体" w:hAnsi="宋体" w:cs="宋体" w:hint="eastAsia"/>
          <w:color w:val="FF0000"/>
        </w:rPr>
        <w:t>“长期应收款”</w:t>
      </w:r>
      <w:r>
        <w:rPr>
          <w:rFonts w:ascii="宋体" w:hAnsi="宋体" w:cs="宋体" w:hint="eastAsia"/>
        </w:rPr>
        <w:t>的应在确认金额内冲减；</w:t>
      </w:r>
    </w:p>
    <w:p w:rsidR="00331738" w:rsidRPr="00F17873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c.若双方约定承担一定额度的连带亏损责任的，在额度内确认</w:t>
      </w:r>
      <w:r w:rsidRPr="00F17873">
        <w:rPr>
          <w:rFonts w:ascii="宋体" w:hAnsi="宋体" w:cs="宋体" w:hint="eastAsia"/>
          <w:color w:val="FF0000"/>
        </w:rPr>
        <w:t>预计负债；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d.剩余部分在</w:t>
      </w:r>
      <w:r w:rsidRPr="00F17873">
        <w:rPr>
          <w:rFonts w:ascii="宋体" w:hAnsi="宋体" w:cs="宋体" w:hint="eastAsia"/>
          <w:color w:val="FF0000"/>
        </w:rPr>
        <w:t>备查</w:t>
      </w:r>
      <w:r>
        <w:rPr>
          <w:rFonts w:ascii="宋体" w:hAnsi="宋体" w:cs="宋体" w:hint="eastAsia"/>
        </w:rPr>
        <w:t>中予以登记。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后期实现收益时，依次恢复相应价值。</w:t>
      </w:r>
    </w:p>
    <w:p w:rsidR="00331738" w:rsidRDefault="00331738">
      <w:pPr>
        <w:overflowPunct w:val="0"/>
        <w:jc w:val="left"/>
        <w:rPr>
          <w:rFonts w:ascii="宋体" w:hAnsi="宋体" w:cs="宋体"/>
        </w:rPr>
      </w:pP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】甲公司2024年初取得乙公司40%的股权，初始投资成本为2 000万元，投资当日乙公司各项资产、负债公允价值等于账面价值，双方采用的会计政策、会计期间相同，乙公司2024年初公允可辨认净资产金额为4 000万元。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（1）初始投资时甲公司的会计处理如下：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借：长期股权投资——投资成本    2 000</w:t>
      </w:r>
    </w:p>
    <w:p w:rsidR="00331738" w:rsidRDefault="00000000" w:rsidP="00F17873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贷：银行存款等                                2 000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（2）2024年乙公司实现净利润500万元，甲公司账务处理如下：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借：长期股权投资——损益调整   200</w:t>
      </w:r>
    </w:p>
    <w:p w:rsidR="00331738" w:rsidRDefault="00000000" w:rsidP="00F17873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贷：投资收益                                200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（3）假设乙公司2025年亏损6 000万元，甲公司同时拥有对乙公司“长期应收款”120万元，且甲公司对乙公司亏损不负连带责任，甲公司账务处理如下：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借：投资收益                               2 320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贷：长期股权投资——损益调整   2 200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 xml:space="preserve">        长期应收款                             120</w:t>
      </w:r>
    </w:p>
    <w:p w:rsidR="00331738" w:rsidRDefault="00000000" w:rsidP="00F17873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同时，在备查簿中登记未入账亏损80万元。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（4）假如乙公司2025年亏损6 000万元，甲公司同时拥有对乙公司“长期应收款”120万元，且甲公司对乙公司亏损承担连带责任时，甲公司账务处理如下：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借：投资收益                               2 400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贷：长期股权投资——损益调整   2 200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长期应收款                              120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预计负债                                  80</w:t>
      </w:r>
    </w:p>
    <w:p w:rsidR="00331738" w:rsidRDefault="00331738">
      <w:pPr>
        <w:overflowPunct w:val="0"/>
        <w:jc w:val="left"/>
        <w:rPr>
          <w:rFonts w:ascii="宋体" w:hAnsi="宋体" w:cs="宋体"/>
        </w:rPr>
      </w:pP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（5）延续（4）乙公司2026年实现净利润900万元时，甲公司应作如下会计处理：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借：预计负债                                    80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长期应收款                               120</w:t>
      </w:r>
    </w:p>
    <w:p w:rsidR="0033173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长期股权投资——损益调整    160</w:t>
      </w:r>
    </w:p>
    <w:p w:rsidR="00331738" w:rsidRDefault="00000000" w:rsidP="00F17873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贷：投资收益                                  360</w:t>
      </w:r>
    </w:p>
    <w:p w:rsidR="00331738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（4）对于投资方与其联营企业及合营企业之间发生的</w:t>
      </w:r>
      <w:r w:rsidRPr="00F17873">
        <w:rPr>
          <w:rFonts w:ascii="宋体" w:hAnsi="宋体" w:cs="宋体" w:hint="eastAsia"/>
          <w:color w:val="FF0000"/>
        </w:rPr>
        <w:t>未实现内部交易损益应予抵销。</w:t>
      </w:r>
    </w:p>
    <w:sectPr w:rsidR="00331738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8BCF04FD"/>
    <w:rsid w:val="8D7F0DEA"/>
    <w:rsid w:val="8FCE0D75"/>
    <w:rsid w:val="ADBF441C"/>
    <w:rsid w:val="ADCD4369"/>
    <w:rsid w:val="BF718A0E"/>
    <w:rsid w:val="D9F56424"/>
    <w:rsid w:val="DDDF23BF"/>
    <w:rsid w:val="DDE65571"/>
    <w:rsid w:val="EFFB9276"/>
    <w:rsid w:val="F7FFBA63"/>
    <w:rsid w:val="FBEF87D0"/>
    <w:rsid w:val="FF6351AF"/>
    <w:rsid w:val="FF99AA03"/>
    <w:rsid w:val="00004132"/>
    <w:rsid w:val="000B1F11"/>
    <w:rsid w:val="000E5C49"/>
    <w:rsid w:val="000F2126"/>
    <w:rsid w:val="00122A1C"/>
    <w:rsid w:val="00144E54"/>
    <w:rsid w:val="001F192C"/>
    <w:rsid w:val="0027282F"/>
    <w:rsid w:val="002A1721"/>
    <w:rsid w:val="00331738"/>
    <w:rsid w:val="003B71E3"/>
    <w:rsid w:val="00401D9A"/>
    <w:rsid w:val="00586FBC"/>
    <w:rsid w:val="005D5EC3"/>
    <w:rsid w:val="005E3B39"/>
    <w:rsid w:val="00641CE4"/>
    <w:rsid w:val="00732E40"/>
    <w:rsid w:val="00743680"/>
    <w:rsid w:val="007725F4"/>
    <w:rsid w:val="00801633"/>
    <w:rsid w:val="0085649F"/>
    <w:rsid w:val="00984964"/>
    <w:rsid w:val="009C2A07"/>
    <w:rsid w:val="009D29F9"/>
    <w:rsid w:val="009E1DA1"/>
    <w:rsid w:val="009E78BB"/>
    <w:rsid w:val="00A84615"/>
    <w:rsid w:val="00A9095F"/>
    <w:rsid w:val="00AA0512"/>
    <w:rsid w:val="00AA1A59"/>
    <w:rsid w:val="00AE010C"/>
    <w:rsid w:val="00AE0A92"/>
    <w:rsid w:val="00B5599F"/>
    <w:rsid w:val="00B76B9D"/>
    <w:rsid w:val="00B867B9"/>
    <w:rsid w:val="00BC055A"/>
    <w:rsid w:val="00BE4B58"/>
    <w:rsid w:val="00CB0FE9"/>
    <w:rsid w:val="00CC6AFF"/>
    <w:rsid w:val="00CF5A87"/>
    <w:rsid w:val="00D0691E"/>
    <w:rsid w:val="00D44688"/>
    <w:rsid w:val="00E05841"/>
    <w:rsid w:val="00E257B7"/>
    <w:rsid w:val="00EE7CC5"/>
    <w:rsid w:val="00F17873"/>
    <w:rsid w:val="00F23AC5"/>
    <w:rsid w:val="00FB2AFC"/>
    <w:rsid w:val="00FD07CA"/>
    <w:rsid w:val="00FE07E1"/>
    <w:rsid w:val="04043713"/>
    <w:rsid w:val="06F537E7"/>
    <w:rsid w:val="078B5EF9"/>
    <w:rsid w:val="0C2030B4"/>
    <w:rsid w:val="0E99714E"/>
    <w:rsid w:val="135D5531"/>
    <w:rsid w:val="14E37374"/>
    <w:rsid w:val="17417CFA"/>
    <w:rsid w:val="17EBC250"/>
    <w:rsid w:val="182757CA"/>
    <w:rsid w:val="1AA11864"/>
    <w:rsid w:val="212B00D9"/>
    <w:rsid w:val="236C49D9"/>
    <w:rsid w:val="2A1A518F"/>
    <w:rsid w:val="2C0559CB"/>
    <w:rsid w:val="2F154177"/>
    <w:rsid w:val="2F283EAA"/>
    <w:rsid w:val="2FDE0A0C"/>
    <w:rsid w:val="333F2E2B"/>
    <w:rsid w:val="34715F1D"/>
    <w:rsid w:val="387719FE"/>
    <w:rsid w:val="3E7AA229"/>
    <w:rsid w:val="47CB76EB"/>
    <w:rsid w:val="4B550AA9"/>
    <w:rsid w:val="514836E7"/>
    <w:rsid w:val="537D11A8"/>
    <w:rsid w:val="55DB1658"/>
    <w:rsid w:val="5EFBB2E2"/>
    <w:rsid w:val="5FD6198B"/>
    <w:rsid w:val="5FEF7F48"/>
    <w:rsid w:val="67A535E2"/>
    <w:rsid w:val="68753EF9"/>
    <w:rsid w:val="68921DB9"/>
    <w:rsid w:val="69BA295A"/>
    <w:rsid w:val="69FF3A5F"/>
    <w:rsid w:val="6AC81AA4"/>
    <w:rsid w:val="6F315D76"/>
    <w:rsid w:val="7D791FB7"/>
    <w:rsid w:val="7DA55C93"/>
    <w:rsid w:val="7EFDB8B4"/>
    <w:rsid w:val="7FA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030FBAA"/>
  <w15:docId w15:val="{B649C23A-A2F1-9841-B11D-1E34A393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24</cp:revision>
  <dcterms:created xsi:type="dcterms:W3CDTF">2025-04-20T06:53:00Z</dcterms:created>
  <dcterms:modified xsi:type="dcterms:W3CDTF">2025-05-11T07:27:00Z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