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772" w:rsidRPr="00FD1FB0" w:rsidRDefault="00000000" w:rsidP="00FD1FB0">
      <w:pPr>
        <w:overflowPunct w:val="0"/>
        <w:jc w:val="center"/>
        <w:rPr>
          <w:rFonts w:ascii="宋体" w:hAnsi="宋体" w:cs="宋体"/>
          <w:b/>
          <w:bCs/>
        </w:rPr>
      </w:pPr>
      <w:r w:rsidRPr="00FD1FB0">
        <w:rPr>
          <w:rFonts w:ascii="宋体" w:hAnsi="宋体" w:cs="宋体" w:hint="eastAsia"/>
          <w:b/>
          <w:bCs/>
        </w:rPr>
        <w:t>第六节  财务管理环境</w:t>
      </w:r>
    </w:p>
    <w:p w:rsidR="00143772" w:rsidRPr="00FD1FB0" w:rsidRDefault="00000000">
      <w:pPr>
        <w:jc w:val="left"/>
        <w:rPr>
          <w:rFonts w:ascii="宋体" w:hAnsi="宋体" w:cs="宋体"/>
          <w:b/>
          <w:bCs/>
        </w:rPr>
      </w:pPr>
      <w:r w:rsidRPr="00FD1FB0">
        <w:rPr>
          <w:rFonts w:ascii="宋体" w:hAnsi="宋体" w:cs="宋体" w:hint="eastAsia"/>
          <w:b/>
          <w:bCs/>
        </w:rPr>
        <w:t>【知识点2】金融环境</w:t>
      </w:r>
    </w:p>
    <w:p w:rsidR="00143772" w:rsidRDefault="00000000">
      <w:pPr>
        <w:jc w:val="left"/>
        <w:rPr>
          <w:rFonts w:ascii="宋体" w:hAnsi="宋体" w:cs="宋体"/>
        </w:rPr>
      </w:pPr>
      <w:r>
        <w:rPr>
          <w:rFonts w:ascii="宋体" w:hAnsi="宋体" w:cs="宋体" w:hint="eastAsia"/>
        </w:rPr>
        <w:t>金融机构、金融工具、金融市场</w:t>
      </w:r>
    </w:p>
    <w:p w:rsidR="00143772" w:rsidRDefault="00000000">
      <w:pPr>
        <w:jc w:val="left"/>
        <w:rPr>
          <w:rFonts w:ascii="宋体" w:hAnsi="宋体" w:cs="宋体"/>
        </w:rPr>
      </w:pPr>
      <w:r>
        <w:rPr>
          <w:rFonts w:ascii="宋体" w:hAnsi="宋体" w:cs="宋体" w:hint="eastAsia"/>
        </w:rPr>
        <w:t>1.金融机构：银行和非银行金融机构</w:t>
      </w:r>
    </w:p>
    <w:p w:rsidR="00143772" w:rsidRDefault="00000000">
      <w:pPr>
        <w:jc w:val="left"/>
        <w:rPr>
          <w:rFonts w:ascii="宋体" w:hAnsi="宋体" w:cs="宋体"/>
        </w:rPr>
      </w:pPr>
      <w:r>
        <w:rPr>
          <w:rFonts w:ascii="宋体" w:hAnsi="宋体" w:cs="宋体" w:hint="eastAsia"/>
        </w:rPr>
        <w:t>2.金融工具：是指形成一方的金融资产并形成其他方的金融负债或权益工具的合同。借助金融工具，资金从供给方转移到需求方。</w:t>
      </w:r>
    </w:p>
    <w:p w:rsidR="00143772" w:rsidRDefault="00000000">
      <w:pPr>
        <w:jc w:val="left"/>
        <w:rPr>
          <w:rFonts w:ascii="宋体" w:hAnsi="宋体" w:cs="宋体"/>
        </w:rPr>
      </w:pPr>
      <w:r>
        <w:rPr>
          <w:rFonts w:ascii="宋体" w:hAnsi="宋体" w:cs="宋体" w:hint="eastAsia"/>
        </w:rPr>
        <w:t>（1）金融工具类型</w:t>
      </w:r>
    </w:p>
    <w:tbl>
      <w:tblPr>
        <w:tblStyle w:val="a5"/>
        <w:tblW w:w="5000" w:type="pct"/>
        <w:tblLook w:val="04A0" w:firstRow="1" w:lastRow="0" w:firstColumn="1" w:lastColumn="0" w:noHBand="0" w:noVBand="1"/>
      </w:tblPr>
      <w:tblGrid>
        <w:gridCol w:w="1554"/>
        <w:gridCol w:w="8358"/>
      </w:tblGrid>
      <w:tr w:rsidR="00FD1FB0" w:rsidTr="00FD1FB0">
        <w:tc>
          <w:tcPr>
            <w:tcW w:w="784" w:type="pct"/>
          </w:tcPr>
          <w:p w:rsidR="00FD1FB0" w:rsidRDefault="00FD1FB0" w:rsidP="009F696E">
            <w:pPr>
              <w:jc w:val="left"/>
              <w:rPr>
                <w:rFonts w:ascii="宋体" w:hAnsi="宋体" w:cs="宋体"/>
              </w:rPr>
            </w:pPr>
            <w:r>
              <w:rPr>
                <w:rFonts w:ascii="宋体" w:hAnsi="宋体" w:cs="宋体" w:hint="eastAsia"/>
              </w:rPr>
              <w:t>基本金融工具</w:t>
            </w:r>
          </w:p>
        </w:tc>
        <w:tc>
          <w:tcPr>
            <w:tcW w:w="4216" w:type="pct"/>
          </w:tcPr>
          <w:p w:rsidR="00FD1FB0" w:rsidRDefault="00FD1FB0" w:rsidP="009F696E">
            <w:pPr>
              <w:jc w:val="left"/>
              <w:rPr>
                <w:rFonts w:ascii="宋体" w:hAnsi="宋体" w:cs="宋体"/>
              </w:rPr>
            </w:pPr>
            <w:r>
              <w:rPr>
                <w:rFonts w:ascii="宋体" w:hAnsi="宋体" w:cs="宋体" w:hint="eastAsia"/>
              </w:rPr>
              <w:t>企业持有的现金、从其他方收取现金或其他金融资产的合同权利、向其他方交付现金或其他金融资产的合同义务等；如股票、债券</w:t>
            </w:r>
          </w:p>
        </w:tc>
      </w:tr>
      <w:tr w:rsidR="00FD1FB0" w:rsidTr="00FD1FB0">
        <w:tc>
          <w:tcPr>
            <w:tcW w:w="784" w:type="pct"/>
          </w:tcPr>
          <w:p w:rsidR="00FD1FB0" w:rsidRDefault="00FD1FB0" w:rsidP="009F696E">
            <w:pPr>
              <w:jc w:val="left"/>
              <w:rPr>
                <w:rFonts w:ascii="宋体" w:hAnsi="宋体" w:cs="宋体"/>
              </w:rPr>
            </w:pPr>
            <w:r>
              <w:rPr>
                <w:rFonts w:ascii="宋体" w:hAnsi="宋体" w:cs="宋体" w:hint="eastAsia"/>
              </w:rPr>
              <w:t>衍生金融工具</w:t>
            </w:r>
          </w:p>
        </w:tc>
        <w:tc>
          <w:tcPr>
            <w:tcW w:w="4216" w:type="pct"/>
          </w:tcPr>
          <w:p w:rsidR="00FD1FB0" w:rsidRDefault="00FD1FB0" w:rsidP="009F696E">
            <w:pPr>
              <w:jc w:val="left"/>
              <w:rPr>
                <w:rFonts w:ascii="宋体" w:hAnsi="宋体" w:cs="宋体"/>
              </w:rPr>
            </w:pPr>
            <w:r>
              <w:rPr>
                <w:rFonts w:ascii="宋体" w:hAnsi="宋体" w:cs="宋体" w:hint="eastAsia"/>
              </w:rPr>
              <w:t>在基本金融工具的基础上通过特定技术设计形成的新的金融工具，如远期合同、期货合同、互换合同和期权合同等。</w:t>
            </w:r>
          </w:p>
        </w:tc>
      </w:tr>
    </w:tbl>
    <w:p w:rsidR="00143772" w:rsidRDefault="00000000">
      <w:pPr>
        <w:jc w:val="left"/>
        <w:rPr>
          <w:rFonts w:ascii="宋体" w:hAnsi="宋体" w:cs="宋体" w:hint="eastAsia"/>
        </w:rPr>
      </w:pPr>
      <w:r>
        <w:rPr>
          <w:rFonts w:ascii="宋体" w:hAnsi="宋体" w:cs="宋体" w:hint="eastAsia"/>
        </w:rPr>
        <w:t>（2）金融工具的特征</w:t>
      </w:r>
    </w:p>
    <w:tbl>
      <w:tblPr>
        <w:tblStyle w:val="a5"/>
        <w:tblW w:w="5000" w:type="pct"/>
        <w:tblLook w:val="04A0" w:firstRow="1" w:lastRow="0" w:firstColumn="1" w:lastColumn="0" w:noHBand="0" w:noVBand="1"/>
      </w:tblPr>
      <w:tblGrid>
        <w:gridCol w:w="1554"/>
        <w:gridCol w:w="8358"/>
      </w:tblGrid>
      <w:tr w:rsidR="00143772" w:rsidTr="00FD1FB0">
        <w:tc>
          <w:tcPr>
            <w:tcW w:w="784" w:type="pct"/>
          </w:tcPr>
          <w:p w:rsidR="00143772" w:rsidRDefault="00000000">
            <w:pPr>
              <w:jc w:val="left"/>
              <w:rPr>
                <w:rFonts w:ascii="宋体" w:hAnsi="宋体" w:cs="宋体"/>
              </w:rPr>
            </w:pPr>
            <w:r>
              <w:rPr>
                <w:rFonts w:ascii="宋体" w:hAnsi="宋体" w:cs="宋体" w:hint="eastAsia"/>
              </w:rPr>
              <w:t>流动性</w:t>
            </w:r>
          </w:p>
        </w:tc>
        <w:tc>
          <w:tcPr>
            <w:tcW w:w="4216" w:type="pct"/>
          </w:tcPr>
          <w:p w:rsidR="00143772" w:rsidRDefault="00000000">
            <w:pPr>
              <w:jc w:val="left"/>
              <w:rPr>
                <w:rFonts w:ascii="宋体" w:hAnsi="宋体" w:cs="宋体"/>
              </w:rPr>
            </w:pPr>
            <w:r>
              <w:rPr>
                <w:rFonts w:ascii="宋体" w:hAnsi="宋体" w:cs="宋体" w:hint="eastAsia"/>
              </w:rPr>
              <w:t>金融工具在必要时迅速转变为现金而不致遭受损失的能力</w:t>
            </w:r>
          </w:p>
        </w:tc>
      </w:tr>
      <w:tr w:rsidR="00143772" w:rsidTr="00FD1FB0">
        <w:tc>
          <w:tcPr>
            <w:tcW w:w="784" w:type="pct"/>
          </w:tcPr>
          <w:p w:rsidR="00143772" w:rsidRDefault="00000000">
            <w:pPr>
              <w:jc w:val="left"/>
              <w:rPr>
                <w:rFonts w:ascii="宋体" w:hAnsi="宋体" w:cs="宋体"/>
              </w:rPr>
            </w:pPr>
            <w:r>
              <w:rPr>
                <w:rFonts w:ascii="宋体" w:hAnsi="宋体" w:cs="宋体" w:hint="eastAsia"/>
              </w:rPr>
              <w:t>风险性</w:t>
            </w:r>
          </w:p>
        </w:tc>
        <w:tc>
          <w:tcPr>
            <w:tcW w:w="4216" w:type="pct"/>
          </w:tcPr>
          <w:p w:rsidR="00143772" w:rsidRDefault="00000000">
            <w:pPr>
              <w:jc w:val="left"/>
              <w:rPr>
                <w:rFonts w:ascii="宋体" w:hAnsi="宋体" w:cs="宋体"/>
              </w:rPr>
            </w:pPr>
            <w:r>
              <w:rPr>
                <w:rFonts w:ascii="宋体" w:hAnsi="宋体" w:cs="宋体" w:hint="eastAsia"/>
              </w:rPr>
              <w:t xml:space="preserve">购买金融工具的本金和预定收益遭受损失的可能性，一般包括信用风险和市场风险 </w:t>
            </w:r>
          </w:p>
        </w:tc>
      </w:tr>
      <w:tr w:rsidR="00143772" w:rsidTr="00FD1FB0">
        <w:tc>
          <w:tcPr>
            <w:tcW w:w="784" w:type="pct"/>
          </w:tcPr>
          <w:p w:rsidR="00143772" w:rsidRDefault="00000000">
            <w:pPr>
              <w:jc w:val="left"/>
              <w:rPr>
                <w:rFonts w:ascii="宋体" w:hAnsi="宋体" w:cs="宋体"/>
              </w:rPr>
            </w:pPr>
            <w:r>
              <w:rPr>
                <w:rFonts w:ascii="宋体" w:hAnsi="宋体" w:cs="宋体" w:hint="eastAsia"/>
              </w:rPr>
              <w:t>收益性</w:t>
            </w:r>
          </w:p>
        </w:tc>
        <w:tc>
          <w:tcPr>
            <w:tcW w:w="4216" w:type="pct"/>
          </w:tcPr>
          <w:p w:rsidR="00143772" w:rsidRDefault="00000000">
            <w:pPr>
              <w:jc w:val="left"/>
              <w:rPr>
                <w:rFonts w:ascii="宋体" w:hAnsi="宋体" w:cs="宋体"/>
              </w:rPr>
            </w:pPr>
            <w:r>
              <w:rPr>
                <w:rFonts w:ascii="宋体" w:hAnsi="宋体" w:cs="宋体" w:hint="eastAsia"/>
              </w:rPr>
              <w:t>金融工具能定期或不定期给持有人带来收益</w:t>
            </w:r>
          </w:p>
        </w:tc>
      </w:tr>
    </w:tbl>
    <w:p w:rsidR="00143772" w:rsidRDefault="00143772">
      <w:pPr>
        <w:jc w:val="left"/>
        <w:rPr>
          <w:rFonts w:ascii="宋体" w:hAnsi="宋体" w:cs="宋体"/>
        </w:rPr>
      </w:pPr>
    </w:p>
    <w:p w:rsidR="00143772" w:rsidRDefault="00000000">
      <w:pPr>
        <w:jc w:val="left"/>
        <w:rPr>
          <w:rFonts w:ascii="宋体" w:hAnsi="宋体" w:cs="宋体"/>
        </w:rPr>
      </w:pPr>
      <w:r>
        <w:rPr>
          <w:rFonts w:ascii="宋体" w:hAnsi="宋体" w:cs="宋体" w:hint="eastAsia"/>
        </w:rPr>
        <w:t>【多选题】下列金融工具中，属于衍生金融工具的有（  ）。</w:t>
      </w:r>
    </w:p>
    <w:p w:rsidR="00143772" w:rsidRDefault="00000000">
      <w:pPr>
        <w:jc w:val="left"/>
        <w:rPr>
          <w:rFonts w:ascii="宋体" w:hAnsi="宋体" w:cs="宋体"/>
        </w:rPr>
      </w:pPr>
      <w:r>
        <w:rPr>
          <w:rFonts w:ascii="宋体" w:hAnsi="宋体" w:cs="宋体" w:hint="eastAsia"/>
        </w:rPr>
        <w:t xml:space="preserve">A.银行承兑汇票         </w:t>
      </w:r>
    </w:p>
    <w:p w:rsidR="00143772" w:rsidRDefault="00000000">
      <w:pPr>
        <w:jc w:val="left"/>
        <w:rPr>
          <w:rFonts w:ascii="宋体" w:hAnsi="宋体" w:cs="宋体"/>
        </w:rPr>
      </w:pPr>
      <w:r>
        <w:rPr>
          <w:rFonts w:ascii="宋体" w:hAnsi="宋体" w:cs="宋体" w:hint="eastAsia"/>
        </w:rPr>
        <w:t xml:space="preserve">B.远期外汇            </w:t>
      </w:r>
    </w:p>
    <w:p w:rsidR="00143772" w:rsidRDefault="00000000">
      <w:pPr>
        <w:jc w:val="left"/>
        <w:rPr>
          <w:rFonts w:ascii="宋体" w:hAnsi="宋体" w:cs="宋体"/>
        </w:rPr>
      </w:pPr>
      <w:r>
        <w:rPr>
          <w:rFonts w:ascii="宋体" w:hAnsi="宋体" w:cs="宋体" w:hint="eastAsia"/>
        </w:rPr>
        <w:t xml:space="preserve">C.股票期权          </w:t>
      </w:r>
    </w:p>
    <w:p w:rsidR="00143772" w:rsidRDefault="00000000">
      <w:pPr>
        <w:jc w:val="left"/>
        <w:rPr>
          <w:rFonts w:ascii="宋体" w:hAnsi="宋体" w:cs="宋体"/>
        </w:rPr>
      </w:pPr>
      <w:r>
        <w:rPr>
          <w:rFonts w:ascii="宋体" w:hAnsi="宋体" w:cs="宋体" w:hint="eastAsia"/>
        </w:rPr>
        <w:t>D.股指期货</w:t>
      </w:r>
    </w:p>
    <w:p w:rsidR="00143772" w:rsidRDefault="00000000">
      <w:pPr>
        <w:jc w:val="left"/>
        <w:rPr>
          <w:rFonts w:ascii="宋体" w:hAnsi="宋体" w:cs="宋体"/>
        </w:rPr>
      </w:pPr>
      <w:r>
        <w:rPr>
          <w:rFonts w:ascii="宋体" w:hAnsi="宋体" w:cs="宋体" w:hint="eastAsia"/>
        </w:rPr>
        <w:t>答案：BCD</w:t>
      </w:r>
    </w:p>
    <w:p w:rsidR="00143772" w:rsidRDefault="00000000">
      <w:pPr>
        <w:jc w:val="left"/>
        <w:rPr>
          <w:rFonts w:ascii="宋体" w:hAnsi="宋体" w:cs="宋体"/>
        </w:rPr>
      </w:pPr>
      <w:r>
        <w:rPr>
          <w:rFonts w:ascii="宋体" w:hAnsi="宋体" w:cs="宋体" w:hint="eastAsia"/>
        </w:rPr>
        <w:t>解析：常见的衍生金融工具包括远期合同、期货合同、互换合同和期权合同等。</w:t>
      </w:r>
    </w:p>
    <w:p w:rsidR="00FD1FB0" w:rsidRDefault="00FD1FB0">
      <w:pPr>
        <w:jc w:val="left"/>
        <w:rPr>
          <w:rFonts w:ascii="宋体" w:hAnsi="宋体" w:cs="宋体"/>
        </w:rPr>
      </w:pPr>
    </w:p>
    <w:p w:rsidR="00143772" w:rsidRDefault="00000000">
      <w:pPr>
        <w:jc w:val="left"/>
        <w:rPr>
          <w:rFonts w:ascii="宋体" w:hAnsi="宋体" w:cs="宋体"/>
        </w:rPr>
      </w:pPr>
      <w:r>
        <w:rPr>
          <w:rFonts w:ascii="宋体" w:hAnsi="宋体" w:cs="宋体" w:hint="eastAsia"/>
        </w:rPr>
        <w:t>3.金融市场：资金供应者和资金需求者双方通过一定的金融工具进行交易进而融通资金的场所。</w:t>
      </w:r>
    </w:p>
    <w:p w:rsidR="00143772" w:rsidRDefault="00000000" w:rsidP="00FD1FB0">
      <w:pPr>
        <w:jc w:val="left"/>
        <w:rPr>
          <w:rFonts w:ascii="宋体" w:hAnsi="宋体" w:cs="宋体" w:hint="eastAsia"/>
        </w:rPr>
      </w:pPr>
      <w:r>
        <w:rPr>
          <w:rFonts w:ascii="宋体" w:hAnsi="宋体" w:cs="宋体" w:hint="eastAsia"/>
        </w:rPr>
        <w:t>（1）金融市场分类</w:t>
      </w:r>
    </w:p>
    <w:tbl>
      <w:tblPr>
        <w:tblStyle w:val="a5"/>
        <w:tblW w:w="4999" w:type="pct"/>
        <w:tblLook w:val="04A0" w:firstRow="1" w:lastRow="0" w:firstColumn="1" w:lastColumn="0" w:noHBand="0" w:noVBand="1"/>
      </w:tblPr>
      <w:tblGrid>
        <w:gridCol w:w="2690"/>
        <w:gridCol w:w="1841"/>
        <w:gridCol w:w="5379"/>
      </w:tblGrid>
      <w:tr w:rsidR="00143772" w:rsidTr="00FD1FB0">
        <w:tc>
          <w:tcPr>
            <w:tcW w:w="1357" w:type="pct"/>
          </w:tcPr>
          <w:p w:rsidR="00143772" w:rsidRDefault="00000000">
            <w:pPr>
              <w:jc w:val="left"/>
              <w:rPr>
                <w:rFonts w:ascii="宋体" w:hAnsi="宋体" w:cs="宋体"/>
              </w:rPr>
            </w:pPr>
            <w:r>
              <w:rPr>
                <w:rFonts w:ascii="宋体" w:hAnsi="宋体" w:cs="宋体" w:hint="eastAsia"/>
              </w:rPr>
              <w:t>标准</w:t>
            </w:r>
          </w:p>
        </w:tc>
        <w:tc>
          <w:tcPr>
            <w:tcW w:w="929" w:type="pct"/>
          </w:tcPr>
          <w:p w:rsidR="00143772" w:rsidRDefault="00000000">
            <w:pPr>
              <w:jc w:val="left"/>
              <w:rPr>
                <w:rFonts w:ascii="宋体" w:hAnsi="宋体" w:cs="宋体"/>
              </w:rPr>
            </w:pPr>
            <w:r>
              <w:rPr>
                <w:rFonts w:ascii="宋体" w:hAnsi="宋体" w:cs="宋体" w:hint="eastAsia"/>
              </w:rPr>
              <w:t>分类</w:t>
            </w:r>
          </w:p>
        </w:tc>
        <w:tc>
          <w:tcPr>
            <w:tcW w:w="2714" w:type="pct"/>
          </w:tcPr>
          <w:p w:rsidR="00143772" w:rsidRDefault="00000000">
            <w:pPr>
              <w:jc w:val="left"/>
              <w:rPr>
                <w:rFonts w:ascii="宋体" w:hAnsi="宋体" w:cs="宋体"/>
              </w:rPr>
            </w:pPr>
            <w:r>
              <w:rPr>
                <w:rFonts w:ascii="宋体" w:hAnsi="宋体" w:cs="宋体" w:hint="eastAsia"/>
              </w:rPr>
              <w:t>特点</w:t>
            </w:r>
          </w:p>
        </w:tc>
      </w:tr>
      <w:tr w:rsidR="00143772" w:rsidTr="00FD1FB0">
        <w:tc>
          <w:tcPr>
            <w:tcW w:w="1357" w:type="pct"/>
            <w:vMerge w:val="restart"/>
          </w:tcPr>
          <w:p w:rsidR="00143772" w:rsidRDefault="00000000">
            <w:pPr>
              <w:jc w:val="left"/>
              <w:rPr>
                <w:rFonts w:ascii="宋体" w:hAnsi="宋体" w:cs="宋体"/>
              </w:rPr>
            </w:pPr>
            <w:r>
              <w:rPr>
                <w:rFonts w:ascii="宋体" w:hAnsi="宋体" w:cs="宋体" w:hint="eastAsia"/>
              </w:rPr>
              <w:t>以期限为标准</w:t>
            </w:r>
          </w:p>
        </w:tc>
        <w:tc>
          <w:tcPr>
            <w:tcW w:w="929" w:type="pct"/>
          </w:tcPr>
          <w:p w:rsidR="00143772" w:rsidRPr="00FD1FB0" w:rsidRDefault="00000000">
            <w:pPr>
              <w:jc w:val="left"/>
              <w:rPr>
                <w:rFonts w:ascii="宋体" w:hAnsi="宋体" w:cs="宋体"/>
                <w:color w:val="FF0000"/>
              </w:rPr>
            </w:pPr>
            <w:r w:rsidRPr="00FD1FB0">
              <w:rPr>
                <w:rFonts w:ascii="宋体" w:hAnsi="宋体" w:cs="宋体" w:hint="eastAsia"/>
                <w:color w:val="FF0000"/>
              </w:rPr>
              <w:t>货币市场</w:t>
            </w:r>
          </w:p>
        </w:tc>
        <w:tc>
          <w:tcPr>
            <w:tcW w:w="2714" w:type="pct"/>
          </w:tcPr>
          <w:p w:rsidR="00143772" w:rsidRDefault="00000000">
            <w:pPr>
              <w:rPr>
                <w:rFonts w:ascii="宋体" w:hAnsi="宋体" w:cs="宋体"/>
              </w:rPr>
            </w:pPr>
            <w:r>
              <w:rPr>
                <w:rFonts w:ascii="宋体" w:hAnsi="宋体" w:cs="宋体" w:hint="eastAsia"/>
              </w:rPr>
              <w:t>短期≤1年。包括同业拆借市场、票据市场、大额定期存单市场和短期债券市场。</w:t>
            </w:r>
          </w:p>
        </w:tc>
      </w:tr>
      <w:tr w:rsidR="00143772" w:rsidTr="00FD1FB0">
        <w:tc>
          <w:tcPr>
            <w:tcW w:w="1357" w:type="pct"/>
            <w:vMerge/>
          </w:tcPr>
          <w:p w:rsidR="00143772" w:rsidRDefault="00143772">
            <w:pPr>
              <w:overflowPunct w:val="0"/>
              <w:jc w:val="left"/>
              <w:rPr>
                <w:rFonts w:ascii="宋体" w:hAnsi="宋体" w:cs="宋体"/>
              </w:rPr>
            </w:pPr>
          </w:p>
        </w:tc>
        <w:tc>
          <w:tcPr>
            <w:tcW w:w="929" w:type="pct"/>
          </w:tcPr>
          <w:p w:rsidR="00143772" w:rsidRPr="00FD1FB0" w:rsidRDefault="00000000">
            <w:pPr>
              <w:jc w:val="left"/>
              <w:rPr>
                <w:rFonts w:ascii="宋体" w:hAnsi="宋体" w:cs="宋体"/>
                <w:color w:val="FF0000"/>
              </w:rPr>
            </w:pPr>
            <w:r w:rsidRPr="00FD1FB0">
              <w:rPr>
                <w:rFonts w:ascii="宋体" w:hAnsi="宋体" w:cs="宋体" w:hint="eastAsia"/>
                <w:color w:val="FF0000"/>
              </w:rPr>
              <w:t>资本市场</w:t>
            </w:r>
          </w:p>
        </w:tc>
        <w:tc>
          <w:tcPr>
            <w:tcW w:w="2714" w:type="pct"/>
          </w:tcPr>
          <w:p w:rsidR="00143772" w:rsidRDefault="00000000">
            <w:pPr>
              <w:rPr>
                <w:rFonts w:ascii="宋体" w:hAnsi="宋体" w:cs="宋体"/>
              </w:rPr>
            </w:pPr>
            <w:r>
              <w:rPr>
                <w:rFonts w:ascii="宋体" w:hAnsi="宋体" w:cs="宋体" w:hint="eastAsia"/>
              </w:rPr>
              <w:t>长期&gt;1年，包括股票市场、债券市场和融资租赁市场等。</w:t>
            </w:r>
          </w:p>
        </w:tc>
      </w:tr>
      <w:tr w:rsidR="00143772" w:rsidTr="00FD1FB0">
        <w:tc>
          <w:tcPr>
            <w:tcW w:w="1357" w:type="pct"/>
            <w:vMerge w:val="restart"/>
          </w:tcPr>
          <w:p w:rsidR="00143772" w:rsidRDefault="00000000">
            <w:pPr>
              <w:jc w:val="left"/>
              <w:rPr>
                <w:rFonts w:ascii="宋体" w:hAnsi="宋体" w:cs="宋体"/>
              </w:rPr>
            </w:pPr>
            <w:r>
              <w:rPr>
                <w:rFonts w:ascii="宋体" w:hAnsi="宋体" w:cs="宋体" w:hint="eastAsia"/>
              </w:rPr>
              <w:t>以融资对象为标准</w:t>
            </w:r>
          </w:p>
        </w:tc>
        <w:tc>
          <w:tcPr>
            <w:tcW w:w="929" w:type="pct"/>
          </w:tcPr>
          <w:p w:rsidR="00143772" w:rsidRDefault="00000000">
            <w:pPr>
              <w:jc w:val="left"/>
              <w:rPr>
                <w:rFonts w:ascii="宋体" w:hAnsi="宋体" w:cs="宋体"/>
              </w:rPr>
            </w:pPr>
            <w:r>
              <w:rPr>
                <w:rFonts w:ascii="宋体" w:hAnsi="宋体" w:cs="宋体" w:hint="eastAsia"/>
              </w:rPr>
              <w:t>资本市场</w:t>
            </w:r>
          </w:p>
        </w:tc>
        <w:tc>
          <w:tcPr>
            <w:tcW w:w="2714" w:type="pct"/>
          </w:tcPr>
          <w:p w:rsidR="00143772" w:rsidRDefault="00000000">
            <w:pPr>
              <w:jc w:val="left"/>
              <w:rPr>
                <w:rFonts w:ascii="宋体" w:hAnsi="宋体" w:cs="宋体"/>
              </w:rPr>
            </w:pPr>
            <w:r>
              <w:rPr>
                <w:rFonts w:ascii="宋体" w:hAnsi="宋体" w:cs="宋体" w:hint="eastAsia"/>
              </w:rPr>
              <w:t>以货币和资本为交易对象</w:t>
            </w:r>
          </w:p>
        </w:tc>
      </w:tr>
      <w:tr w:rsidR="00143772" w:rsidTr="00FD1FB0">
        <w:tc>
          <w:tcPr>
            <w:tcW w:w="1357" w:type="pct"/>
            <w:vMerge/>
          </w:tcPr>
          <w:p w:rsidR="00143772" w:rsidRDefault="00143772">
            <w:pPr>
              <w:overflowPunct w:val="0"/>
              <w:jc w:val="left"/>
              <w:rPr>
                <w:rFonts w:ascii="宋体" w:hAnsi="宋体" w:cs="宋体"/>
              </w:rPr>
            </w:pPr>
          </w:p>
        </w:tc>
        <w:tc>
          <w:tcPr>
            <w:tcW w:w="929" w:type="pct"/>
          </w:tcPr>
          <w:p w:rsidR="00143772" w:rsidRDefault="00000000">
            <w:pPr>
              <w:jc w:val="left"/>
              <w:rPr>
                <w:rFonts w:ascii="宋体" w:hAnsi="宋体" w:cs="宋体"/>
              </w:rPr>
            </w:pPr>
            <w:r>
              <w:rPr>
                <w:rFonts w:ascii="宋体" w:hAnsi="宋体" w:cs="宋体" w:hint="eastAsia"/>
              </w:rPr>
              <w:t>外汇市场</w:t>
            </w:r>
          </w:p>
        </w:tc>
        <w:tc>
          <w:tcPr>
            <w:tcW w:w="2714" w:type="pct"/>
          </w:tcPr>
          <w:p w:rsidR="00143772" w:rsidRDefault="00000000">
            <w:pPr>
              <w:rPr>
                <w:rFonts w:ascii="宋体" w:hAnsi="宋体" w:cs="宋体"/>
              </w:rPr>
            </w:pPr>
            <w:r>
              <w:rPr>
                <w:rFonts w:ascii="宋体" w:hAnsi="宋体" w:cs="宋体" w:hint="eastAsia"/>
              </w:rPr>
              <w:t>以各种外汇金融工具为交易对象</w:t>
            </w:r>
          </w:p>
        </w:tc>
      </w:tr>
      <w:tr w:rsidR="00143772" w:rsidTr="00FD1FB0">
        <w:tc>
          <w:tcPr>
            <w:tcW w:w="1357" w:type="pct"/>
            <w:vMerge/>
          </w:tcPr>
          <w:p w:rsidR="00143772" w:rsidRDefault="00143772">
            <w:pPr>
              <w:overflowPunct w:val="0"/>
              <w:jc w:val="left"/>
              <w:rPr>
                <w:rFonts w:ascii="宋体" w:hAnsi="宋体" w:cs="宋体"/>
              </w:rPr>
            </w:pPr>
          </w:p>
        </w:tc>
        <w:tc>
          <w:tcPr>
            <w:tcW w:w="929" w:type="pct"/>
          </w:tcPr>
          <w:p w:rsidR="00143772" w:rsidRDefault="00000000">
            <w:pPr>
              <w:jc w:val="left"/>
              <w:rPr>
                <w:rFonts w:ascii="宋体" w:hAnsi="宋体" w:cs="宋体"/>
              </w:rPr>
            </w:pPr>
            <w:r>
              <w:rPr>
                <w:rFonts w:ascii="宋体" w:hAnsi="宋体" w:cs="宋体" w:hint="eastAsia"/>
              </w:rPr>
              <w:t>黄金市场</w:t>
            </w:r>
          </w:p>
        </w:tc>
        <w:tc>
          <w:tcPr>
            <w:tcW w:w="2714" w:type="pct"/>
          </w:tcPr>
          <w:p w:rsidR="00143772" w:rsidRDefault="00000000">
            <w:pPr>
              <w:jc w:val="left"/>
              <w:rPr>
                <w:rFonts w:ascii="宋体" w:hAnsi="宋体" w:cs="宋体"/>
              </w:rPr>
            </w:pPr>
            <w:r>
              <w:rPr>
                <w:rFonts w:ascii="宋体" w:hAnsi="宋体" w:cs="宋体" w:hint="eastAsia"/>
              </w:rPr>
              <w:t>集中进行黄金买卖和金币兑换的交易市场</w:t>
            </w:r>
          </w:p>
        </w:tc>
      </w:tr>
      <w:tr w:rsidR="00143772" w:rsidTr="00FD1FB0">
        <w:tc>
          <w:tcPr>
            <w:tcW w:w="1357" w:type="pct"/>
            <w:vMerge w:val="restart"/>
          </w:tcPr>
          <w:p w:rsidR="00143772" w:rsidRDefault="00000000">
            <w:pPr>
              <w:jc w:val="left"/>
              <w:rPr>
                <w:rFonts w:ascii="宋体" w:hAnsi="宋体" w:cs="宋体"/>
              </w:rPr>
            </w:pPr>
            <w:r>
              <w:rPr>
                <w:rFonts w:ascii="宋体" w:hAnsi="宋体" w:cs="宋体" w:hint="eastAsia"/>
              </w:rPr>
              <w:t>以功能对象为标准</w:t>
            </w:r>
          </w:p>
        </w:tc>
        <w:tc>
          <w:tcPr>
            <w:tcW w:w="929" w:type="pct"/>
          </w:tcPr>
          <w:p w:rsidR="00143772" w:rsidRDefault="00000000">
            <w:pPr>
              <w:jc w:val="left"/>
              <w:rPr>
                <w:rFonts w:ascii="宋体" w:hAnsi="宋体" w:cs="宋体"/>
              </w:rPr>
            </w:pPr>
            <w:r>
              <w:rPr>
                <w:rFonts w:ascii="宋体" w:hAnsi="宋体" w:cs="宋体" w:hint="eastAsia"/>
              </w:rPr>
              <w:t>一级市场</w:t>
            </w:r>
          </w:p>
        </w:tc>
        <w:tc>
          <w:tcPr>
            <w:tcW w:w="2714" w:type="pct"/>
          </w:tcPr>
          <w:p w:rsidR="00143772" w:rsidRDefault="00000000">
            <w:pPr>
              <w:jc w:val="left"/>
              <w:rPr>
                <w:rFonts w:ascii="宋体" w:hAnsi="宋体" w:cs="宋体"/>
              </w:rPr>
            </w:pPr>
            <w:r>
              <w:rPr>
                <w:rFonts w:ascii="宋体" w:hAnsi="宋体" w:cs="宋体" w:hint="eastAsia"/>
              </w:rPr>
              <w:t>也称发行市场或初级市场，IPO</w:t>
            </w:r>
          </w:p>
        </w:tc>
      </w:tr>
      <w:tr w:rsidR="00143772" w:rsidTr="00FD1FB0">
        <w:tc>
          <w:tcPr>
            <w:tcW w:w="1357" w:type="pct"/>
            <w:vMerge/>
          </w:tcPr>
          <w:p w:rsidR="00143772" w:rsidRDefault="00143772">
            <w:pPr>
              <w:overflowPunct w:val="0"/>
              <w:jc w:val="left"/>
              <w:rPr>
                <w:rFonts w:ascii="宋体" w:hAnsi="宋体" w:cs="宋体"/>
              </w:rPr>
            </w:pPr>
          </w:p>
        </w:tc>
        <w:tc>
          <w:tcPr>
            <w:tcW w:w="929" w:type="pct"/>
          </w:tcPr>
          <w:p w:rsidR="00143772" w:rsidRDefault="00000000">
            <w:pPr>
              <w:jc w:val="left"/>
              <w:rPr>
                <w:rFonts w:ascii="宋体" w:hAnsi="宋体" w:cs="宋体"/>
              </w:rPr>
            </w:pPr>
            <w:r>
              <w:rPr>
                <w:rFonts w:ascii="宋体" w:hAnsi="宋体" w:cs="宋体" w:hint="eastAsia"/>
              </w:rPr>
              <w:t>二级市场</w:t>
            </w:r>
          </w:p>
        </w:tc>
        <w:tc>
          <w:tcPr>
            <w:tcW w:w="2714" w:type="pct"/>
          </w:tcPr>
          <w:p w:rsidR="00143772" w:rsidRDefault="00000000">
            <w:pPr>
              <w:jc w:val="left"/>
              <w:rPr>
                <w:rFonts w:ascii="宋体" w:hAnsi="宋体" w:cs="宋体"/>
              </w:rPr>
            </w:pPr>
            <w:r>
              <w:rPr>
                <w:rFonts w:ascii="宋体" w:hAnsi="宋体" w:cs="宋体" w:hint="eastAsia"/>
              </w:rPr>
              <w:t>也称流通市场或次级市场。证券发行后，场内交易。</w:t>
            </w:r>
          </w:p>
        </w:tc>
      </w:tr>
      <w:tr w:rsidR="00143772" w:rsidTr="00FD1FB0">
        <w:tc>
          <w:tcPr>
            <w:tcW w:w="1357" w:type="pct"/>
            <w:vMerge w:val="restart"/>
          </w:tcPr>
          <w:p w:rsidR="00143772" w:rsidRDefault="00000000">
            <w:pPr>
              <w:jc w:val="left"/>
              <w:rPr>
                <w:rFonts w:ascii="宋体" w:hAnsi="宋体" w:cs="宋体"/>
              </w:rPr>
            </w:pPr>
            <w:r>
              <w:rPr>
                <w:rFonts w:ascii="宋体" w:hAnsi="宋体" w:cs="宋体" w:hint="eastAsia"/>
              </w:rPr>
              <w:t>按所交易金融工具的属性</w:t>
            </w:r>
          </w:p>
        </w:tc>
        <w:tc>
          <w:tcPr>
            <w:tcW w:w="929" w:type="pct"/>
          </w:tcPr>
          <w:p w:rsidR="00143772" w:rsidRDefault="00000000">
            <w:pPr>
              <w:jc w:val="left"/>
              <w:rPr>
                <w:rFonts w:ascii="宋体" w:hAnsi="宋体" w:cs="宋体"/>
              </w:rPr>
            </w:pPr>
            <w:r>
              <w:rPr>
                <w:rFonts w:ascii="宋体" w:hAnsi="宋体" w:cs="宋体" w:hint="eastAsia"/>
              </w:rPr>
              <w:t>基础性金融市场</w:t>
            </w:r>
          </w:p>
        </w:tc>
        <w:tc>
          <w:tcPr>
            <w:tcW w:w="2714" w:type="pct"/>
          </w:tcPr>
          <w:p w:rsidR="00143772" w:rsidRDefault="00000000">
            <w:pPr>
              <w:jc w:val="left"/>
              <w:rPr>
                <w:rFonts w:ascii="宋体" w:hAnsi="宋体" w:cs="宋体"/>
              </w:rPr>
            </w:pPr>
            <w:r>
              <w:rPr>
                <w:rFonts w:ascii="宋体" w:hAnsi="宋体" w:cs="宋体" w:hint="eastAsia"/>
              </w:rPr>
              <w:t>以基础性金融产品为交易对象的金融市场，如商业票据、企业债券、企业股票的交易市场等。</w:t>
            </w:r>
          </w:p>
        </w:tc>
      </w:tr>
      <w:tr w:rsidR="00143772" w:rsidTr="00FD1FB0">
        <w:tc>
          <w:tcPr>
            <w:tcW w:w="1357" w:type="pct"/>
            <w:vMerge/>
          </w:tcPr>
          <w:p w:rsidR="00143772" w:rsidRDefault="00143772">
            <w:pPr>
              <w:overflowPunct w:val="0"/>
              <w:jc w:val="left"/>
              <w:rPr>
                <w:rFonts w:ascii="宋体" w:hAnsi="宋体" w:cs="宋体"/>
              </w:rPr>
            </w:pPr>
          </w:p>
        </w:tc>
        <w:tc>
          <w:tcPr>
            <w:tcW w:w="929" w:type="pct"/>
          </w:tcPr>
          <w:p w:rsidR="00143772" w:rsidRDefault="00000000">
            <w:pPr>
              <w:jc w:val="left"/>
              <w:rPr>
                <w:rFonts w:ascii="宋体" w:hAnsi="宋体" w:cs="宋体"/>
              </w:rPr>
            </w:pPr>
            <w:r>
              <w:rPr>
                <w:rFonts w:ascii="宋体" w:hAnsi="宋体" w:cs="宋体" w:hint="eastAsia"/>
              </w:rPr>
              <w:t>金融衍生品市场</w:t>
            </w:r>
          </w:p>
        </w:tc>
        <w:tc>
          <w:tcPr>
            <w:tcW w:w="2714" w:type="pct"/>
          </w:tcPr>
          <w:p w:rsidR="00143772" w:rsidRDefault="00000000">
            <w:pPr>
              <w:rPr>
                <w:rFonts w:ascii="宋体" w:hAnsi="宋体" w:cs="宋体"/>
              </w:rPr>
            </w:pPr>
            <w:r>
              <w:rPr>
                <w:rFonts w:ascii="宋体" w:hAnsi="宋体" w:cs="宋体" w:hint="eastAsia"/>
              </w:rPr>
              <w:t>以金融衍生产品为交易对象的金融市场，如远期、期货、掉期（互换）、期权的交易市场等。</w:t>
            </w:r>
          </w:p>
        </w:tc>
      </w:tr>
      <w:tr w:rsidR="00143772" w:rsidTr="00FD1FB0">
        <w:tc>
          <w:tcPr>
            <w:tcW w:w="1357" w:type="pct"/>
          </w:tcPr>
          <w:p w:rsidR="00143772" w:rsidRDefault="00000000">
            <w:pPr>
              <w:jc w:val="left"/>
              <w:rPr>
                <w:rFonts w:ascii="宋体" w:hAnsi="宋体" w:cs="宋体"/>
              </w:rPr>
            </w:pPr>
            <w:r>
              <w:rPr>
                <w:rFonts w:ascii="宋体" w:hAnsi="宋体" w:cs="宋体" w:hint="eastAsia"/>
              </w:rPr>
              <w:t>以地理范围为标准</w:t>
            </w:r>
          </w:p>
        </w:tc>
        <w:tc>
          <w:tcPr>
            <w:tcW w:w="3643" w:type="pct"/>
            <w:gridSpan w:val="2"/>
          </w:tcPr>
          <w:p w:rsidR="00143772" w:rsidRDefault="00000000">
            <w:pPr>
              <w:overflowPunct w:val="0"/>
              <w:jc w:val="left"/>
              <w:rPr>
                <w:rFonts w:ascii="宋体" w:hAnsi="宋体" w:cs="宋体"/>
              </w:rPr>
            </w:pPr>
            <w:r>
              <w:rPr>
                <w:rFonts w:ascii="宋体" w:hAnsi="宋体" w:cs="宋体" w:hint="eastAsia"/>
              </w:rPr>
              <w:t>金融市场可分为地方性金融市场、全国性金融市场和国际性金融市场。</w:t>
            </w:r>
          </w:p>
        </w:tc>
      </w:tr>
    </w:tbl>
    <w:p w:rsidR="00143772" w:rsidRPr="00FD1FB0" w:rsidRDefault="00000000">
      <w:pPr>
        <w:jc w:val="left"/>
        <w:rPr>
          <w:rFonts w:ascii="宋体" w:hAnsi="宋体" w:cs="宋体" w:hint="eastAsia"/>
        </w:rPr>
      </w:pPr>
      <w:r>
        <w:rPr>
          <w:rFonts w:ascii="宋体" w:hAnsi="宋体" w:cs="宋体" w:hint="eastAsia"/>
        </w:rPr>
        <w:t>（2）货币市场和资本市场</w:t>
      </w:r>
    </w:p>
    <w:p w:rsidR="00FD1FB0" w:rsidRDefault="00000000">
      <w:pPr>
        <w:jc w:val="left"/>
        <w:rPr>
          <w:rFonts w:ascii="宋体" w:hAnsi="宋体" w:cs="宋体"/>
        </w:rPr>
      </w:pPr>
      <w:r>
        <w:rPr>
          <w:rFonts w:ascii="宋体" w:hAnsi="宋体" w:cs="宋体" w:hint="eastAsia"/>
          <w:noProof/>
        </w:rPr>
        <w:lastRenderedPageBreak/>
        <w:drawing>
          <wp:inline distT="0" distB="0" distL="114300" distR="114300">
            <wp:extent cx="5207000" cy="31927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07000" cy="3192780"/>
                    </a:xfrm>
                    <a:prstGeom prst="rect">
                      <a:avLst/>
                    </a:prstGeom>
                    <a:noFill/>
                    <a:ln>
                      <a:noFill/>
                    </a:ln>
                  </pic:spPr>
                </pic:pic>
              </a:graphicData>
            </a:graphic>
          </wp:inline>
        </w:drawing>
      </w:r>
    </w:p>
    <w:p w:rsidR="00FD1FB0" w:rsidRDefault="00FD1FB0">
      <w:pPr>
        <w:jc w:val="left"/>
        <w:rPr>
          <w:rFonts w:ascii="宋体" w:hAnsi="宋体" w:cs="宋体"/>
        </w:rPr>
      </w:pPr>
    </w:p>
    <w:p w:rsidR="00143772" w:rsidRDefault="00000000">
      <w:pPr>
        <w:jc w:val="left"/>
        <w:rPr>
          <w:rFonts w:ascii="宋体" w:hAnsi="宋体" w:cs="宋体"/>
        </w:rPr>
      </w:pPr>
      <w:r>
        <w:rPr>
          <w:rFonts w:ascii="宋体" w:hAnsi="宋体" w:cs="宋体" w:hint="eastAsia"/>
        </w:rPr>
        <w:t>【多选题】（2024年）金融市场包括货币市场和资本市场，下列各项中，属于资本市场的有（  ）。</w:t>
      </w:r>
    </w:p>
    <w:p w:rsidR="00143772" w:rsidRDefault="00000000">
      <w:pPr>
        <w:jc w:val="left"/>
        <w:rPr>
          <w:rFonts w:ascii="宋体" w:hAnsi="宋体" w:cs="宋体"/>
        </w:rPr>
      </w:pPr>
      <w:r>
        <w:rPr>
          <w:rFonts w:ascii="宋体" w:hAnsi="宋体" w:cs="宋体" w:hint="eastAsia"/>
        </w:rPr>
        <w:t>A.大额定期存单市场</w:t>
      </w:r>
    </w:p>
    <w:p w:rsidR="00143772" w:rsidRDefault="00000000">
      <w:pPr>
        <w:jc w:val="left"/>
        <w:rPr>
          <w:rFonts w:ascii="宋体" w:hAnsi="宋体" w:cs="宋体"/>
        </w:rPr>
      </w:pPr>
      <w:r>
        <w:rPr>
          <w:rFonts w:ascii="宋体" w:hAnsi="宋体" w:cs="宋体" w:hint="eastAsia"/>
        </w:rPr>
        <w:t>B.银行间同业拆借市场</w:t>
      </w:r>
    </w:p>
    <w:p w:rsidR="00143772" w:rsidRDefault="00000000">
      <w:pPr>
        <w:jc w:val="left"/>
        <w:rPr>
          <w:rFonts w:ascii="宋体" w:hAnsi="宋体" w:cs="宋体"/>
        </w:rPr>
      </w:pPr>
      <w:r>
        <w:rPr>
          <w:rFonts w:ascii="宋体" w:hAnsi="宋体" w:cs="宋体" w:hint="eastAsia"/>
        </w:rPr>
        <w:t>C.股票市场</w:t>
      </w:r>
    </w:p>
    <w:p w:rsidR="00143772" w:rsidRDefault="00000000">
      <w:pPr>
        <w:jc w:val="left"/>
        <w:rPr>
          <w:rFonts w:ascii="宋体" w:hAnsi="宋体" w:cs="宋体"/>
        </w:rPr>
      </w:pPr>
      <w:r>
        <w:rPr>
          <w:rFonts w:ascii="宋体" w:hAnsi="宋体" w:cs="宋体" w:hint="eastAsia"/>
        </w:rPr>
        <w:t>D.融资租赁市场</w:t>
      </w:r>
    </w:p>
    <w:p w:rsidR="00143772" w:rsidRDefault="00000000">
      <w:pPr>
        <w:jc w:val="left"/>
        <w:rPr>
          <w:rFonts w:ascii="宋体" w:hAnsi="宋体" w:cs="宋体"/>
        </w:rPr>
      </w:pPr>
      <w:r>
        <w:rPr>
          <w:rFonts w:ascii="宋体" w:hAnsi="宋体" w:cs="宋体" w:hint="eastAsia"/>
        </w:rPr>
        <w:t>答案：CD </w:t>
      </w:r>
    </w:p>
    <w:p w:rsidR="00143772" w:rsidRDefault="00000000">
      <w:pPr>
        <w:jc w:val="left"/>
        <w:rPr>
          <w:rFonts w:ascii="宋体" w:hAnsi="宋体" w:cs="宋体"/>
        </w:rPr>
      </w:pPr>
      <w:r>
        <w:rPr>
          <w:rFonts w:ascii="宋体" w:hAnsi="宋体" w:cs="宋体" w:hint="eastAsia"/>
        </w:rPr>
        <w:t>解析：资本市场又称长期金融市场，是指以期限在1年以上的金融工具为媒介，进行长期资金交易活动的市场，包括股票市场、债券市场、期货市场和融资租赁市场等。大额定期存单市场和银行间同业拆借市场属于货币市场（短期金融市场）。</w:t>
      </w:r>
    </w:p>
    <w:p w:rsidR="00FD1FB0" w:rsidRDefault="00FD1FB0">
      <w:pPr>
        <w:jc w:val="left"/>
        <w:rPr>
          <w:rFonts w:ascii="宋体" w:hAnsi="宋体" w:cs="宋体"/>
        </w:rPr>
      </w:pPr>
    </w:p>
    <w:p w:rsidR="00143772" w:rsidRDefault="00000000">
      <w:pPr>
        <w:jc w:val="left"/>
        <w:rPr>
          <w:rFonts w:ascii="宋体" w:hAnsi="宋体" w:cs="宋体"/>
        </w:rPr>
      </w:pPr>
      <w:r>
        <w:rPr>
          <w:rFonts w:ascii="宋体" w:hAnsi="宋体" w:cs="宋体" w:hint="eastAsia"/>
        </w:rPr>
        <w:t>【多选题】（2023年）金融市场分为货币市场和资本市场两种类型，下列各项中属于资本市场类型的有（  ）。</w:t>
      </w:r>
    </w:p>
    <w:p w:rsidR="00143772" w:rsidRDefault="00000000">
      <w:pPr>
        <w:jc w:val="left"/>
        <w:rPr>
          <w:rFonts w:ascii="宋体" w:hAnsi="宋体" w:cs="宋体"/>
        </w:rPr>
      </w:pPr>
      <w:r>
        <w:rPr>
          <w:rFonts w:ascii="宋体" w:hAnsi="宋体" w:cs="宋体" w:hint="eastAsia"/>
        </w:rPr>
        <w:t>A.票据市场</w:t>
      </w:r>
    </w:p>
    <w:p w:rsidR="00143772" w:rsidRDefault="00000000">
      <w:pPr>
        <w:jc w:val="left"/>
        <w:rPr>
          <w:rFonts w:ascii="宋体" w:hAnsi="宋体" w:cs="宋体"/>
        </w:rPr>
      </w:pPr>
      <w:r>
        <w:rPr>
          <w:rFonts w:ascii="宋体" w:hAnsi="宋体" w:cs="宋体" w:hint="eastAsia"/>
        </w:rPr>
        <w:t>B.期货市场</w:t>
      </w:r>
    </w:p>
    <w:p w:rsidR="00143772" w:rsidRDefault="00000000">
      <w:pPr>
        <w:jc w:val="left"/>
        <w:rPr>
          <w:rFonts w:ascii="宋体" w:hAnsi="宋体" w:cs="宋体"/>
        </w:rPr>
      </w:pPr>
      <w:r>
        <w:rPr>
          <w:rFonts w:ascii="宋体" w:hAnsi="宋体" w:cs="宋体" w:hint="eastAsia"/>
        </w:rPr>
        <w:t>C.同业拆借市场</w:t>
      </w:r>
    </w:p>
    <w:p w:rsidR="00143772" w:rsidRDefault="00000000">
      <w:pPr>
        <w:jc w:val="left"/>
        <w:rPr>
          <w:rFonts w:ascii="宋体" w:hAnsi="宋体" w:cs="宋体"/>
        </w:rPr>
      </w:pPr>
      <w:r>
        <w:rPr>
          <w:rFonts w:ascii="宋体" w:hAnsi="宋体" w:cs="宋体" w:hint="eastAsia"/>
        </w:rPr>
        <w:t>D.股票市场</w:t>
      </w:r>
    </w:p>
    <w:p w:rsidR="00143772" w:rsidRDefault="00000000">
      <w:pPr>
        <w:jc w:val="left"/>
        <w:rPr>
          <w:rFonts w:ascii="宋体" w:hAnsi="宋体" w:cs="宋体"/>
        </w:rPr>
      </w:pPr>
      <w:r>
        <w:rPr>
          <w:rFonts w:ascii="宋体" w:hAnsi="宋体" w:cs="宋体" w:hint="eastAsia"/>
        </w:rPr>
        <w:t>答案：BD</w:t>
      </w:r>
    </w:p>
    <w:p w:rsidR="00143772" w:rsidRDefault="00000000">
      <w:pPr>
        <w:jc w:val="left"/>
        <w:rPr>
          <w:rFonts w:ascii="宋体" w:hAnsi="宋体" w:cs="宋体"/>
        </w:rPr>
      </w:pPr>
      <w:r>
        <w:rPr>
          <w:rFonts w:ascii="宋体" w:hAnsi="宋体" w:cs="宋体" w:hint="eastAsia"/>
        </w:rPr>
        <w:t>解析：资本市场又称长期金融市场，是指以期限在1年以上的金融工具为媒介，进行长期资金交易活动的市场，包括股票市场、债券市场、期货市场和融资租赁市场等。</w:t>
      </w:r>
    </w:p>
    <w:p w:rsidR="00143772" w:rsidRDefault="00143772">
      <w:pPr>
        <w:jc w:val="left"/>
        <w:rPr>
          <w:rFonts w:ascii="宋体" w:hAnsi="宋体" w:cs="宋体"/>
        </w:rPr>
      </w:pPr>
    </w:p>
    <w:p w:rsidR="00143772" w:rsidRPr="00FD1FB0" w:rsidRDefault="00000000">
      <w:pPr>
        <w:jc w:val="left"/>
        <w:rPr>
          <w:rFonts w:ascii="宋体" w:hAnsi="宋体" w:cs="宋体"/>
          <w:b/>
          <w:bCs/>
        </w:rPr>
      </w:pPr>
      <w:r w:rsidRPr="00FD1FB0">
        <w:rPr>
          <w:rFonts w:ascii="宋体" w:hAnsi="宋体" w:cs="宋体" w:hint="eastAsia"/>
          <w:b/>
          <w:bCs/>
        </w:rPr>
        <w:t>【知识点3】技术环境</w:t>
      </w:r>
    </w:p>
    <w:p w:rsidR="00143772" w:rsidRDefault="00000000">
      <w:pPr>
        <w:jc w:val="left"/>
        <w:rPr>
          <w:rFonts w:ascii="宋体" w:hAnsi="宋体" w:cs="宋体"/>
        </w:rPr>
      </w:pPr>
      <w:r>
        <w:rPr>
          <w:rFonts w:ascii="宋体" w:hAnsi="宋体" w:cs="宋体" w:hint="eastAsia"/>
        </w:rPr>
        <w:t>技术环境：财务管理得以实现的技术手段和技术条件，他决定着财务管理的效率和效果。</w:t>
      </w:r>
    </w:p>
    <w:p w:rsidR="00FD1FB0" w:rsidRDefault="00FD1FB0">
      <w:pPr>
        <w:jc w:val="left"/>
        <w:rPr>
          <w:rFonts w:ascii="宋体" w:hAnsi="宋体" w:cs="宋体"/>
        </w:rPr>
      </w:pPr>
    </w:p>
    <w:p w:rsidR="00143772" w:rsidRPr="00FD1FB0" w:rsidRDefault="00000000">
      <w:pPr>
        <w:jc w:val="left"/>
        <w:rPr>
          <w:rFonts w:ascii="宋体" w:hAnsi="宋体" w:cs="宋体"/>
          <w:b/>
          <w:bCs/>
        </w:rPr>
      </w:pPr>
      <w:r w:rsidRPr="00FD1FB0">
        <w:rPr>
          <w:rFonts w:ascii="宋体" w:hAnsi="宋体" w:cs="宋体" w:hint="eastAsia"/>
          <w:b/>
          <w:bCs/>
        </w:rPr>
        <w:t>【知识点4】法律环境</w:t>
      </w:r>
    </w:p>
    <w:p w:rsidR="00143772" w:rsidRDefault="00000000">
      <w:pPr>
        <w:jc w:val="left"/>
        <w:rPr>
          <w:rFonts w:ascii="宋体" w:hAnsi="宋体" w:cs="宋体"/>
        </w:rPr>
      </w:pPr>
      <w:r>
        <w:rPr>
          <w:rFonts w:ascii="宋体" w:hAnsi="宋体" w:cs="宋体" w:hint="eastAsia"/>
        </w:rPr>
        <w:t>1.影响企业筹资的各种法律法规主要有：公司法、证券法、民法典等。</w:t>
      </w:r>
    </w:p>
    <w:p w:rsidR="00143772" w:rsidRDefault="00000000">
      <w:pPr>
        <w:jc w:val="left"/>
        <w:rPr>
          <w:rFonts w:ascii="宋体" w:hAnsi="宋体" w:cs="宋体"/>
        </w:rPr>
      </w:pPr>
      <w:r>
        <w:rPr>
          <w:rFonts w:ascii="宋体" w:hAnsi="宋体" w:cs="宋体" w:hint="eastAsia"/>
        </w:rPr>
        <w:t>2.影响企业投资的各种法规主要有：证券法、公司法、企业财务通则等。</w:t>
      </w:r>
    </w:p>
    <w:p w:rsidR="00143772" w:rsidRDefault="00000000">
      <w:pPr>
        <w:jc w:val="left"/>
        <w:rPr>
          <w:rFonts w:ascii="宋体" w:hAnsi="宋体" w:cs="宋体"/>
        </w:rPr>
      </w:pPr>
      <w:r>
        <w:rPr>
          <w:rFonts w:ascii="宋体" w:hAnsi="宋体" w:cs="宋体" w:hint="eastAsia"/>
        </w:rPr>
        <w:t>3.影响企业收益分配的各种法规主要有：税法、公司法、企业财务通则等。</w:t>
      </w:r>
    </w:p>
    <w:p w:rsidR="00143772" w:rsidRDefault="00143772">
      <w:pPr>
        <w:jc w:val="left"/>
        <w:rPr>
          <w:rFonts w:ascii="宋体" w:hAnsi="宋体" w:cs="宋体"/>
        </w:rPr>
      </w:pPr>
    </w:p>
    <w:p w:rsidR="00143772" w:rsidRPr="00FD1FB0" w:rsidRDefault="00000000">
      <w:pPr>
        <w:jc w:val="left"/>
        <w:rPr>
          <w:rFonts w:ascii="宋体" w:hAnsi="宋体" w:cs="宋体"/>
          <w:color w:val="FF0000"/>
        </w:rPr>
      </w:pPr>
      <w:r w:rsidRPr="00FD1FB0">
        <w:rPr>
          <w:rFonts w:ascii="宋体" w:hAnsi="宋体" w:cs="宋体" w:hint="eastAsia"/>
          <w:color w:val="FF0000"/>
        </w:rPr>
        <w:t>章节总结</w:t>
      </w:r>
    </w:p>
    <w:p w:rsidR="00143772" w:rsidRDefault="00FD1FB0">
      <w:pPr>
        <w:jc w:val="left"/>
        <w:rPr>
          <w:rFonts w:ascii="宋体" w:hAnsi="宋体" w:cs="宋体"/>
        </w:rPr>
      </w:pPr>
      <w:r>
        <w:rPr>
          <w:rFonts w:ascii="宋体" w:hAnsi="宋体" w:cs="宋体"/>
          <w:noProof/>
        </w:rPr>
        <w:lastRenderedPageBreak/>
        <w:drawing>
          <wp:inline distT="0" distB="0" distL="0" distR="0">
            <wp:extent cx="5194300" cy="4229100"/>
            <wp:effectExtent l="0" t="0" r="0" b="0"/>
            <wp:docPr id="13508077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07753" name="图片 1350807753"/>
                    <pic:cNvPicPr/>
                  </pic:nvPicPr>
                  <pic:blipFill>
                    <a:blip r:embed="rId5">
                      <a:extLst>
                        <a:ext uri="{BEBA8EAE-BF5A-486C-A8C5-ECC9F3942E4B}">
                          <a14:imgProps xmlns:a14="http://schemas.microsoft.com/office/drawing/2010/main">
                            <a14:imgLayer r:embed="rId6">
                              <a14:imgEffect>
                                <a14:brightnessContrast bright="-89000"/>
                              </a14:imgEffect>
                            </a14:imgLayer>
                          </a14:imgProps>
                        </a:ext>
                        <a:ext uri="{28A0092B-C50C-407E-A947-70E740481C1C}">
                          <a14:useLocalDpi xmlns:a14="http://schemas.microsoft.com/office/drawing/2010/main" val="0"/>
                        </a:ext>
                      </a:extLst>
                    </a:blip>
                    <a:stretch>
                      <a:fillRect/>
                    </a:stretch>
                  </pic:blipFill>
                  <pic:spPr>
                    <a:xfrm>
                      <a:off x="0" y="0"/>
                      <a:ext cx="5194300" cy="4229100"/>
                    </a:xfrm>
                    <a:prstGeom prst="rect">
                      <a:avLst/>
                    </a:prstGeom>
                  </pic:spPr>
                </pic:pic>
              </a:graphicData>
            </a:graphic>
          </wp:inline>
        </w:drawing>
      </w:r>
    </w:p>
    <w:p w:rsidR="00143772" w:rsidRDefault="00FD1FB0">
      <w:pPr>
        <w:jc w:val="left"/>
        <w:rPr>
          <w:rFonts w:ascii="宋体" w:hAnsi="宋体" w:cs="宋体" w:hint="eastAsia"/>
        </w:rPr>
      </w:pPr>
      <w:r>
        <w:rPr>
          <w:rFonts w:ascii="宋体" w:hAnsi="宋体" w:cs="宋体" w:hint="eastAsia"/>
          <w:noProof/>
        </w:rPr>
        <w:drawing>
          <wp:inline distT="0" distB="0" distL="0" distR="0">
            <wp:extent cx="4731026" cy="3391266"/>
            <wp:effectExtent l="0" t="0" r="0" b="0"/>
            <wp:docPr id="2673590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59039" name="图片 267359039"/>
                    <pic:cNvPicPr/>
                  </pic:nvPicPr>
                  <pic:blipFill>
                    <a:blip r:embed="rId7">
                      <a:extLst>
                        <a:ext uri="{BEBA8EAE-BF5A-486C-A8C5-ECC9F3942E4B}">
                          <a14:imgProps xmlns:a14="http://schemas.microsoft.com/office/drawing/2010/main">
                            <a14:imgLayer r:embed="rId8">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4744399" cy="3400852"/>
                    </a:xfrm>
                    <a:prstGeom prst="rect">
                      <a:avLst/>
                    </a:prstGeom>
                  </pic:spPr>
                </pic:pic>
              </a:graphicData>
            </a:graphic>
          </wp:inline>
        </w:drawing>
      </w:r>
    </w:p>
    <w:sectPr w:rsidR="00143772">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D53761EC"/>
    <w:rsid w:val="DE9FF6B3"/>
    <w:rsid w:val="DFBE7DA7"/>
    <w:rsid w:val="EF5FF94F"/>
    <w:rsid w:val="F7FFBA63"/>
    <w:rsid w:val="00143772"/>
    <w:rsid w:val="001C0091"/>
    <w:rsid w:val="001F192C"/>
    <w:rsid w:val="00224D66"/>
    <w:rsid w:val="002A1721"/>
    <w:rsid w:val="003B71E3"/>
    <w:rsid w:val="00400C65"/>
    <w:rsid w:val="00401D9A"/>
    <w:rsid w:val="004750DA"/>
    <w:rsid w:val="004F4F48"/>
    <w:rsid w:val="00820D36"/>
    <w:rsid w:val="00964EF9"/>
    <w:rsid w:val="00AA0512"/>
    <w:rsid w:val="00AE0A92"/>
    <w:rsid w:val="00BC0382"/>
    <w:rsid w:val="00C43250"/>
    <w:rsid w:val="00FB32A5"/>
    <w:rsid w:val="00FD1FB0"/>
    <w:rsid w:val="04043713"/>
    <w:rsid w:val="06F537E7"/>
    <w:rsid w:val="078B5EF9"/>
    <w:rsid w:val="0C2030B4"/>
    <w:rsid w:val="0E99714E"/>
    <w:rsid w:val="135D5531"/>
    <w:rsid w:val="14E37374"/>
    <w:rsid w:val="17417CFA"/>
    <w:rsid w:val="182757CA"/>
    <w:rsid w:val="1AA11864"/>
    <w:rsid w:val="1EE7DDB3"/>
    <w:rsid w:val="212B00D9"/>
    <w:rsid w:val="236C49D9"/>
    <w:rsid w:val="2A1A518F"/>
    <w:rsid w:val="2C0559CB"/>
    <w:rsid w:val="2F154177"/>
    <w:rsid w:val="2F283EAA"/>
    <w:rsid w:val="2FDE0A0C"/>
    <w:rsid w:val="34715F1D"/>
    <w:rsid w:val="387719FE"/>
    <w:rsid w:val="4B550AA9"/>
    <w:rsid w:val="514836E7"/>
    <w:rsid w:val="537D11A8"/>
    <w:rsid w:val="5AAB97F4"/>
    <w:rsid w:val="5FD6198B"/>
    <w:rsid w:val="5FEF7F48"/>
    <w:rsid w:val="67A535E2"/>
    <w:rsid w:val="68753EF9"/>
    <w:rsid w:val="68921DB9"/>
    <w:rsid w:val="6AC81AA4"/>
    <w:rsid w:val="6F315D76"/>
    <w:rsid w:val="7A6F8870"/>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5E5195"/>
  <w15:docId w15:val="{C32EAC26-7C90-CF43-B710-111663E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8</cp:revision>
  <dcterms:created xsi:type="dcterms:W3CDTF">2025-04-14T14:53:00Z</dcterms:created>
  <dcterms:modified xsi:type="dcterms:W3CDTF">2025-05-01T01:43:00Z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