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972" w:rsidRPr="00C67577" w:rsidRDefault="00000000" w:rsidP="00C67577">
      <w:pPr>
        <w:overflowPunct w:val="0"/>
        <w:jc w:val="center"/>
        <w:rPr>
          <w:rFonts w:ascii="宋体" w:hAnsi="宋体" w:cs="宋体"/>
          <w:b/>
          <w:bCs/>
        </w:rPr>
      </w:pPr>
      <w:r w:rsidRPr="00C67577">
        <w:rPr>
          <w:rFonts w:ascii="宋体" w:hAnsi="宋体" w:cs="宋体" w:hint="eastAsia"/>
          <w:b/>
          <w:bCs/>
        </w:rPr>
        <w:t>第六节  财务管理环境</w:t>
      </w:r>
    </w:p>
    <w:p w:rsidR="00E83972" w:rsidRDefault="00000000">
      <w:pPr>
        <w:jc w:val="left"/>
        <w:rPr>
          <w:rFonts w:ascii="宋体" w:hAnsi="宋体" w:cs="宋体"/>
        </w:rPr>
      </w:pPr>
      <w:r>
        <w:rPr>
          <w:rFonts w:ascii="宋体" w:hAnsi="宋体" w:cs="宋体" w:hint="eastAsia"/>
        </w:rPr>
        <w:t>财务管理环境是指对企业财务活动和财务管理产生影响作用的企业内外各种条件的统称，主要包括技术环境、经济环境、金融环境、法律环境等。</w:t>
      </w:r>
    </w:p>
    <w:p w:rsidR="00E83972" w:rsidRDefault="00E83972">
      <w:pPr>
        <w:jc w:val="left"/>
        <w:rPr>
          <w:rFonts w:ascii="宋体" w:hAnsi="宋体" w:cs="宋体"/>
        </w:rPr>
      </w:pPr>
    </w:p>
    <w:p w:rsidR="00E83972" w:rsidRPr="00C67577" w:rsidRDefault="00000000">
      <w:pPr>
        <w:jc w:val="left"/>
        <w:rPr>
          <w:rFonts w:ascii="宋体" w:hAnsi="宋体" w:cs="宋体"/>
          <w:b/>
          <w:bCs/>
        </w:rPr>
      </w:pPr>
      <w:r w:rsidRPr="00C67577">
        <w:rPr>
          <w:rFonts w:ascii="宋体" w:hAnsi="宋体" w:cs="宋体" w:hint="eastAsia"/>
          <w:b/>
          <w:bCs/>
        </w:rPr>
        <w:t>【知识点1】经济环境</w:t>
      </w:r>
    </w:p>
    <w:p w:rsidR="00E83972" w:rsidRDefault="00000000">
      <w:pPr>
        <w:jc w:val="left"/>
        <w:rPr>
          <w:rFonts w:ascii="宋体" w:hAnsi="宋体" w:cs="宋体"/>
        </w:rPr>
      </w:pPr>
      <w:r>
        <w:rPr>
          <w:rFonts w:ascii="宋体" w:hAnsi="宋体" w:cs="宋体" w:hint="eastAsia"/>
        </w:rPr>
        <w:t>经济环境内容十分广泛，包括经济体制、经济周期、经济发展水平、宏观经济政策及通货膨胀水平等。</w:t>
      </w:r>
    </w:p>
    <w:p w:rsidR="00E83972" w:rsidRDefault="00000000">
      <w:pPr>
        <w:jc w:val="left"/>
        <w:rPr>
          <w:rFonts w:ascii="宋体" w:hAnsi="宋体" w:cs="宋体"/>
        </w:rPr>
      </w:pPr>
      <w:r>
        <w:rPr>
          <w:rFonts w:ascii="宋体" w:hAnsi="宋体" w:cs="宋体" w:hint="eastAsia"/>
        </w:rPr>
        <w:t>一、经济体制</w:t>
      </w:r>
    </w:p>
    <w:p w:rsidR="00E83972" w:rsidRDefault="00000000">
      <w:pPr>
        <w:jc w:val="left"/>
        <w:rPr>
          <w:rFonts w:ascii="宋体" w:hAnsi="宋体" w:cs="宋体"/>
        </w:rPr>
      </w:pPr>
      <w:r>
        <w:rPr>
          <w:rFonts w:ascii="宋体" w:hAnsi="宋体" w:cs="宋体" w:hint="eastAsia"/>
        </w:rPr>
        <w:t>1.计划经济体制下，国家统筹企业资本、统一投资、统负盈亏，企业独立核算但无理财权利。</w:t>
      </w:r>
    </w:p>
    <w:p w:rsidR="00E83972" w:rsidRDefault="00000000">
      <w:pPr>
        <w:jc w:val="left"/>
        <w:rPr>
          <w:rFonts w:ascii="宋体" w:hAnsi="宋体" w:cs="宋体"/>
        </w:rPr>
      </w:pPr>
      <w:r>
        <w:rPr>
          <w:rFonts w:ascii="宋体" w:hAnsi="宋体" w:cs="宋体" w:hint="eastAsia"/>
        </w:rPr>
        <w:t>2.市场经济体制，企业自主经营、自负盈亏的经济实体。</w:t>
      </w:r>
    </w:p>
    <w:p w:rsidR="00E83972" w:rsidRDefault="00000000">
      <w:pPr>
        <w:jc w:val="left"/>
        <w:rPr>
          <w:rFonts w:ascii="宋体" w:hAnsi="宋体" w:cs="宋体"/>
        </w:rPr>
      </w:pPr>
      <w:r>
        <w:rPr>
          <w:rFonts w:ascii="宋体" w:hAnsi="宋体" w:cs="宋体" w:hint="eastAsia"/>
        </w:rPr>
        <w:t>二、经济周期（✮✬✭）</w:t>
      </w:r>
    </w:p>
    <w:p w:rsidR="00E83972" w:rsidRDefault="00000000">
      <w:pPr>
        <w:jc w:val="left"/>
        <w:rPr>
          <w:rFonts w:ascii="宋体" w:hAnsi="宋体" w:cs="宋体"/>
        </w:rPr>
      </w:pPr>
      <w:r>
        <w:rPr>
          <w:rFonts w:ascii="宋体" w:hAnsi="宋体" w:cs="宋体" w:hint="eastAsia"/>
        </w:rPr>
        <w:t>经济周期的不同阶段，采用不同的财务管理战略。</w:t>
      </w:r>
    </w:p>
    <w:p w:rsidR="00C67577" w:rsidRDefault="00C67577" w:rsidP="00C67577">
      <w:pPr>
        <w:overflowPunct w:val="0"/>
        <w:jc w:val="left"/>
        <w:rPr>
          <w:rFonts w:ascii="宋体" w:hAnsi="宋体" w:cs="宋体" w:hint="eastAsia"/>
        </w:rPr>
      </w:pPr>
      <w:r w:rsidRPr="00C67577">
        <w:rPr>
          <w:rFonts w:ascii="宋体" w:hAnsi="宋体" w:cs="宋体"/>
        </w:rPr>
        <w:drawing>
          <wp:inline distT="0" distB="0" distL="0" distR="0" wp14:anchorId="0C638E74" wp14:editId="16A3EFEC">
            <wp:extent cx="4546600" cy="1447800"/>
            <wp:effectExtent l="0" t="0" r="0" b="0"/>
            <wp:docPr id="13326350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35006" name=""/>
                    <pic:cNvPicPr/>
                  </pic:nvPicPr>
                  <pic:blipFill>
                    <a:blip r:embed="rId4"/>
                    <a:stretch>
                      <a:fillRect/>
                    </a:stretch>
                  </pic:blipFill>
                  <pic:spPr>
                    <a:xfrm>
                      <a:off x="0" y="0"/>
                      <a:ext cx="4546600" cy="1447800"/>
                    </a:xfrm>
                    <a:prstGeom prst="rect">
                      <a:avLst/>
                    </a:prstGeom>
                  </pic:spPr>
                </pic:pic>
              </a:graphicData>
            </a:graphic>
          </wp:inline>
        </w:drawing>
      </w:r>
    </w:p>
    <w:p w:rsidR="00E83972" w:rsidRDefault="00000000">
      <w:pPr>
        <w:jc w:val="left"/>
        <w:rPr>
          <w:rFonts w:ascii="宋体" w:hAnsi="宋体" w:cs="宋体"/>
        </w:rPr>
      </w:pPr>
      <w:r>
        <w:rPr>
          <w:rFonts w:ascii="宋体" w:hAnsi="宋体" w:cs="宋体" w:hint="eastAsia"/>
        </w:rPr>
        <w:t>三、经济发展水平</w:t>
      </w:r>
    </w:p>
    <w:p w:rsidR="00E83972" w:rsidRDefault="00000000">
      <w:pPr>
        <w:jc w:val="left"/>
        <w:rPr>
          <w:rFonts w:ascii="宋体" w:hAnsi="宋体" w:cs="宋体"/>
        </w:rPr>
      </w:pPr>
      <w:r>
        <w:rPr>
          <w:rFonts w:ascii="宋体" w:hAnsi="宋体" w:cs="宋体" w:hint="eastAsia"/>
        </w:rPr>
        <w:t>财务管理的发展水平是和经济发展水平密切相关的，经济发展水平越高，财务管理水平也越高。</w:t>
      </w:r>
    </w:p>
    <w:p w:rsidR="00E83972" w:rsidRDefault="00000000">
      <w:pPr>
        <w:jc w:val="left"/>
        <w:rPr>
          <w:rFonts w:ascii="宋体" w:hAnsi="宋体" w:cs="宋体"/>
        </w:rPr>
      </w:pPr>
      <w:r>
        <w:rPr>
          <w:rFonts w:ascii="宋体" w:hAnsi="宋体" w:cs="宋体" w:hint="eastAsia"/>
        </w:rPr>
        <w:t>四、宏观经济政策</w:t>
      </w:r>
    </w:p>
    <w:p w:rsidR="00E83972" w:rsidRDefault="00000000">
      <w:pPr>
        <w:jc w:val="left"/>
        <w:rPr>
          <w:rFonts w:ascii="宋体" w:hAnsi="宋体" w:cs="宋体"/>
        </w:rPr>
      </w:pPr>
      <w:r>
        <w:rPr>
          <w:rFonts w:ascii="宋体" w:hAnsi="宋体" w:cs="宋体" w:hint="eastAsia"/>
        </w:rPr>
        <w:t>金融政策、财税政策、价格政策、会计制度等都会对企业财务管理带来影响。</w:t>
      </w:r>
    </w:p>
    <w:p w:rsidR="00E83972" w:rsidRDefault="00000000">
      <w:pPr>
        <w:jc w:val="left"/>
        <w:rPr>
          <w:rFonts w:ascii="宋体" w:hAnsi="宋体" w:cs="宋体"/>
        </w:rPr>
      </w:pPr>
      <w:r>
        <w:rPr>
          <w:rFonts w:ascii="宋体" w:hAnsi="宋体" w:cs="宋体" w:hint="eastAsia"/>
        </w:rPr>
        <w:t>五、通货膨胀水平（✮✬✭）</w:t>
      </w:r>
    </w:p>
    <w:p w:rsidR="00E83972" w:rsidRDefault="00000000">
      <w:pPr>
        <w:jc w:val="left"/>
        <w:rPr>
          <w:rFonts w:ascii="宋体" w:hAnsi="宋体" w:cs="宋体"/>
        </w:rPr>
      </w:pPr>
      <w:r>
        <w:rPr>
          <w:rFonts w:ascii="宋体" w:hAnsi="宋体" w:cs="宋体" w:hint="eastAsia"/>
        </w:rPr>
        <w:t>通货膨胀对企业财务活动的影响</w:t>
      </w:r>
    </w:p>
    <w:p w:rsidR="00E83972" w:rsidRDefault="00000000">
      <w:pPr>
        <w:jc w:val="left"/>
        <w:rPr>
          <w:rFonts w:ascii="宋体" w:hAnsi="宋体" w:cs="宋体"/>
        </w:rPr>
      </w:pPr>
      <w:r>
        <w:rPr>
          <w:rFonts w:ascii="宋体" w:hAnsi="宋体" w:cs="宋体" w:hint="eastAsia"/>
        </w:rPr>
        <w:t>（1）引起资金占用的大量增加，从而增加企业的资金需求；</w:t>
      </w:r>
    </w:p>
    <w:p w:rsidR="00E83972" w:rsidRDefault="00000000">
      <w:pPr>
        <w:jc w:val="left"/>
        <w:rPr>
          <w:rFonts w:ascii="宋体" w:hAnsi="宋体" w:cs="宋体"/>
        </w:rPr>
      </w:pPr>
      <w:r>
        <w:rPr>
          <w:rFonts w:ascii="宋体" w:hAnsi="宋体" w:cs="宋体" w:hint="eastAsia"/>
        </w:rPr>
        <w:t>（2）引起企业利润虚增，造成企业资金由于利润分配而流失；</w:t>
      </w:r>
    </w:p>
    <w:p w:rsidR="00E83972" w:rsidRDefault="00000000">
      <w:pPr>
        <w:jc w:val="left"/>
        <w:rPr>
          <w:rFonts w:ascii="宋体" w:hAnsi="宋体" w:cs="宋体"/>
        </w:rPr>
      </w:pPr>
      <w:r>
        <w:rPr>
          <w:rFonts w:ascii="宋体" w:hAnsi="宋体" w:cs="宋体" w:hint="eastAsia"/>
        </w:rPr>
        <w:t>（3）引起利率上升，加大企业筹资成本；</w:t>
      </w:r>
    </w:p>
    <w:p w:rsidR="00E83972" w:rsidRDefault="00000000">
      <w:pPr>
        <w:jc w:val="left"/>
        <w:rPr>
          <w:rFonts w:ascii="宋体" w:hAnsi="宋体" w:cs="宋体"/>
        </w:rPr>
      </w:pPr>
      <w:r>
        <w:rPr>
          <w:rFonts w:ascii="宋体" w:hAnsi="宋体" w:cs="宋体" w:hint="eastAsia"/>
        </w:rPr>
        <w:t>（4）引起有价证券价格下降，增加企业的筹资难度；</w:t>
      </w:r>
    </w:p>
    <w:p w:rsidR="00E83972" w:rsidRDefault="00000000">
      <w:pPr>
        <w:jc w:val="left"/>
        <w:rPr>
          <w:rFonts w:ascii="宋体" w:hAnsi="宋体" w:cs="宋体"/>
        </w:rPr>
      </w:pPr>
      <w:r>
        <w:rPr>
          <w:rFonts w:ascii="宋体" w:hAnsi="宋体" w:cs="宋体" w:hint="eastAsia"/>
        </w:rPr>
        <w:t>（5）引起资金供应紧张，增加企业的筹资困难</w:t>
      </w:r>
    </w:p>
    <w:p w:rsidR="00E83972" w:rsidRDefault="00000000">
      <w:pPr>
        <w:jc w:val="left"/>
        <w:rPr>
          <w:rFonts w:ascii="宋体" w:hAnsi="宋体" w:cs="宋体"/>
        </w:rPr>
      </w:pPr>
      <w:r>
        <w:rPr>
          <w:rFonts w:ascii="宋体" w:hAnsi="宋体" w:cs="宋体" w:hint="eastAsia"/>
        </w:rPr>
        <w:t>（二）企业的应对策略</w:t>
      </w:r>
    </w:p>
    <w:p w:rsidR="00E83972" w:rsidRDefault="00000000">
      <w:pPr>
        <w:jc w:val="left"/>
        <w:rPr>
          <w:rFonts w:ascii="宋体" w:hAnsi="宋体" w:cs="宋体"/>
        </w:rPr>
      </w:pPr>
      <w:r>
        <w:rPr>
          <w:rFonts w:ascii="宋体" w:hAnsi="宋体" w:cs="宋体" w:hint="eastAsia"/>
        </w:rPr>
        <w:t>期初（外部采取策略）</w:t>
      </w:r>
    </w:p>
    <w:p w:rsidR="00E83972" w:rsidRDefault="00000000">
      <w:pPr>
        <w:jc w:val="left"/>
        <w:rPr>
          <w:rFonts w:ascii="宋体" w:hAnsi="宋体" w:cs="宋体"/>
        </w:rPr>
      </w:pPr>
      <w:r>
        <w:rPr>
          <w:rFonts w:ascii="宋体" w:hAnsi="宋体" w:cs="宋体" w:hint="eastAsia"/>
        </w:rPr>
        <w:t>（1）进行投资可避免风险，实现资本保值；</w:t>
      </w:r>
    </w:p>
    <w:p w:rsidR="00E83972" w:rsidRDefault="00000000">
      <w:pPr>
        <w:jc w:val="left"/>
        <w:rPr>
          <w:rFonts w:ascii="宋体" w:hAnsi="宋体" w:cs="宋体"/>
        </w:rPr>
      </w:pPr>
      <w:r>
        <w:rPr>
          <w:rFonts w:ascii="宋体" w:hAnsi="宋体" w:cs="宋体" w:hint="eastAsia"/>
        </w:rPr>
        <w:t>（2）签订长期购货合同，减少物价上涨造成的损失；</w:t>
      </w:r>
    </w:p>
    <w:p w:rsidR="00E83972" w:rsidRDefault="00000000">
      <w:pPr>
        <w:jc w:val="left"/>
        <w:rPr>
          <w:rFonts w:ascii="宋体" w:hAnsi="宋体" w:cs="宋体"/>
        </w:rPr>
      </w:pPr>
      <w:r>
        <w:rPr>
          <w:rFonts w:ascii="宋体" w:hAnsi="宋体" w:cs="宋体" w:hint="eastAsia"/>
        </w:rPr>
        <w:t>（3）取得长期负债，保持资本成本的稳定</w:t>
      </w:r>
    </w:p>
    <w:p w:rsidR="00E83972" w:rsidRDefault="00000000">
      <w:pPr>
        <w:jc w:val="left"/>
        <w:rPr>
          <w:rFonts w:ascii="宋体" w:hAnsi="宋体" w:cs="宋体"/>
        </w:rPr>
      </w:pPr>
      <w:r>
        <w:rPr>
          <w:rFonts w:ascii="宋体" w:hAnsi="宋体" w:cs="宋体" w:hint="eastAsia"/>
        </w:rPr>
        <w:t xml:space="preserve"> 持续期（内部采取策略）</w:t>
      </w:r>
    </w:p>
    <w:p w:rsidR="00E83972" w:rsidRDefault="00000000">
      <w:pPr>
        <w:jc w:val="left"/>
        <w:rPr>
          <w:rFonts w:ascii="宋体" w:hAnsi="宋体" w:cs="宋体"/>
        </w:rPr>
      </w:pPr>
      <w:r>
        <w:rPr>
          <w:rFonts w:ascii="宋体" w:hAnsi="宋体" w:cs="宋体" w:hint="eastAsia"/>
        </w:rPr>
        <w:t>（1）采用比较严格的信用条件，减少企业债权；</w:t>
      </w:r>
    </w:p>
    <w:p w:rsidR="00E83972" w:rsidRDefault="00000000">
      <w:pPr>
        <w:jc w:val="left"/>
        <w:rPr>
          <w:rFonts w:ascii="宋体" w:hAnsi="宋体" w:cs="宋体"/>
        </w:rPr>
      </w:pPr>
      <w:r>
        <w:rPr>
          <w:rFonts w:ascii="宋体" w:hAnsi="宋体" w:cs="宋体" w:hint="eastAsia"/>
        </w:rPr>
        <w:t>（2）调整财务政策，防止和减少企业资本流失等</w:t>
      </w:r>
    </w:p>
    <w:p w:rsidR="00C67577" w:rsidRDefault="00C67577">
      <w:pPr>
        <w:jc w:val="left"/>
        <w:rPr>
          <w:rFonts w:ascii="宋体" w:hAnsi="宋体" w:cs="宋体"/>
        </w:rPr>
      </w:pPr>
    </w:p>
    <w:p w:rsidR="00E83972" w:rsidRDefault="00000000">
      <w:pPr>
        <w:jc w:val="left"/>
        <w:rPr>
          <w:rFonts w:ascii="宋体" w:hAnsi="宋体" w:cs="宋体"/>
        </w:rPr>
      </w:pPr>
      <w:r>
        <w:rPr>
          <w:rFonts w:ascii="宋体" w:hAnsi="宋体" w:cs="宋体" w:hint="eastAsia"/>
        </w:rPr>
        <w:t>【多选题】（2019年）应对通货膨胀给企业造成的不利影响，企业可采取的措施包括（  ）。</w:t>
      </w:r>
    </w:p>
    <w:p w:rsidR="00E83972" w:rsidRDefault="00000000">
      <w:pPr>
        <w:jc w:val="left"/>
        <w:rPr>
          <w:rFonts w:ascii="宋体" w:hAnsi="宋体" w:cs="宋体"/>
        </w:rPr>
      </w:pPr>
      <w:r>
        <w:rPr>
          <w:rFonts w:ascii="宋体" w:hAnsi="宋体" w:cs="宋体" w:hint="eastAsia"/>
        </w:rPr>
        <w:t xml:space="preserve">A.放宽信用政策    </w:t>
      </w:r>
    </w:p>
    <w:p w:rsidR="00E83972" w:rsidRDefault="00000000">
      <w:pPr>
        <w:jc w:val="left"/>
        <w:rPr>
          <w:rFonts w:ascii="宋体" w:hAnsi="宋体" w:cs="宋体"/>
        </w:rPr>
      </w:pPr>
      <w:r>
        <w:rPr>
          <w:rFonts w:ascii="宋体" w:hAnsi="宋体" w:cs="宋体" w:hint="eastAsia"/>
        </w:rPr>
        <w:t xml:space="preserve">B.减少企业债权   </w:t>
      </w:r>
    </w:p>
    <w:p w:rsidR="00E83972" w:rsidRDefault="00000000">
      <w:pPr>
        <w:jc w:val="left"/>
        <w:rPr>
          <w:rFonts w:ascii="宋体" w:hAnsi="宋体" w:cs="宋体"/>
        </w:rPr>
      </w:pPr>
      <w:r>
        <w:rPr>
          <w:rFonts w:ascii="宋体" w:hAnsi="宋体" w:cs="宋体" w:hint="eastAsia"/>
        </w:rPr>
        <w:t xml:space="preserve">C.签订长期购货合同      </w:t>
      </w:r>
    </w:p>
    <w:p w:rsidR="00E83972" w:rsidRDefault="00000000">
      <w:pPr>
        <w:jc w:val="left"/>
        <w:rPr>
          <w:rFonts w:ascii="宋体" w:hAnsi="宋体" w:cs="宋体"/>
        </w:rPr>
      </w:pPr>
      <w:r>
        <w:rPr>
          <w:rFonts w:ascii="宋体" w:hAnsi="宋体" w:cs="宋体" w:hint="eastAsia"/>
        </w:rPr>
        <w:t>D.取得长期负债</w:t>
      </w:r>
    </w:p>
    <w:p w:rsidR="00E83972" w:rsidRDefault="00000000">
      <w:pPr>
        <w:jc w:val="left"/>
        <w:rPr>
          <w:rFonts w:ascii="宋体" w:hAnsi="宋体" w:cs="宋体"/>
        </w:rPr>
      </w:pPr>
      <w:r>
        <w:rPr>
          <w:rFonts w:ascii="宋体" w:hAnsi="宋体" w:cs="宋体" w:hint="eastAsia"/>
        </w:rPr>
        <w:t>答案：BCD</w:t>
      </w:r>
    </w:p>
    <w:p w:rsidR="00E83972" w:rsidRDefault="00000000">
      <w:pPr>
        <w:jc w:val="left"/>
        <w:rPr>
          <w:rFonts w:ascii="宋体" w:hAnsi="宋体" w:cs="宋体" w:hint="eastAsia"/>
        </w:rPr>
      </w:pPr>
      <w:r>
        <w:rPr>
          <w:rFonts w:ascii="宋体" w:hAnsi="宋体" w:cs="宋体" w:hint="eastAsia"/>
        </w:rPr>
        <w:t>解析：在通货膨胀时期，应签订固定价格的长期购货合同以减少物价上涨的影响；应取得固定利率的长期负债以减少利率上升的影响；应采用严格的信用政策以减少债权，降低货币贬值损失。</w:t>
      </w:r>
    </w:p>
    <w:sectPr w:rsidR="00E83972">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D53761EC"/>
    <w:rsid w:val="DE9FF6B3"/>
    <w:rsid w:val="EF5FF94F"/>
    <w:rsid w:val="F7FFBA63"/>
    <w:rsid w:val="001C0091"/>
    <w:rsid w:val="001F192C"/>
    <w:rsid w:val="00224D66"/>
    <w:rsid w:val="002A1721"/>
    <w:rsid w:val="003B71E3"/>
    <w:rsid w:val="00400C65"/>
    <w:rsid w:val="00401D9A"/>
    <w:rsid w:val="004750DA"/>
    <w:rsid w:val="004F4F48"/>
    <w:rsid w:val="00820D36"/>
    <w:rsid w:val="00964EF9"/>
    <w:rsid w:val="00AA0512"/>
    <w:rsid w:val="00AE0A92"/>
    <w:rsid w:val="00BC0382"/>
    <w:rsid w:val="00C43250"/>
    <w:rsid w:val="00C67577"/>
    <w:rsid w:val="00E83972"/>
    <w:rsid w:val="00FB32A5"/>
    <w:rsid w:val="04043713"/>
    <w:rsid w:val="06F537E7"/>
    <w:rsid w:val="078B5EF9"/>
    <w:rsid w:val="0C2030B4"/>
    <w:rsid w:val="0E99714E"/>
    <w:rsid w:val="135D5531"/>
    <w:rsid w:val="14E37374"/>
    <w:rsid w:val="17417CFA"/>
    <w:rsid w:val="182757CA"/>
    <w:rsid w:val="1AA11864"/>
    <w:rsid w:val="1EE7DDB3"/>
    <w:rsid w:val="212B00D9"/>
    <w:rsid w:val="236C49D9"/>
    <w:rsid w:val="2A1A518F"/>
    <w:rsid w:val="2C0559CB"/>
    <w:rsid w:val="2F154177"/>
    <w:rsid w:val="2F283EAA"/>
    <w:rsid w:val="2FDE0A0C"/>
    <w:rsid w:val="34715F1D"/>
    <w:rsid w:val="387719FE"/>
    <w:rsid w:val="4B550AA9"/>
    <w:rsid w:val="514836E7"/>
    <w:rsid w:val="537D11A8"/>
    <w:rsid w:val="5AAB97F4"/>
    <w:rsid w:val="5FD6198B"/>
    <w:rsid w:val="5FEF7F48"/>
    <w:rsid w:val="67A535E2"/>
    <w:rsid w:val="68753EF9"/>
    <w:rsid w:val="68921DB9"/>
    <w:rsid w:val="6AC81AA4"/>
    <w:rsid w:val="6F315D76"/>
    <w:rsid w:val="7A6F8870"/>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42254D"/>
  <w15:docId w15:val="{C32EAC26-7C90-CF43-B710-111663E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8</cp:revision>
  <dcterms:created xsi:type="dcterms:W3CDTF">2025-04-14T06:53:00Z</dcterms:created>
  <dcterms:modified xsi:type="dcterms:W3CDTF">2025-05-01T01:41:00Z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