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57AE0">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sz w:val="21"/>
          <w:szCs w:val="21"/>
        </w:rPr>
      </w:pPr>
      <w:bookmarkStart w:id="0" w:name="_GoBack"/>
      <w:r>
        <w:rPr>
          <w:rFonts w:hint="eastAsia" w:ascii="宋体" w:hAnsi="宋体" w:eastAsia="宋体" w:cs="宋体"/>
          <w:b/>
          <w:bCs/>
          <w:sz w:val="21"/>
          <w:szCs w:val="21"/>
        </w:rPr>
        <w:t>第三节  经济纠纷解决途径</w:t>
      </w:r>
    </w:p>
    <w:p w14:paraId="55331326">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2452EE5E">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color w:val="FF0000"/>
          <w:sz w:val="21"/>
          <w:szCs w:val="21"/>
        </w:rPr>
        <w:t>考点2：民事诉讼（★★★）</w:t>
      </w:r>
      <w:r>
        <w:rPr>
          <w:rFonts w:hint="eastAsia" w:ascii="宋体" w:hAnsi="宋体" w:eastAsia="宋体" w:cs="宋体"/>
          <w:sz w:val="21"/>
          <w:szCs w:val="21"/>
        </w:rPr>
        <w:br w:type="textWrapping"/>
      </w:r>
      <w:r>
        <w:rPr>
          <w:rFonts w:hint="eastAsia" w:ascii="宋体" w:hAnsi="宋体" w:eastAsia="宋体" w:cs="宋体"/>
          <w:sz w:val="21"/>
          <w:szCs w:val="21"/>
        </w:rPr>
        <w:t>一、民事诉讼的适用范围</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color w:val="FF0000"/>
          <w:sz w:val="21"/>
          <w:szCs w:val="21"/>
        </w:rPr>
        <w:t>.</w:t>
      </w:r>
      <w:r>
        <w:rPr>
          <w:rFonts w:hint="eastAsia" w:ascii="宋体" w:hAnsi="宋体" w:eastAsia="宋体" w:cs="宋体"/>
          <w:color w:val="FF0000"/>
          <w:sz w:val="21"/>
          <w:szCs w:val="21"/>
        </w:rPr>
        <w:t>民事纠纷案件</w:t>
      </w:r>
      <w:r>
        <w:rPr>
          <w:rFonts w:hint="eastAsia" w:ascii="宋体" w:hAnsi="宋体" w:eastAsia="宋体" w:cs="宋体"/>
          <w:sz w:val="21"/>
          <w:szCs w:val="21"/>
        </w:rPr>
        <w:br w:type="textWrapping"/>
      </w:r>
      <w:r>
        <w:rPr>
          <w:rFonts w:hint="eastAsia" w:ascii="宋体" w:hAnsi="宋体" w:eastAsia="宋体" w:cs="宋体"/>
          <w:sz w:val="21"/>
          <w:szCs w:val="21"/>
        </w:rPr>
        <w:t xml:space="preserve"> 如房屋产权争议案件、合同纠纷案件、侵犯著作权案件、侵犯名誉权案件、离婚案件、追索抚养费案件、财产继承案件、解除收养关系案件、因环境污染引起的侵权案件、因不正当竞争引起的损害赔偿案件等。</w:t>
      </w:r>
    </w:p>
    <w:p w14:paraId="1F149B2D">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color w:val="FF0000"/>
          <w:sz w:val="21"/>
          <w:szCs w:val="21"/>
        </w:rPr>
        <w:t>商事纠纷案件</w:t>
      </w:r>
      <w:r>
        <w:rPr>
          <w:rFonts w:hint="eastAsia" w:ascii="宋体" w:hAnsi="宋体" w:eastAsia="宋体" w:cs="宋体"/>
          <w:sz w:val="21"/>
          <w:szCs w:val="21"/>
        </w:rPr>
        <w:br w:type="textWrapping"/>
      </w:r>
      <w:r>
        <w:rPr>
          <w:rFonts w:hint="eastAsia" w:ascii="宋体" w:hAnsi="宋体" w:eastAsia="宋体" w:cs="宋体"/>
          <w:sz w:val="21"/>
          <w:szCs w:val="21"/>
        </w:rPr>
        <w:t>商事案件是指由商法调整的</w:t>
      </w:r>
      <w:r>
        <w:rPr>
          <w:rFonts w:hint="eastAsia" w:ascii="宋体" w:hAnsi="宋体" w:eastAsia="宋体" w:cs="宋体"/>
          <w:color w:val="FF0000"/>
          <w:sz w:val="21"/>
          <w:szCs w:val="21"/>
        </w:rPr>
        <w:t>商事关系</w:t>
      </w:r>
      <w:r>
        <w:rPr>
          <w:rFonts w:hint="eastAsia" w:ascii="宋体" w:hAnsi="宋体" w:eastAsia="宋体" w:cs="宋体"/>
          <w:sz w:val="21"/>
          <w:szCs w:val="21"/>
        </w:rPr>
        <w:t>引起的诉讼。</w:t>
      </w:r>
      <w:r>
        <w:rPr>
          <w:rFonts w:hint="eastAsia" w:ascii="宋体" w:hAnsi="宋体" w:eastAsia="宋体" w:cs="宋体"/>
          <w:sz w:val="21"/>
          <w:szCs w:val="21"/>
        </w:rPr>
        <w:br w:type="textWrapping"/>
      </w:r>
      <w:r>
        <w:rPr>
          <w:rFonts w:hint="eastAsia" w:ascii="宋体" w:hAnsi="宋体" w:eastAsia="宋体" w:cs="宋体"/>
          <w:sz w:val="21"/>
          <w:szCs w:val="21"/>
        </w:rPr>
        <w:t>【举例】票据案件、股东权益纠纷案件、保险合同纠纷案件、海商案件等。</w:t>
      </w:r>
      <w:r>
        <w:rPr>
          <w:rFonts w:hint="eastAsia" w:ascii="宋体" w:hAnsi="宋体" w:eastAsia="宋体" w:cs="宋体"/>
          <w:sz w:val="21"/>
          <w:szCs w:val="21"/>
        </w:rPr>
        <w:br w:type="textWrapping"/>
      </w:r>
      <w:r>
        <w:rPr>
          <w:rFonts w:hint="eastAsia" w:ascii="宋体" w:hAnsi="宋体" w:eastAsia="宋体" w:cs="宋体"/>
          <w:sz w:val="21"/>
          <w:szCs w:val="21"/>
        </w:rPr>
        <w:t>3.</w:t>
      </w:r>
      <w:r>
        <w:rPr>
          <w:rFonts w:hint="eastAsia" w:ascii="宋体" w:hAnsi="宋体" w:eastAsia="宋体" w:cs="宋体"/>
          <w:color w:val="FF0000"/>
          <w:sz w:val="21"/>
          <w:szCs w:val="21"/>
        </w:rPr>
        <w:t>劳动争议案件</w:t>
      </w:r>
      <w:r>
        <w:rPr>
          <w:rFonts w:hint="eastAsia" w:ascii="宋体" w:hAnsi="宋体" w:eastAsia="宋体" w:cs="宋体"/>
          <w:sz w:val="21"/>
          <w:szCs w:val="21"/>
        </w:rPr>
        <w:br w:type="textWrapping"/>
      </w:r>
      <w:r>
        <w:rPr>
          <w:rFonts w:hint="eastAsia" w:ascii="宋体" w:hAnsi="宋体" w:eastAsia="宋体" w:cs="宋体"/>
          <w:sz w:val="21"/>
          <w:szCs w:val="21"/>
        </w:rPr>
        <w:t>指因</w:t>
      </w:r>
      <w:r>
        <w:rPr>
          <w:rFonts w:hint="eastAsia" w:ascii="宋体" w:hAnsi="宋体" w:eastAsia="宋体" w:cs="宋体"/>
          <w:color w:val="FF0000"/>
          <w:sz w:val="21"/>
          <w:szCs w:val="21"/>
        </w:rPr>
        <w:t>劳动法调整的社会关系</w:t>
      </w:r>
      <w:r>
        <w:rPr>
          <w:rFonts w:hint="eastAsia" w:ascii="宋体" w:hAnsi="宋体" w:eastAsia="宋体" w:cs="宋体"/>
          <w:sz w:val="21"/>
          <w:szCs w:val="21"/>
        </w:rPr>
        <w:t>发生的争议，法律规定适用民事诉讼程序的案件。</w:t>
      </w:r>
      <w:r>
        <w:rPr>
          <w:rFonts w:hint="eastAsia" w:ascii="宋体" w:hAnsi="宋体" w:eastAsia="宋体" w:cs="宋体"/>
          <w:sz w:val="21"/>
          <w:szCs w:val="21"/>
        </w:rPr>
        <w:br w:type="textWrapping"/>
      </w:r>
      <w:r>
        <w:rPr>
          <w:rFonts w:hint="eastAsia" w:ascii="宋体" w:hAnsi="宋体" w:eastAsia="宋体" w:cs="宋体"/>
          <w:sz w:val="21"/>
          <w:szCs w:val="21"/>
        </w:rPr>
        <w:t>【举例】劳动合同纠纷案件等。</w:t>
      </w:r>
    </w:p>
    <w:p w14:paraId="514D99E7">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4.人民法院适用《民事诉讼法》审理的</w:t>
      </w:r>
      <w:r>
        <w:rPr>
          <w:rFonts w:hint="eastAsia" w:ascii="宋体" w:hAnsi="宋体" w:eastAsia="宋体" w:cs="宋体"/>
          <w:color w:val="FF0000"/>
          <w:sz w:val="21"/>
          <w:szCs w:val="21"/>
        </w:rPr>
        <w:t>非讼案件</w:t>
      </w:r>
      <w:r>
        <w:rPr>
          <w:rFonts w:hint="eastAsia" w:ascii="宋体" w:hAnsi="宋体" w:eastAsia="宋体" w:cs="宋体"/>
          <w:sz w:val="21"/>
          <w:szCs w:val="21"/>
        </w:rPr>
        <w:br w:type="textWrapping"/>
      </w:r>
      <w:r>
        <w:rPr>
          <w:rFonts w:hint="eastAsia" w:ascii="宋体" w:hAnsi="宋体" w:eastAsia="宋体" w:cs="宋体"/>
          <w:sz w:val="21"/>
          <w:szCs w:val="21"/>
        </w:rPr>
        <w:t>（1）适用</w:t>
      </w:r>
      <w:r>
        <w:rPr>
          <w:rFonts w:hint="eastAsia" w:ascii="宋体" w:hAnsi="宋体" w:eastAsia="宋体" w:cs="宋体"/>
          <w:color w:val="FF0000"/>
          <w:sz w:val="21"/>
          <w:szCs w:val="21"/>
        </w:rPr>
        <w:t>特别程序审理</w:t>
      </w:r>
      <w:r>
        <w:rPr>
          <w:rFonts w:hint="eastAsia" w:ascii="宋体" w:hAnsi="宋体" w:eastAsia="宋体" w:cs="宋体"/>
          <w:sz w:val="21"/>
          <w:szCs w:val="21"/>
        </w:rPr>
        <w:t>的案件。</w:t>
      </w:r>
      <w:r>
        <w:rPr>
          <w:rFonts w:hint="eastAsia" w:ascii="宋体" w:hAnsi="宋体" w:eastAsia="宋体" w:cs="宋体"/>
          <w:sz w:val="21"/>
          <w:szCs w:val="21"/>
        </w:rPr>
        <w:br w:type="textWrapping"/>
      </w:r>
      <w:r>
        <w:rPr>
          <w:rFonts w:hint="eastAsia" w:ascii="宋体" w:hAnsi="宋体" w:eastAsia="宋体" w:cs="宋体"/>
          <w:sz w:val="21"/>
          <w:szCs w:val="21"/>
        </w:rPr>
        <w:t>【举例】选民资格案件，宣告失踪或者宣告死亡案件、认定公民无民事行为能力或者限制民事行为能力案件等。</w:t>
      </w:r>
      <w:r>
        <w:rPr>
          <w:rFonts w:hint="eastAsia" w:ascii="宋体" w:hAnsi="宋体" w:eastAsia="宋体" w:cs="宋体"/>
          <w:sz w:val="21"/>
          <w:szCs w:val="21"/>
        </w:rPr>
        <w:br w:type="textWrapping"/>
      </w:r>
      <w:r>
        <w:rPr>
          <w:rFonts w:hint="eastAsia" w:ascii="宋体" w:hAnsi="宋体" w:eastAsia="宋体" w:cs="宋体"/>
          <w:sz w:val="21"/>
          <w:szCs w:val="21"/>
        </w:rPr>
        <w:t>（2）适用</w:t>
      </w:r>
      <w:r>
        <w:rPr>
          <w:rFonts w:hint="eastAsia" w:ascii="宋体" w:hAnsi="宋体" w:eastAsia="宋体" w:cs="宋体"/>
          <w:color w:val="FF0000"/>
          <w:sz w:val="21"/>
          <w:szCs w:val="21"/>
        </w:rPr>
        <w:t>督促程序审理</w:t>
      </w:r>
      <w:r>
        <w:rPr>
          <w:rFonts w:hint="eastAsia" w:ascii="宋体" w:hAnsi="宋体" w:eastAsia="宋体" w:cs="宋体"/>
          <w:sz w:val="21"/>
          <w:szCs w:val="21"/>
        </w:rPr>
        <w:t>的案件。</w:t>
      </w:r>
      <w:r>
        <w:rPr>
          <w:rFonts w:hint="eastAsia" w:ascii="宋体" w:hAnsi="宋体" w:eastAsia="宋体" w:cs="宋体"/>
          <w:sz w:val="21"/>
          <w:szCs w:val="21"/>
        </w:rPr>
        <w:br w:type="textWrapping"/>
      </w:r>
      <w:r>
        <w:rPr>
          <w:rFonts w:hint="eastAsia" w:ascii="宋体" w:hAnsi="宋体" w:eastAsia="宋体" w:cs="宋体"/>
          <w:sz w:val="21"/>
          <w:szCs w:val="21"/>
        </w:rPr>
        <w:t>（3）适用</w:t>
      </w:r>
      <w:r>
        <w:rPr>
          <w:rFonts w:hint="eastAsia" w:ascii="宋体" w:hAnsi="宋体" w:eastAsia="宋体" w:cs="宋体"/>
          <w:color w:val="FF0000"/>
          <w:sz w:val="21"/>
          <w:szCs w:val="21"/>
        </w:rPr>
        <w:t>公示催告程序</w:t>
      </w:r>
      <w:r>
        <w:rPr>
          <w:rFonts w:hint="eastAsia" w:ascii="宋体" w:hAnsi="宋体" w:eastAsia="宋体" w:cs="宋体"/>
          <w:sz w:val="21"/>
          <w:szCs w:val="21"/>
        </w:rPr>
        <w:t>审理的案件。</w:t>
      </w:r>
    </w:p>
    <w:p w14:paraId="13ED2EC6">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二、基本制度</w:t>
      </w:r>
      <w:r>
        <w:rPr>
          <w:rFonts w:hint="eastAsia" w:ascii="宋体" w:hAnsi="宋体" w:eastAsia="宋体" w:cs="宋体"/>
          <w:sz w:val="21"/>
          <w:szCs w:val="21"/>
        </w:rPr>
        <w:br w:type="textWrapping"/>
      </w:r>
      <w:r>
        <w:rPr>
          <w:rFonts w:hint="eastAsia" w:ascii="宋体" w:hAnsi="宋体" w:eastAsia="宋体" w:cs="宋体"/>
          <w:sz w:val="21"/>
          <w:szCs w:val="21"/>
        </w:rPr>
        <w:t>1.合议制度</w:t>
      </w:r>
      <w:r>
        <w:rPr>
          <w:rFonts w:hint="eastAsia" w:ascii="宋体" w:hAnsi="宋体" w:eastAsia="宋体" w:cs="宋体"/>
          <w:sz w:val="21"/>
          <w:szCs w:val="21"/>
        </w:rPr>
        <w:br w:type="textWrapping"/>
      </w:r>
      <w:r>
        <w:rPr>
          <w:rFonts w:hint="eastAsia" w:ascii="宋体" w:hAnsi="宋体" w:eastAsia="宋体" w:cs="宋体"/>
          <w:sz w:val="21"/>
          <w:szCs w:val="21"/>
        </w:rPr>
        <w:t>（1）合议制</w:t>
      </w:r>
      <w:r>
        <w:rPr>
          <w:rFonts w:hint="eastAsia" w:ascii="宋体" w:hAnsi="宋体" w:eastAsia="宋体" w:cs="宋体"/>
          <w:sz w:val="21"/>
          <w:szCs w:val="21"/>
        </w:rPr>
        <w:br w:type="textWrapping"/>
      </w:r>
      <w:r>
        <w:rPr>
          <w:rFonts w:hint="eastAsia" w:ascii="宋体" w:hAnsi="宋体" w:eastAsia="宋体" w:cs="宋体"/>
          <w:sz w:val="21"/>
          <w:szCs w:val="21"/>
        </w:rPr>
        <w:t>由3名以上审判人员组成审判组织。（≥3人）</w:t>
      </w:r>
      <w:r>
        <w:rPr>
          <w:rFonts w:hint="eastAsia" w:ascii="宋体" w:hAnsi="宋体" w:eastAsia="宋体" w:cs="宋体"/>
          <w:sz w:val="21"/>
          <w:szCs w:val="21"/>
        </w:rPr>
        <w:br w:type="textWrapping"/>
      </w:r>
      <w:r>
        <w:rPr>
          <w:rFonts w:hint="eastAsia" w:ascii="宋体" w:hAnsi="宋体" w:eastAsia="宋体" w:cs="宋体"/>
          <w:sz w:val="21"/>
          <w:szCs w:val="21"/>
        </w:rPr>
        <w:t>（2）独任制</w:t>
      </w:r>
      <w:r>
        <w:rPr>
          <w:rFonts w:hint="eastAsia" w:ascii="宋体" w:hAnsi="宋体" w:eastAsia="宋体" w:cs="宋体"/>
          <w:sz w:val="21"/>
          <w:szCs w:val="21"/>
        </w:rPr>
        <w:br w:type="textWrapping"/>
      </w:r>
      <w:r>
        <w:rPr>
          <w:rFonts w:hint="eastAsia" w:ascii="宋体" w:hAnsi="宋体" w:eastAsia="宋体" w:cs="宋体"/>
          <w:sz w:val="21"/>
          <w:szCs w:val="21"/>
        </w:rPr>
        <w:t>由1名审判员独立地对案件进行审理和裁判（1人）</w:t>
      </w:r>
    </w:p>
    <w:p w14:paraId="3B8ED6E4">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【注意】以下案件可执行</w:t>
      </w:r>
      <w:r>
        <w:rPr>
          <w:rFonts w:hint="eastAsia" w:ascii="宋体" w:hAnsi="宋体" w:eastAsia="宋体" w:cs="宋体"/>
          <w:color w:val="FF0000"/>
          <w:sz w:val="21"/>
          <w:szCs w:val="21"/>
        </w:rPr>
        <w:t>独任制</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①简易程序；</w:t>
      </w:r>
      <w:r>
        <w:rPr>
          <w:rFonts w:hint="eastAsia" w:ascii="宋体" w:hAnsi="宋体" w:eastAsia="宋体" w:cs="宋体"/>
          <w:sz w:val="21"/>
          <w:szCs w:val="21"/>
        </w:rPr>
        <w:br w:type="textWrapping"/>
      </w:r>
      <w:r>
        <w:rPr>
          <w:rFonts w:hint="eastAsia" w:ascii="宋体" w:hAnsi="宋体" w:eastAsia="宋体" w:cs="宋体"/>
          <w:sz w:val="21"/>
          <w:szCs w:val="21"/>
        </w:rPr>
        <w:t>②特别程序（除选民资格案件及重大、疑难的案件）；</w:t>
      </w:r>
      <w:r>
        <w:rPr>
          <w:rFonts w:hint="eastAsia" w:ascii="宋体" w:hAnsi="宋体" w:eastAsia="宋体" w:cs="宋体"/>
          <w:sz w:val="21"/>
          <w:szCs w:val="21"/>
        </w:rPr>
        <w:br w:type="textWrapping"/>
      </w:r>
      <w:r>
        <w:rPr>
          <w:rFonts w:hint="eastAsia" w:ascii="宋体" w:hAnsi="宋体" w:eastAsia="宋体" w:cs="宋体"/>
          <w:sz w:val="21"/>
          <w:szCs w:val="21"/>
        </w:rPr>
        <w:t>③督促程序；</w:t>
      </w:r>
      <w:r>
        <w:rPr>
          <w:rFonts w:hint="eastAsia" w:ascii="宋体" w:hAnsi="宋体" w:eastAsia="宋体" w:cs="宋体"/>
          <w:sz w:val="21"/>
          <w:szCs w:val="21"/>
        </w:rPr>
        <w:br w:type="textWrapping"/>
      </w:r>
      <w:r>
        <w:rPr>
          <w:rFonts w:hint="eastAsia" w:ascii="宋体" w:hAnsi="宋体" w:eastAsia="宋体" w:cs="宋体"/>
          <w:sz w:val="21"/>
          <w:szCs w:val="21"/>
        </w:rPr>
        <w:t>④公示催告程序。</w:t>
      </w:r>
      <w:r>
        <w:rPr>
          <w:rFonts w:hint="eastAsia" w:ascii="宋体" w:hAnsi="宋体" w:eastAsia="宋体" w:cs="宋体"/>
          <w:sz w:val="21"/>
          <w:szCs w:val="21"/>
        </w:rPr>
        <w:br w:type="textWrapping"/>
      </w:r>
      <w:r>
        <w:rPr>
          <w:rFonts w:hint="eastAsia" w:ascii="宋体" w:hAnsi="宋体" w:eastAsia="宋体" w:cs="宋体"/>
          <w:sz w:val="21"/>
          <w:szCs w:val="21"/>
        </w:rPr>
        <w:t>【解释】选民资格案件及重大、疑难的案件，</w:t>
      </w:r>
      <w:r>
        <w:rPr>
          <w:rFonts w:hint="eastAsia" w:ascii="宋体" w:hAnsi="宋体" w:eastAsia="宋体" w:cs="宋体"/>
          <w:color w:val="FF0000"/>
          <w:sz w:val="21"/>
          <w:szCs w:val="21"/>
        </w:rPr>
        <w:t>3名以上</w:t>
      </w:r>
      <w:r>
        <w:rPr>
          <w:rFonts w:hint="eastAsia" w:ascii="宋体" w:hAnsi="宋体" w:eastAsia="宋体" w:cs="宋体"/>
          <w:sz w:val="21"/>
          <w:szCs w:val="21"/>
        </w:rPr>
        <w:t>审判员组成审判组织。</w:t>
      </w:r>
    </w:p>
    <w:p w14:paraId="296EF888">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2.回避制度</w:t>
      </w:r>
      <w:r>
        <w:rPr>
          <w:rFonts w:hint="eastAsia" w:ascii="宋体" w:hAnsi="宋体" w:eastAsia="宋体" w:cs="宋体"/>
          <w:sz w:val="21"/>
          <w:szCs w:val="21"/>
        </w:rPr>
        <w:br w:type="textWrapping"/>
      </w:r>
      <w:r>
        <w:rPr>
          <w:rFonts w:hint="eastAsia" w:ascii="宋体" w:hAnsi="宋体" w:eastAsia="宋体" w:cs="宋体"/>
          <w:sz w:val="21"/>
          <w:szCs w:val="21"/>
        </w:rPr>
        <w:t>审判人员、法官助理、书记员、司法技术人员、翻译人员、鉴定人、勘验人有下列情形之一的，应当自行回避，当事人有权用口头或者书面方式申请他们回避：</w:t>
      </w:r>
      <w:r>
        <w:rPr>
          <w:rFonts w:hint="eastAsia" w:ascii="宋体" w:hAnsi="宋体" w:eastAsia="宋体" w:cs="宋体"/>
          <w:sz w:val="21"/>
          <w:szCs w:val="21"/>
        </w:rPr>
        <w:br w:type="textWrapping"/>
      </w:r>
      <w:r>
        <w:rPr>
          <w:rFonts w:hint="eastAsia" w:ascii="宋体" w:hAnsi="宋体" w:eastAsia="宋体" w:cs="宋体"/>
          <w:sz w:val="21"/>
          <w:szCs w:val="21"/>
        </w:rPr>
        <w:t>（1）是本案当事人或者当事人、诉讼代理人近亲属的；</w:t>
      </w:r>
      <w:r>
        <w:rPr>
          <w:rFonts w:hint="eastAsia" w:ascii="宋体" w:hAnsi="宋体" w:eastAsia="宋体" w:cs="宋体"/>
          <w:sz w:val="21"/>
          <w:szCs w:val="21"/>
        </w:rPr>
        <w:br w:type="textWrapping"/>
      </w:r>
      <w:r>
        <w:rPr>
          <w:rFonts w:hint="eastAsia" w:ascii="宋体" w:hAnsi="宋体" w:eastAsia="宋体" w:cs="宋体"/>
          <w:sz w:val="21"/>
          <w:szCs w:val="21"/>
        </w:rPr>
        <w:t>（2）与本案有利害关系的；</w:t>
      </w:r>
      <w:r>
        <w:rPr>
          <w:rFonts w:hint="eastAsia" w:ascii="宋体" w:hAnsi="宋体" w:eastAsia="宋体" w:cs="宋体"/>
          <w:sz w:val="21"/>
          <w:szCs w:val="21"/>
        </w:rPr>
        <w:br w:type="textWrapping"/>
      </w:r>
      <w:r>
        <w:rPr>
          <w:rFonts w:hint="eastAsia" w:ascii="宋体" w:hAnsi="宋体" w:eastAsia="宋体" w:cs="宋体"/>
          <w:sz w:val="21"/>
          <w:szCs w:val="21"/>
        </w:rPr>
        <w:t>（3）与本案当事人、诉讼代理人有其他关系，可能影响对案件公正审理的。</w:t>
      </w:r>
      <w:r>
        <w:rPr>
          <w:rFonts w:hint="eastAsia" w:ascii="宋体" w:hAnsi="宋体" w:eastAsia="宋体" w:cs="宋体"/>
          <w:sz w:val="21"/>
          <w:szCs w:val="21"/>
        </w:rPr>
        <w:br w:type="textWrapping"/>
      </w:r>
      <w:r>
        <w:rPr>
          <w:rFonts w:hint="eastAsia" w:ascii="宋体" w:hAnsi="宋体" w:eastAsia="宋体" w:cs="宋体"/>
          <w:sz w:val="21"/>
          <w:szCs w:val="21"/>
        </w:rPr>
        <w:t>（4）违反规定私自会见当事人、诉讼代理人，接受当事人、诉讼代理人请客送礼的</w:t>
      </w:r>
    </w:p>
    <w:p w14:paraId="2686E18D">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3.公开审判制度</w:t>
      </w:r>
      <w:r>
        <w:rPr>
          <w:rFonts w:hint="eastAsia" w:ascii="宋体" w:hAnsi="宋体" w:eastAsia="宋体" w:cs="宋体"/>
          <w:sz w:val="21"/>
          <w:szCs w:val="21"/>
        </w:rPr>
        <w:br w:type="textWrapping"/>
      </w:r>
      <w:r>
        <w:rPr>
          <w:rFonts w:hint="eastAsia" w:ascii="宋体" w:hAnsi="宋体" w:eastAsia="宋体" w:cs="宋体"/>
          <w:sz w:val="21"/>
          <w:szCs w:val="21"/>
        </w:rPr>
        <w:t>（1）原则上：人民法院审理民事案件，</w:t>
      </w:r>
      <w:r>
        <w:rPr>
          <w:rFonts w:hint="eastAsia" w:ascii="宋体" w:hAnsi="宋体" w:eastAsia="宋体" w:cs="宋体"/>
          <w:color w:val="FF0000"/>
          <w:sz w:val="21"/>
          <w:szCs w:val="21"/>
        </w:rPr>
        <w:t>应当公开进行</w:t>
      </w:r>
      <w:r>
        <w:rPr>
          <w:rFonts w:hint="eastAsia" w:ascii="宋体" w:hAnsi="宋体" w:eastAsia="宋体" w:cs="宋体"/>
          <w:sz w:val="21"/>
          <w:szCs w:val="21"/>
        </w:rPr>
        <w:t>。（公开审理、公开判决）</w:t>
      </w:r>
      <w:r>
        <w:rPr>
          <w:rFonts w:hint="eastAsia" w:ascii="宋体" w:hAnsi="宋体" w:eastAsia="宋体" w:cs="宋体"/>
          <w:sz w:val="21"/>
          <w:szCs w:val="21"/>
        </w:rPr>
        <w:br w:type="textWrapping"/>
      </w:r>
      <w:r>
        <w:rPr>
          <w:rFonts w:hint="eastAsia" w:ascii="宋体" w:hAnsi="宋体" w:eastAsia="宋体" w:cs="宋体"/>
          <w:sz w:val="21"/>
          <w:szCs w:val="21"/>
        </w:rPr>
        <w:t>【注意】</w:t>
      </w:r>
      <w:r>
        <w:rPr>
          <w:rFonts w:hint="eastAsia" w:ascii="宋体" w:hAnsi="宋体" w:eastAsia="宋体" w:cs="宋体"/>
          <w:color w:val="FF0000"/>
          <w:sz w:val="21"/>
          <w:szCs w:val="21"/>
        </w:rPr>
        <w:t>公开审理的例外</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①涉及国家秘密、个人隐私或者法律另有规定的，</w:t>
      </w:r>
      <w:r>
        <w:rPr>
          <w:rFonts w:hint="eastAsia" w:ascii="宋体" w:hAnsi="宋体" w:eastAsia="宋体" w:cs="宋体"/>
          <w:color w:val="FF0000"/>
          <w:sz w:val="21"/>
          <w:szCs w:val="21"/>
        </w:rPr>
        <w:t>不公开审理</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②离婚案件、涉及商业秘密的案件，当事人申请不公开审理的，</w:t>
      </w:r>
      <w:r>
        <w:rPr>
          <w:rFonts w:hint="eastAsia" w:ascii="宋体" w:hAnsi="宋体" w:eastAsia="宋体" w:cs="宋体"/>
          <w:color w:val="FF0000"/>
          <w:sz w:val="21"/>
          <w:szCs w:val="21"/>
        </w:rPr>
        <w:t>可以不公开审理</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（2）不论案件是否公开审理，</w:t>
      </w:r>
      <w:r>
        <w:rPr>
          <w:rFonts w:hint="eastAsia" w:ascii="宋体" w:hAnsi="宋体" w:eastAsia="宋体" w:cs="宋体"/>
          <w:color w:val="FF0000"/>
          <w:sz w:val="21"/>
          <w:szCs w:val="21"/>
        </w:rPr>
        <w:t>一律公开宣告判决</w:t>
      </w:r>
      <w:r>
        <w:rPr>
          <w:rFonts w:hint="eastAsia" w:ascii="宋体" w:hAnsi="宋体" w:eastAsia="宋体" w:cs="宋体"/>
          <w:sz w:val="21"/>
          <w:szCs w:val="21"/>
        </w:rPr>
        <w:t>。</w:t>
      </w:r>
    </w:p>
    <w:p w14:paraId="32B2F8F7">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151B9F84">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【例-判断题】涉及商业秘密的诉讼案件，一律不公开审理。（  ）</w:t>
      </w:r>
      <w:r>
        <w:rPr>
          <w:rFonts w:hint="eastAsia" w:ascii="宋体" w:hAnsi="宋体" w:eastAsia="宋体" w:cs="宋体"/>
          <w:sz w:val="21"/>
          <w:szCs w:val="21"/>
        </w:rPr>
        <w:br w:type="textWrapping"/>
      </w:r>
      <w:r>
        <w:rPr>
          <w:rFonts w:hint="eastAsia" w:ascii="宋体" w:hAnsi="宋体" w:eastAsia="宋体" w:cs="宋体"/>
          <w:sz w:val="21"/>
          <w:szCs w:val="21"/>
        </w:rPr>
        <w:t>答案：×</w:t>
      </w:r>
      <w:r>
        <w:rPr>
          <w:rFonts w:hint="eastAsia" w:ascii="宋体" w:hAnsi="宋体" w:eastAsia="宋体" w:cs="宋体"/>
          <w:sz w:val="21"/>
          <w:szCs w:val="21"/>
        </w:rPr>
        <w:br w:type="textWrapping"/>
      </w:r>
      <w:r>
        <w:rPr>
          <w:rFonts w:hint="eastAsia" w:ascii="宋体" w:hAnsi="宋体" w:eastAsia="宋体" w:cs="宋体"/>
          <w:sz w:val="21"/>
          <w:szCs w:val="21"/>
        </w:rPr>
        <w:t>解析：人民法院审理民事案件，除涉及国家秘密、个人隐私或法律另有规定的以外，应当公开进行。离婚案件、涉及商业秘密的案件，当事人申请不公开审理的，可以不公开。</w:t>
      </w:r>
    </w:p>
    <w:p w14:paraId="63D1ECE9">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77D57004">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【例-多选题】根据民事诉讼法律制度的规定，下列关于公开审判制度的表述中，正确的有（  ）。</w:t>
      </w:r>
      <w:r>
        <w:rPr>
          <w:rFonts w:hint="eastAsia" w:ascii="宋体" w:hAnsi="宋体" w:eastAsia="宋体" w:cs="宋体"/>
          <w:sz w:val="21"/>
          <w:szCs w:val="21"/>
        </w:rPr>
        <w:br w:type="textWrapping"/>
      </w:r>
      <w:r>
        <w:rPr>
          <w:rFonts w:hint="eastAsia" w:ascii="宋体" w:hAnsi="宋体" w:eastAsia="宋体" w:cs="宋体"/>
          <w:sz w:val="21"/>
          <w:szCs w:val="21"/>
        </w:rPr>
        <w:t>A.涉及商业秘密的民事案件，当事人申请不公开审理的，可以不公开审理</w:t>
      </w:r>
      <w:r>
        <w:rPr>
          <w:rFonts w:hint="eastAsia" w:ascii="宋体" w:hAnsi="宋体" w:eastAsia="宋体" w:cs="宋体"/>
          <w:sz w:val="21"/>
          <w:szCs w:val="21"/>
        </w:rPr>
        <w:br w:type="textWrapping"/>
      </w:r>
      <w:r>
        <w:rPr>
          <w:rFonts w:hint="eastAsia" w:ascii="宋体" w:hAnsi="宋体" w:eastAsia="宋体" w:cs="宋体"/>
          <w:sz w:val="21"/>
          <w:szCs w:val="21"/>
        </w:rPr>
        <w:t>B.不论民事案件是否公开审理，一律公开宣告判决</w:t>
      </w:r>
      <w:r>
        <w:rPr>
          <w:rFonts w:hint="eastAsia" w:ascii="宋体" w:hAnsi="宋体" w:eastAsia="宋体" w:cs="宋体"/>
          <w:sz w:val="21"/>
          <w:szCs w:val="21"/>
        </w:rPr>
        <w:br w:type="textWrapping"/>
      </w:r>
      <w:r>
        <w:rPr>
          <w:rFonts w:hint="eastAsia" w:ascii="宋体" w:hAnsi="宋体" w:eastAsia="宋体" w:cs="宋体"/>
          <w:sz w:val="21"/>
          <w:szCs w:val="21"/>
        </w:rPr>
        <w:t>C.涉及国家秘密的民事案件应当不公开审理</w:t>
      </w:r>
      <w:r>
        <w:rPr>
          <w:rFonts w:hint="eastAsia" w:ascii="宋体" w:hAnsi="宋体" w:eastAsia="宋体" w:cs="宋体"/>
          <w:sz w:val="21"/>
          <w:szCs w:val="21"/>
        </w:rPr>
        <w:br w:type="textWrapping"/>
      </w:r>
      <w:r>
        <w:rPr>
          <w:rFonts w:hint="eastAsia" w:ascii="宋体" w:hAnsi="宋体" w:eastAsia="宋体" w:cs="宋体"/>
          <w:sz w:val="21"/>
          <w:szCs w:val="21"/>
        </w:rPr>
        <w:t>D.涉及个人隐私的民事案件应当不公开审理</w:t>
      </w:r>
    </w:p>
    <w:p w14:paraId="6ADAC692">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答案：ABCD</w:t>
      </w:r>
      <w:r>
        <w:rPr>
          <w:rFonts w:hint="eastAsia" w:ascii="宋体" w:hAnsi="宋体" w:eastAsia="宋体" w:cs="宋体"/>
          <w:sz w:val="21"/>
          <w:szCs w:val="21"/>
        </w:rPr>
        <w:br w:type="textWrapping"/>
      </w:r>
      <w:r>
        <w:rPr>
          <w:rFonts w:hint="eastAsia" w:ascii="宋体" w:hAnsi="宋体" w:eastAsia="宋体" w:cs="宋体"/>
          <w:sz w:val="21"/>
          <w:szCs w:val="21"/>
        </w:rPr>
        <w:t>解析：（1）选项ACD：人民法院审理民事案件，除涉及国家秘密、个人隐私或者法律另有规定的以外，应当公开进行。离婚案件、涉及商业秘密的案件，当事人申请不公开审理的，可以不公开审理；</w:t>
      </w:r>
      <w:r>
        <w:rPr>
          <w:rFonts w:hint="eastAsia" w:ascii="宋体" w:hAnsi="宋体" w:eastAsia="宋体" w:cs="宋体"/>
          <w:sz w:val="21"/>
          <w:szCs w:val="21"/>
        </w:rPr>
        <w:br w:type="textWrapping"/>
      </w:r>
      <w:r>
        <w:rPr>
          <w:rFonts w:hint="eastAsia" w:ascii="宋体" w:hAnsi="宋体" w:eastAsia="宋体" w:cs="宋体"/>
          <w:sz w:val="21"/>
          <w:szCs w:val="21"/>
        </w:rPr>
        <w:t>（2）选项B：公开审判包括审判过程公开和审判结果公开两项内容，不论案件是否公开审理，一律公开宣告判决。</w:t>
      </w:r>
    </w:p>
    <w:p w14:paraId="6EB1BA91">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2B971723">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4.两审终审制度</w:t>
      </w:r>
      <w:r>
        <w:rPr>
          <w:rFonts w:hint="eastAsia" w:ascii="宋体" w:hAnsi="宋体" w:eastAsia="宋体" w:cs="宋体"/>
          <w:sz w:val="21"/>
          <w:szCs w:val="21"/>
        </w:rPr>
        <w:br w:type="textWrapping"/>
      </w:r>
      <w:r>
        <w:rPr>
          <w:rFonts w:hint="eastAsia" w:ascii="宋体" w:hAnsi="宋体" w:eastAsia="宋体" w:cs="宋体"/>
          <w:sz w:val="21"/>
          <w:szCs w:val="21"/>
        </w:rPr>
        <w:t>（1）一个案件经过第一审法院审判后，当事人不服，有权在法定期限内（判决书送达之日起15日内）向上一级法院提起上诉，由</w:t>
      </w:r>
      <w:r>
        <w:rPr>
          <w:rFonts w:hint="eastAsia" w:ascii="宋体" w:hAnsi="宋体" w:eastAsia="宋体" w:cs="宋体"/>
          <w:color w:val="FF0000"/>
          <w:sz w:val="21"/>
          <w:szCs w:val="21"/>
        </w:rPr>
        <w:t>上一级法院</w:t>
      </w:r>
      <w:r>
        <w:rPr>
          <w:rFonts w:hint="eastAsia" w:ascii="宋体" w:hAnsi="宋体" w:eastAsia="宋体" w:cs="宋体"/>
          <w:sz w:val="21"/>
          <w:szCs w:val="21"/>
        </w:rPr>
        <w:t>进行第二审。二审法院的判决、裁定是终审的判决、裁定。</w:t>
      </w:r>
      <w:r>
        <w:rPr>
          <w:rFonts w:hint="eastAsia" w:ascii="宋体" w:hAnsi="宋体" w:eastAsia="宋体" w:cs="宋体"/>
          <w:sz w:val="21"/>
          <w:szCs w:val="21"/>
        </w:rPr>
        <w:br w:type="textWrapping"/>
      </w:r>
      <w:r>
        <w:rPr>
          <w:rFonts w:hint="eastAsia" w:ascii="宋体" w:hAnsi="宋体" w:eastAsia="宋体" w:cs="宋体"/>
          <w:sz w:val="21"/>
          <w:szCs w:val="21"/>
        </w:rPr>
        <w:t>【注意】两审终审制度的例外：（一审终审）</w:t>
      </w:r>
      <w:r>
        <w:rPr>
          <w:rFonts w:hint="eastAsia" w:ascii="宋体" w:hAnsi="宋体" w:eastAsia="宋体" w:cs="宋体"/>
          <w:sz w:val="21"/>
          <w:szCs w:val="21"/>
        </w:rPr>
        <w:br w:type="textWrapping"/>
      </w:r>
      <w:r>
        <w:rPr>
          <w:rFonts w:hint="eastAsia" w:ascii="宋体" w:hAnsi="宋体" w:eastAsia="宋体" w:cs="宋体"/>
          <w:sz w:val="21"/>
          <w:szCs w:val="21"/>
        </w:rPr>
        <w:t>①适用“特别程序、督促程序、公示催告程序和简易程序中的小额诉讼程序”审理的案件，实行一审终审；</w:t>
      </w:r>
      <w:r>
        <w:rPr>
          <w:rFonts w:hint="eastAsia" w:ascii="宋体" w:hAnsi="宋体" w:eastAsia="宋体" w:cs="宋体"/>
          <w:sz w:val="21"/>
          <w:szCs w:val="21"/>
        </w:rPr>
        <w:br w:type="textWrapping"/>
      </w:r>
      <w:r>
        <w:rPr>
          <w:rFonts w:hint="eastAsia" w:ascii="宋体" w:hAnsi="宋体" w:eastAsia="宋体" w:cs="宋体"/>
          <w:sz w:val="21"/>
          <w:szCs w:val="21"/>
        </w:rPr>
        <w:t>②最高人民法院所作的一审判决、裁定，为终审判决、裁定。（没有上一级法院了）</w:t>
      </w:r>
    </w:p>
    <w:p w14:paraId="5B609C89">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（2）再审</w:t>
      </w:r>
      <w:r>
        <w:rPr>
          <w:rFonts w:hint="eastAsia" w:ascii="宋体" w:hAnsi="宋体" w:eastAsia="宋体" w:cs="宋体"/>
          <w:sz w:val="21"/>
          <w:szCs w:val="21"/>
        </w:rPr>
        <w:br w:type="textWrapping"/>
      </w:r>
      <w:r>
        <w:rPr>
          <w:rFonts w:hint="eastAsia" w:ascii="宋体" w:hAnsi="宋体" w:eastAsia="宋体" w:cs="宋体"/>
          <w:sz w:val="21"/>
          <w:szCs w:val="21"/>
        </w:rPr>
        <w:t>对终审判决、裁定，当事人不得上诉；如果发现确</w:t>
      </w:r>
      <w:r>
        <w:rPr>
          <w:rFonts w:hint="eastAsia" w:ascii="宋体" w:hAnsi="宋体" w:eastAsia="宋体" w:cs="宋体"/>
          <w:color w:val="FF0000"/>
          <w:sz w:val="21"/>
          <w:szCs w:val="21"/>
        </w:rPr>
        <w:t>有错误</w:t>
      </w:r>
      <w:r>
        <w:rPr>
          <w:rFonts w:hint="eastAsia" w:ascii="宋体" w:hAnsi="宋体" w:eastAsia="宋体" w:cs="宋体"/>
          <w:sz w:val="21"/>
          <w:szCs w:val="21"/>
        </w:rPr>
        <w:t>，可以通过</w:t>
      </w:r>
      <w:r>
        <w:rPr>
          <w:rFonts w:hint="eastAsia" w:ascii="宋体" w:hAnsi="宋体" w:eastAsia="宋体" w:cs="宋体"/>
          <w:color w:val="FF0000"/>
          <w:sz w:val="21"/>
          <w:szCs w:val="21"/>
        </w:rPr>
        <w:t>审判监督程序</w:t>
      </w:r>
      <w:r>
        <w:rPr>
          <w:rFonts w:hint="eastAsia" w:ascii="宋体" w:hAnsi="宋体" w:eastAsia="宋体" w:cs="宋体"/>
          <w:sz w:val="21"/>
          <w:szCs w:val="21"/>
        </w:rPr>
        <w:t>予以纠正。</w:t>
      </w:r>
      <w:r>
        <w:rPr>
          <w:rFonts w:hint="eastAsia" w:ascii="宋体" w:hAnsi="宋体" w:eastAsia="宋体" w:cs="宋体"/>
          <w:sz w:val="21"/>
          <w:szCs w:val="21"/>
        </w:rPr>
        <w:br w:type="textWrapping"/>
      </w:r>
      <w:r>
        <w:rPr>
          <w:rFonts w:hint="eastAsia" w:ascii="宋体" w:hAnsi="宋体" w:eastAsia="宋体" w:cs="宋体"/>
          <w:sz w:val="21"/>
          <w:szCs w:val="21"/>
        </w:rPr>
        <w:t>【链接】仲裁实行一裁终局制度，仲裁庭作出的仲裁裁决为终局裁决，仲裁裁决作出后，当事人就同一纠纷再申请仲裁或向人民法院起诉的，仲裁委员会或者人民法院不予受理。</w:t>
      </w:r>
    </w:p>
    <w:p w14:paraId="51E2CD27">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三、民事诉讼的地域管辖</w:t>
      </w:r>
      <w:r>
        <w:rPr>
          <w:rFonts w:hint="eastAsia" w:ascii="宋体" w:hAnsi="宋体" w:eastAsia="宋体" w:cs="宋体"/>
          <w:sz w:val="21"/>
          <w:szCs w:val="21"/>
        </w:rPr>
        <w:br w:type="textWrapping"/>
      </w:r>
      <w:r>
        <w:rPr>
          <w:rFonts w:hint="eastAsia" w:ascii="宋体" w:hAnsi="宋体" w:eastAsia="宋体" w:cs="宋体"/>
          <w:sz w:val="21"/>
          <w:szCs w:val="21"/>
        </w:rPr>
        <w:t>地域管辖，是指确定同级人民法院之间在各自管辖的地域内审理第一审经济案件的分工和权限。它又分为</w:t>
      </w:r>
      <w:r>
        <w:rPr>
          <w:rFonts w:hint="eastAsia" w:ascii="宋体" w:hAnsi="宋体" w:eastAsia="宋体" w:cs="宋体"/>
          <w:color w:val="FF0000"/>
          <w:sz w:val="21"/>
          <w:szCs w:val="21"/>
        </w:rPr>
        <w:t>一般地域管辖</w:t>
      </w:r>
      <w:r>
        <w:rPr>
          <w:rFonts w:hint="eastAsia" w:ascii="宋体" w:hAnsi="宋体" w:eastAsia="宋体" w:cs="宋体"/>
          <w:sz w:val="21"/>
          <w:szCs w:val="21"/>
        </w:rPr>
        <w:t>和</w:t>
      </w:r>
      <w:r>
        <w:rPr>
          <w:rFonts w:hint="eastAsia" w:ascii="宋体" w:hAnsi="宋体" w:eastAsia="宋体" w:cs="宋体"/>
          <w:color w:val="FF0000"/>
          <w:sz w:val="21"/>
          <w:szCs w:val="21"/>
        </w:rPr>
        <w:t>特殊地域管辖</w:t>
      </w:r>
      <w:r>
        <w:rPr>
          <w:rFonts w:hint="eastAsia" w:ascii="宋体" w:hAnsi="宋体" w:eastAsia="宋体" w:cs="宋体"/>
          <w:sz w:val="21"/>
          <w:szCs w:val="21"/>
        </w:rPr>
        <w:t>。</w:t>
      </w:r>
    </w:p>
    <w:p w14:paraId="3C75AF9D">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1.一般地域管辖：</w:t>
      </w:r>
      <w:r>
        <w:rPr>
          <w:rFonts w:hint="eastAsia" w:ascii="宋体" w:hAnsi="宋体" w:eastAsia="宋体" w:cs="宋体"/>
          <w:sz w:val="21"/>
          <w:szCs w:val="21"/>
        </w:rPr>
        <w:br w:type="textWrapping"/>
      </w:r>
      <w:r>
        <w:rPr>
          <w:rFonts w:hint="eastAsia" w:ascii="宋体" w:hAnsi="宋体" w:eastAsia="宋体" w:cs="宋体"/>
          <w:sz w:val="21"/>
          <w:szCs w:val="21"/>
        </w:rPr>
        <w:t>以</w:t>
      </w:r>
      <w:r>
        <w:rPr>
          <w:rFonts w:hint="eastAsia" w:ascii="宋体" w:hAnsi="宋体" w:eastAsia="宋体" w:cs="宋体"/>
          <w:color w:val="FF0000"/>
          <w:sz w:val="21"/>
          <w:szCs w:val="21"/>
        </w:rPr>
        <w:t>被告住所地</w:t>
      </w:r>
      <w:r>
        <w:rPr>
          <w:rFonts w:hint="eastAsia" w:ascii="宋体" w:hAnsi="宋体" w:eastAsia="宋体" w:cs="宋体"/>
          <w:sz w:val="21"/>
          <w:szCs w:val="21"/>
        </w:rPr>
        <w:t>为依据来确定案件的管辖法院，即实行“原告就被告原则”。</w:t>
      </w:r>
      <w:r>
        <w:rPr>
          <w:rFonts w:hint="eastAsia" w:ascii="宋体" w:hAnsi="宋体" w:eastAsia="宋体" w:cs="宋体"/>
          <w:sz w:val="21"/>
          <w:szCs w:val="21"/>
        </w:rPr>
        <w:br w:type="textWrapping"/>
      </w:r>
      <w:r>
        <w:rPr>
          <w:rFonts w:hint="eastAsia" w:ascii="宋体" w:hAnsi="宋体" w:eastAsia="宋体" w:cs="宋体"/>
          <w:sz w:val="21"/>
          <w:szCs w:val="21"/>
        </w:rPr>
        <w:t>（1）对公民提起的民事诉讼，由</w:t>
      </w:r>
      <w:r>
        <w:rPr>
          <w:rFonts w:hint="eastAsia" w:ascii="宋体" w:hAnsi="宋体" w:eastAsia="宋体" w:cs="宋体"/>
          <w:color w:val="FF0000"/>
          <w:sz w:val="21"/>
          <w:szCs w:val="21"/>
        </w:rPr>
        <w:t>被告住所地</w:t>
      </w:r>
      <w:r>
        <w:rPr>
          <w:rFonts w:hint="eastAsia" w:ascii="宋体" w:hAnsi="宋体" w:eastAsia="宋体" w:cs="宋体"/>
          <w:sz w:val="21"/>
          <w:szCs w:val="21"/>
        </w:rPr>
        <w:t>人民法院管辖，被告住所地与经常居住地不一致的，由</w:t>
      </w:r>
      <w:r>
        <w:rPr>
          <w:rFonts w:hint="eastAsia" w:ascii="宋体" w:hAnsi="宋体" w:eastAsia="宋体" w:cs="宋体"/>
          <w:color w:val="FF0000"/>
          <w:sz w:val="21"/>
          <w:szCs w:val="21"/>
        </w:rPr>
        <w:t>经常居住地</w:t>
      </w:r>
      <w:r>
        <w:rPr>
          <w:rFonts w:hint="eastAsia" w:ascii="宋体" w:hAnsi="宋体" w:eastAsia="宋体" w:cs="宋体"/>
          <w:sz w:val="21"/>
          <w:szCs w:val="21"/>
        </w:rPr>
        <w:t>人民法院管辖。</w:t>
      </w:r>
      <w:r>
        <w:rPr>
          <w:rFonts w:hint="eastAsia" w:ascii="宋体" w:hAnsi="宋体" w:eastAsia="宋体" w:cs="宋体"/>
          <w:sz w:val="21"/>
          <w:szCs w:val="21"/>
        </w:rPr>
        <w:br w:type="textWrapping"/>
      </w:r>
      <w:r>
        <w:rPr>
          <w:rFonts w:hint="eastAsia" w:ascii="宋体" w:hAnsi="宋体" w:eastAsia="宋体" w:cs="宋体"/>
          <w:sz w:val="21"/>
          <w:szCs w:val="21"/>
        </w:rPr>
        <w:t>【解释】公民的住所地是指该公民的</w:t>
      </w:r>
      <w:r>
        <w:rPr>
          <w:rFonts w:hint="eastAsia" w:ascii="宋体" w:hAnsi="宋体" w:eastAsia="宋体" w:cs="宋体"/>
          <w:color w:val="FF0000"/>
          <w:sz w:val="21"/>
          <w:szCs w:val="21"/>
        </w:rPr>
        <w:t>户籍所在地</w:t>
      </w:r>
      <w:r>
        <w:rPr>
          <w:rFonts w:hint="eastAsia" w:ascii="宋体" w:hAnsi="宋体" w:eastAsia="宋体" w:cs="宋体"/>
          <w:sz w:val="21"/>
          <w:szCs w:val="21"/>
        </w:rPr>
        <w:t>；经常居住地是指公民离开住所地至起诉时</w:t>
      </w:r>
      <w:r>
        <w:rPr>
          <w:rFonts w:hint="eastAsia" w:ascii="宋体" w:hAnsi="宋体" w:eastAsia="宋体" w:cs="宋体"/>
          <w:color w:val="FF0000"/>
          <w:sz w:val="21"/>
          <w:szCs w:val="21"/>
        </w:rPr>
        <w:t>已连续居住满1年</w:t>
      </w:r>
      <w:r>
        <w:rPr>
          <w:rFonts w:hint="eastAsia" w:ascii="宋体" w:hAnsi="宋体" w:eastAsia="宋体" w:cs="宋体"/>
          <w:sz w:val="21"/>
          <w:szCs w:val="21"/>
        </w:rPr>
        <w:t>的地方。</w:t>
      </w:r>
    </w:p>
    <w:p w14:paraId="2FD2C7E6">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（2）对法人或其他组织提起的民事诉讼，由</w:t>
      </w:r>
      <w:r>
        <w:rPr>
          <w:rFonts w:hint="eastAsia" w:ascii="宋体" w:hAnsi="宋体" w:eastAsia="宋体" w:cs="宋体"/>
          <w:color w:val="FF0000"/>
          <w:sz w:val="21"/>
          <w:szCs w:val="21"/>
        </w:rPr>
        <w:t>被告住所地</w:t>
      </w:r>
      <w:r>
        <w:rPr>
          <w:rFonts w:hint="eastAsia" w:ascii="宋体" w:hAnsi="宋体" w:eastAsia="宋体" w:cs="宋体"/>
          <w:sz w:val="21"/>
          <w:szCs w:val="21"/>
        </w:rPr>
        <w:t>人民法院管辖。</w:t>
      </w:r>
      <w:r>
        <w:rPr>
          <w:rFonts w:hint="eastAsia" w:ascii="宋体" w:hAnsi="宋体" w:eastAsia="宋体" w:cs="宋体"/>
          <w:sz w:val="21"/>
          <w:szCs w:val="21"/>
        </w:rPr>
        <w:br w:type="textWrapping"/>
      </w:r>
      <w:r>
        <w:rPr>
          <w:rFonts w:hint="eastAsia" w:ascii="宋体" w:hAnsi="宋体" w:eastAsia="宋体" w:cs="宋体"/>
          <w:sz w:val="21"/>
          <w:szCs w:val="21"/>
        </w:rPr>
        <w:t>（3）同一诉讼的几个被告住所地、经常居住地在两个以上人民法院辖区的，各该人民法院</w:t>
      </w:r>
      <w:r>
        <w:rPr>
          <w:rFonts w:hint="eastAsia" w:ascii="宋体" w:hAnsi="宋体" w:eastAsia="宋体" w:cs="宋体"/>
          <w:color w:val="FF0000"/>
          <w:sz w:val="21"/>
          <w:szCs w:val="21"/>
        </w:rPr>
        <w:t>都有</w:t>
      </w:r>
      <w:r>
        <w:rPr>
          <w:rFonts w:hint="eastAsia" w:ascii="宋体" w:hAnsi="宋体" w:eastAsia="宋体" w:cs="宋体"/>
          <w:sz w:val="21"/>
          <w:szCs w:val="21"/>
        </w:rPr>
        <w:t>管辖权。</w:t>
      </w:r>
      <w:r>
        <w:rPr>
          <w:rFonts w:hint="eastAsia" w:ascii="宋体" w:hAnsi="宋体" w:eastAsia="宋体" w:cs="宋体"/>
          <w:sz w:val="21"/>
          <w:szCs w:val="21"/>
        </w:rPr>
        <w:br w:type="textWrapping"/>
      </w:r>
      <w:r>
        <w:rPr>
          <w:rFonts w:hint="eastAsia" w:ascii="宋体" w:hAnsi="宋体" w:eastAsia="宋体" w:cs="宋体"/>
          <w:sz w:val="21"/>
          <w:szCs w:val="21"/>
        </w:rPr>
        <w:t>【解释】两个以上人民法院都有管辖权的诉讼，原告可以向其中一个人民法院起诉；原告向两个以上有管辖权的人民法院起诉的，由</w:t>
      </w:r>
      <w:r>
        <w:rPr>
          <w:rFonts w:hint="eastAsia" w:ascii="宋体" w:hAnsi="宋体" w:eastAsia="宋体" w:cs="宋体"/>
          <w:color w:val="FF0000"/>
          <w:sz w:val="21"/>
          <w:szCs w:val="21"/>
        </w:rPr>
        <w:t>最先立案的人民法院</w:t>
      </w:r>
      <w:r>
        <w:rPr>
          <w:rFonts w:hint="eastAsia" w:ascii="宋体" w:hAnsi="宋体" w:eastAsia="宋体" w:cs="宋体"/>
          <w:sz w:val="21"/>
          <w:szCs w:val="21"/>
        </w:rPr>
        <w:t>管辖。</w:t>
      </w:r>
    </w:p>
    <w:p w14:paraId="725BA590">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2.特殊地域管辖：（包括但不限于）</w:t>
      </w:r>
      <w:r>
        <w:rPr>
          <w:rFonts w:hint="eastAsia" w:ascii="宋体" w:hAnsi="宋体" w:eastAsia="宋体" w:cs="宋体"/>
          <w:sz w:val="21"/>
          <w:szCs w:val="21"/>
        </w:rPr>
        <w:br w:type="textWrapping"/>
      </w:r>
      <w:r>
        <w:rPr>
          <w:rFonts w:hint="eastAsia" w:ascii="宋体" w:hAnsi="宋体" w:eastAsia="宋体" w:cs="宋体"/>
          <w:sz w:val="21"/>
          <w:szCs w:val="21"/>
        </w:rPr>
        <w:t>（1）因</w:t>
      </w:r>
      <w:r>
        <w:rPr>
          <w:rFonts w:hint="eastAsia" w:ascii="宋体" w:hAnsi="宋体" w:eastAsia="宋体" w:cs="宋体"/>
          <w:color w:val="FF0000"/>
          <w:sz w:val="21"/>
          <w:szCs w:val="21"/>
        </w:rPr>
        <w:t>合同纠纷</w:t>
      </w:r>
      <w:r>
        <w:rPr>
          <w:rFonts w:hint="eastAsia" w:ascii="宋体" w:hAnsi="宋体" w:eastAsia="宋体" w:cs="宋体"/>
          <w:sz w:val="21"/>
          <w:szCs w:val="21"/>
        </w:rPr>
        <w:t>引起的诉讼，由被告住所地或</w:t>
      </w:r>
      <w:r>
        <w:rPr>
          <w:rFonts w:hint="eastAsia" w:ascii="宋体" w:hAnsi="宋体" w:eastAsia="宋体" w:cs="宋体"/>
          <w:color w:val="FF0000"/>
          <w:sz w:val="21"/>
          <w:szCs w:val="21"/>
        </w:rPr>
        <w:t>合同履行地</w:t>
      </w:r>
      <w:r>
        <w:rPr>
          <w:rFonts w:hint="eastAsia" w:ascii="宋体" w:hAnsi="宋体" w:eastAsia="宋体" w:cs="宋体"/>
          <w:sz w:val="21"/>
          <w:szCs w:val="21"/>
        </w:rPr>
        <w:t>人民法院管辖。</w:t>
      </w:r>
      <w:r>
        <w:rPr>
          <w:rFonts w:hint="eastAsia" w:ascii="宋体" w:hAnsi="宋体" w:eastAsia="宋体" w:cs="宋体"/>
          <w:sz w:val="21"/>
          <w:szCs w:val="21"/>
        </w:rPr>
        <w:br w:type="textWrapping"/>
      </w:r>
      <w:r>
        <w:rPr>
          <w:rFonts w:hint="eastAsia" w:ascii="宋体" w:hAnsi="宋体" w:eastAsia="宋体" w:cs="宋体"/>
          <w:sz w:val="21"/>
          <w:szCs w:val="21"/>
        </w:rPr>
        <w:t>【注意】财产租赁合同、融资租赁合同以</w:t>
      </w:r>
      <w:r>
        <w:rPr>
          <w:rFonts w:hint="eastAsia" w:ascii="宋体" w:hAnsi="宋体" w:eastAsia="宋体" w:cs="宋体"/>
          <w:color w:val="FF0000"/>
          <w:sz w:val="21"/>
          <w:szCs w:val="21"/>
        </w:rPr>
        <w:t>租赁物使用地</w:t>
      </w:r>
      <w:r>
        <w:rPr>
          <w:rFonts w:hint="eastAsia" w:ascii="宋体" w:hAnsi="宋体" w:eastAsia="宋体" w:cs="宋体"/>
          <w:sz w:val="21"/>
          <w:szCs w:val="21"/>
        </w:rPr>
        <w:t>为合同履行地；合同对履行地有约定的，从其约定。</w:t>
      </w:r>
    </w:p>
    <w:p w14:paraId="5F3FB79E">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（2）因保险合同纠纷提起的诉讼</w:t>
      </w:r>
      <w:r>
        <w:rPr>
          <w:rFonts w:hint="eastAsia" w:ascii="宋体" w:hAnsi="宋体" w:eastAsia="宋体" w:cs="宋体"/>
          <w:sz w:val="21"/>
          <w:szCs w:val="21"/>
        </w:rPr>
        <w:br w:type="textWrapping"/>
      </w:r>
      <w:r>
        <w:rPr>
          <w:rFonts w:hint="eastAsia" w:ascii="宋体" w:hAnsi="宋体" w:eastAsia="宋体" w:cs="宋体"/>
          <w:sz w:val="21"/>
          <w:szCs w:val="21"/>
        </w:rPr>
        <w:t>①原则上，由被告住所地或</w:t>
      </w:r>
      <w:r>
        <w:rPr>
          <w:rFonts w:hint="eastAsia" w:ascii="宋体" w:hAnsi="宋体" w:eastAsia="宋体" w:cs="宋体"/>
          <w:color w:val="FF0000"/>
          <w:sz w:val="21"/>
          <w:szCs w:val="21"/>
        </w:rPr>
        <w:t>保险标的物所在地</w:t>
      </w:r>
      <w:r>
        <w:rPr>
          <w:rFonts w:hint="eastAsia" w:ascii="宋体" w:hAnsi="宋体" w:eastAsia="宋体" w:cs="宋体"/>
          <w:sz w:val="21"/>
          <w:szCs w:val="21"/>
        </w:rPr>
        <w:t>人民法院管辖；</w:t>
      </w:r>
      <w:r>
        <w:rPr>
          <w:rFonts w:hint="eastAsia" w:ascii="宋体" w:hAnsi="宋体" w:eastAsia="宋体" w:cs="宋体"/>
          <w:sz w:val="21"/>
          <w:szCs w:val="21"/>
        </w:rPr>
        <w:br w:type="textWrapping"/>
      </w:r>
      <w:r>
        <w:rPr>
          <w:rFonts w:hint="eastAsia" w:ascii="宋体" w:hAnsi="宋体" w:eastAsia="宋体" w:cs="宋体"/>
          <w:sz w:val="21"/>
          <w:szCs w:val="21"/>
        </w:rPr>
        <w:t>②因财产保险合同纠纷提起的诉讼，如果保险标的物是运输工具或者运输中的货物，可以由被告住所地、</w:t>
      </w:r>
      <w:r>
        <w:rPr>
          <w:rFonts w:hint="eastAsia" w:ascii="宋体" w:hAnsi="宋体" w:eastAsia="宋体" w:cs="宋体"/>
          <w:color w:val="FF0000"/>
          <w:sz w:val="21"/>
          <w:szCs w:val="21"/>
        </w:rPr>
        <w:t>运输工具登记注册地、运输目的地、保险事故发生地人民法院管辖；</w:t>
      </w:r>
      <w:r>
        <w:rPr>
          <w:rFonts w:hint="eastAsia" w:ascii="宋体" w:hAnsi="宋体" w:eastAsia="宋体" w:cs="宋体"/>
          <w:sz w:val="21"/>
          <w:szCs w:val="21"/>
        </w:rPr>
        <w:br w:type="textWrapping"/>
      </w:r>
      <w:r>
        <w:rPr>
          <w:rFonts w:hint="eastAsia" w:ascii="宋体" w:hAnsi="宋体" w:eastAsia="宋体" w:cs="宋体"/>
          <w:sz w:val="21"/>
          <w:szCs w:val="21"/>
        </w:rPr>
        <w:t xml:space="preserve"> ③因人身保险合同纠纷提起的诉讼，可由被告住所地、</w:t>
      </w:r>
      <w:r>
        <w:rPr>
          <w:rFonts w:hint="eastAsia" w:ascii="宋体" w:hAnsi="宋体" w:eastAsia="宋体" w:cs="宋体"/>
          <w:color w:val="FF0000"/>
          <w:sz w:val="21"/>
          <w:szCs w:val="21"/>
        </w:rPr>
        <w:t>被保险人住所地</w:t>
      </w:r>
      <w:r>
        <w:rPr>
          <w:rFonts w:hint="eastAsia" w:ascii="宋体" w:hAnsi="宋体" w:eastAsia="宋体" w:cs="宋体"/>
          <w:sz w:val="21"/>
          <w:szCs w:val="21"/>
        </w:rPr>
        <w:t>人民法院管辖。</w:t>
      </w:r>
    </w:p>
    <w:p w14:paraId="2914DCEC">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（3）因票据权利纠纷提起的诉讼，由票据支付地或者被告住所地人民法院管辖。因非票据权利纠纷提起的诉讼，由被告住所地人民法院管辖。（2025年调整）</w:t>
      </w:r>
      <w:r>
        <w:rPr>
          <w:rFonts w:hint="eastAsia" w:ascii="宋体" w:hAnsi="宋体" w:eastAsia="宋体" w:cs="宋体"/>
          <w:sz w:val="21"/>
          <w:szCs w:val="21"/>
        </w:rPr>
        <w:br w:type="textWrapping"/>
      </w:r>
      <w:r>
        <w:rPr>
          <w:rFonts w:hint="eastAsia" w:ascii="宋体" w:hAnsi="宋体" w:eastAsia="宋体" w:cs="宋体"/>
          <w:sz w:val="21"/>
          <w:szCs w:val="21"/>
        </w:rPr>
        <w:t>（4）因公司设立、确认股东资格、股东名册记载、请求变更公司登记、股东知情权、公司决议、公司合并、公司分立、公司减资、公司增资、分配利润、解散等纠纷提起的诉讼，由公司住所地人民法院管辖。（2025年调整）</w:t>
      </w:r>
    </w:p>
    <w:p w14:paraId="04187FEC">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（5）因铁路、公路、水上、航空运输和联合运输合同纠纷提起的诉讼，由</w:t>
      </w:r>
      <w:r>
        <w:rPr>
          <w:rFonts w:hint="eastAsia" w:ascii="宋体" w:hAnsi="宋体" w:eastAsia="宋体" w:cs="宋体"/>
          <w:color w:val="FF0000"/>
          <w:sz w:val="21"/>
          <w:szCs w:val="21"/>
        </w:rPr>
        <w:t>运输始发地、目的地</w:t>
      </w:r>
      <w:r>
        <w:rPr>
          <w:rFonts w:hint="eastAsia" w:ascii="宋体" w:hAnsi="宋体" w:eastAsia="宋体" w:cs="宋体"/>
          <w:sz w:val="21"/>
          <w:szCs w:val="21"/>
        </w:rPr>
        <w:t>或者被告住所地人民法院管辖。</w:t>
      </w:r>
      <w:r>
        <w:rPr>
          <w:rFonts w:hint="eastAsia" w:ascii="宋体" w:hAnsi="宋体" w:eastAsia="宋体" w:cs="宋体"/>
          <w:sz w:val="21"/>
          <w:szCs w:val="21"/>
        </w:rPr>
        <w:br w:type="textWrapping"/>
      </w:r>
      <w:r>
        <w:rPr>
          <w:rFonts w:hint="eastAsia" w:ascii="宋体" w:hAnsi="宋体" w:eastAsia="宋体" w:cs="宋体"/>
          <w:sz w:val="21"/>
          <w:szCs w:val="21"/>
        </w:rPr>
        <w:t>（6）因侵权行为提起的诉讼，由</w:t>
      </w:r>
      <w:r>
        <w:rPr>
          <w:rFonts w:hint="eastAsia" w:ascii="宋体" w:hAnsi="宋体" w:eastAsia="宋体" w:cs="宋体"/>
          <w:color w:val="FF0000"/>
          <w:sz w:val="21"/>
          <w:szCs w:val="21"/>
        </w:rPr>
        <w:t>侵权行为地</w:t>
      </w:r>
      <w:r>
        <w:rPr>
          <w:rFonts w:hint="eastAsia" w:ascii="宋体" w:hAnsi="宋体" w:eastAsia="宋体" w:cs="宋体"/>
          <w:sz w:val="21"/>
          <w:szCs w:val="21"/>
        </w:rPr>
        <w:t>（包括侵权行为实施地、侵权结果发生地）或者被告住所地人民法院管辖。</w:t>
      </w:r>
    </w:p>
    <w:bookmarkEnd w:id="0"/>
    <w:sectPr>
      <w:pgSz w:w="12240" w:h="15840"/>
      <w:pgMar w:top="850" w:right="850" w:bottom="850"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Courier New">
    <w:panose1 w:val="02070309020205020404"/>
    <w:charset w:val="00"/>
    <w:family w:val="auto"/>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486A08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766</Words>
  <Characters>773</Characters>
  <Lines>0</Lines>
  <Paragraphs>0</Paragraphs>
  <TotalTime>6</TotalTime>
  <ScaleCrop>false</ScaleCrop>
  <LinksUpToDate>false</LinksUpToDate>
  <CharactersWithSpaces>786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宁子</cp:lastModifiedBy>
  <dcterms:modified xsi:type="dcterms:W3CDTF">2025-05-07T05:35:59Z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eyJoZGlkIjoiZDJlYTM0NTAwZDQyOTUxZjFlOTBhYWQxMTRhMjMwNzMiLCJ1c2VySWQiOiI0NTA0NzMwMjYifQ==</vt:lpwstr>
  </property>
  <property fmtid="{D5CDD505-2E9C-101B-9397-08002B2CF9AE}" pid="3" name="KSOProductBuildVer">
    <vt:lpwstr>2052-12.1.0.20784</vt:lpwstr>
  </property>
  <property fmtid="{D5CDD505-2E9C-101B-9397-08002B2CF9AE}" pid="4" name="ICV">
    <vt:lpwstr>37889852E9DB469886423FAB05E53ADE_12</vt:lpwstr>
  </property>
</Properties>
</file>