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3680" w:rsidRPr="009C2A07" w:rsidRDefault="00000000" w:rsidP="009C2A07">
      <w:pPr>
        <w:overflowPunct w:val="0"/>
        <w:jc w:val="center"/>
        <w:rPr>
          <w:rFonts w:ascii="宋体" w:hAnsi="宋体" w:cs="宋体" w:hint="eastAsia"/>
          <w:b/>
          <w:bCs/>
        </w:rPr>
      </w:pPr>
      <w:r w:rsidRPr="009C2A07">
        <w:rPr>
          <w:rFonts w:ascii="宋体" w:hAnsi="宋体" w:cs="宋体" w:hint="eastAsia"/>
          <w:b/>
          <w:bCs/>
        </w:rPr>
        <w:t>第一节  固定资产的确认和初始计量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2、出包工程建造固定资产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企业以出包方式建造固定资产，其成本由建造该项固定资产</w:t>
      </w:r>
      <w:r w:rsidRPr="009C2A07">
        <w:rPr>
          <w:rFonts w:ascii="宋体" w:hAnsi="宋体" w:cs="宋体" w:hint="eastAsia"/>
          <w:color w:val="FF0000"/>
        </w:rPr>
        <w:t>达到预定可使用状态前</w:t>
      </w:r>
      <w:r>
        <w:rPr>
          <w:rFonts w:ascii="宋体" w:hAnsi="宋体" w:cs="宋体" w:hint="eastAsia"/>
        </w:rPr>
        <w:t>所发生的必要支出构成。</w:t>
      </w:r>
    </w:p>
    <w:p w:rsidR="00743680" w:rsidRPr="009C2A07" w:rsidRDefault="00000000" w:rsidP="009C2A07">
      <w:pPr>
        <w:jc w:val="left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</w:rPr>
        <w:t>入账价值＝建筑工程支出＋安装工程支出＋安装设备支出＋</w:t>
      </w:r>
      <w:r w:rsidRPr="009C2A07">
        <w:rPr>
          <w:rFonts w:ascii="宋体" w:hAnsi="宋体" w:cs="宋体" w:hint="eastAsia"/>
          <w:color w:val="FF0000"/>
        </w:rPr>
        <w:t>分摊的待摊支出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待摊支出分摊率＝累计发生的待摊支出/（建筑工程支出＋安装工程支出＋在安装设备支出）×100%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某工程应分配的待摊支出＝某工程的建筑工程支出、安装工程支出和在安装设备支出合计×分摊率</w:t>
      </w:r>
    </w:p>
    <w:p w:rsidR="00743680" w:rsidRDefault="00743680">
      <w:pPr>
        <w:overflowPunct w:val="0"/>
        <w:jc w:val="left"/>
        <w:rPr>
          <w:rFonts w:ascii="宋体" w:hAnsi="宋体" w:cs="宋体" w:hint="eastAsia"/>
        </w:rPr>
      </w:pPr>
    </w:p>
    <w:p w:rsidR="00743680" w:rsidRDefault="00000000" w:rsidP="009C2A07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【例3-3】甲公司是一家化工企业，2020年5月经批准启动硅酸钠项目建设工程，整个工程包括建造新厂房和冷却循环系统以及安装生产设备等3个单项工程。2020年6月1日，甲公司与乙公司签订合同，将该项目出包给乙公司承建。根据双方签订的合同，建造新厂房的价款为600万元，建造冷却循环系统的价款为400万元，安装生产设备需支付安装费用50万元。建造期间发生的有关事项如下：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（1）2020年6月10日，甲公司按合同约定向乙公司预付10%备料款100万元，其中厂房60万元，冷却循环系统40万元。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2020年11月2日，建造厂房和冷却循环系统的工程进度达到50%，甲公司与乙公司办理工程价款结算500万元，其中厂房300万元，冷却循环系统200万元。乙公司开具的增值税专用发票上注明的价款为500万元，增值税税额为45万元。甲公司抵扣了预付备料款后，将余款用银行存款付讫。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（3）2020年12月8日，甲公司购入需安装的设备，取得增值税专用发票，价款总计450万元，增值税进项税额为58.5万元，已通过银行转账支付。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2021年3月10日，建筑工程主体已完工，甲公司与乙公司办理工程价款结算500万元，其中，厂房300万元，冷却循环系统200万元。乙公司开具的增值税专用发票上注明的价款为500万元，增值税税额为45万元。甲公司已通过银行转账支付。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（5）2021年4月1日，甲公司将生产设备运抵现场，交乙公司安装。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（6）2021年5月10日，生产设备安装到位，甲公司与乙公司办理设备安装价款结算50万元，增值税4.5万元，款项已通过银行转账支付。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（7）整个工程项目发生管理费、可行性研究费、监理费共计30万元，未取得增值税专用发票，已用银行存款转账支付。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（8）2021年6月1日，完成验收，各项指标达到设计要求。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假定不考虑其他相关税费。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（1）2020年6月10日，预付备料款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借：预付账款——乙公司                          1000000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贷：银行存款                                                     1000000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（2）2020年11月2日，办理工程价款结算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借：在建工程—乙公司—建筑工程—厂房 3000000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</w:t>
      </w:r>
      <w:r w:rsidR="009C2A07"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—冷却循环系统     2000000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应交税费——应交增值税（进项税额）450000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贷：银行存款                                                     4450000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预付账款——乙公司                                  1000000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（3）2020年12月8日，购入设备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借：工程物资——××设备                           4500000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应交税费——应交增值税（进项税额）585000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贷：银行存款                                                     5085000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（4）2021年3月10日，办理建筑工程价款结算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借：在建工程—乙公司—建筑工程—厂房 3000000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 —冷却循环系统 2000000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应交税费——应交增值税（进项税额）450000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贷：银行存款                                                     5450000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（5）2021年4月1日，将设备交乙公司安装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借：在建工程—乙公司—安装工程—××设备4500000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贷：工程物资——××设备                                 4500000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（6）2021年5月10日，办理安装工程价款结算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借：在建工程—乙公司—安装工程—××设备500000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应交税费——应交增值税（进项税额）   45000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贷：银行存款                                                       545000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（7）支付工程发生的管理费、可行性研究费、监理费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借：在建工程——乙公司——待摊支出        300000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贷：银行存款                                                       300000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（8）结转固定资产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①计算分摊待摊支出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待摊支出分摊率=300000÷（6000000+4000000+4500000+500000）×100%=2%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厂房应分摊的待摊支出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=6000000×2%=120000（元）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冷却循环系统应分摊的待摊支出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=4000000×2%=80000（元）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安装工程应分摊的待摊支出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=（4500000+500000）×2%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=100000（元）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借：在建工程——建筑工程——厂房                             120000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——冷却循环系统                80000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——安装工程——××设备  100000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贷：在建工程——乙公司——待摊支出                              300000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②计算完工固定资产的成本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厂房的成本=6000000+120000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=6120000（元）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冷却循环系统的成本=4000000+80000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=4080000（元）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生产设备的成本=（4500000+500000）+100000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=5100000（元）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借：固定资产——厂房                                    6120000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</w:t>
      </w:r>
      <w:r w:rsidR="009C2A07"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——冷却循环系统                     4080000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——××设备                                5100000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贷：在建工程——建筑工程—厂房                         6120000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—冷却循环系统          4080000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—安装工程—××设备  5100000</w:t>
      </w:r>
    </w:p>
    <w:p w:rsidR="00743680" w:rsidRDefault="00743680">
      <w:pPr>
        <w:overflowPunct w:val="0"/>
        <w:jc w:val="left"/>
        <w:rPr>
          <w:rFonts w:ascii="宋体" w:hAnsi="宋体" w:cs="宋体" w:hint="eastAsia"/>
        </w:rPr>
      </w:pP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（三）存在弃置费用的固定资产</w:t>
      </w:r>
    </w:p>
    <w:p w:rsidR="00743680" w:rsidRDefault="00000000">
      <w:pPr>
        <w:jc w:val="left"/>
        <w:rPr>
          <w:rFonts w:ascii="宋体" w:hAnsi="宋体" w:cs="宋体"/>
        </w:rPr>
      </w:pPr>
      <w:r w:rsidRPr="009C2A07">
        <w:rPr>
          <w:rFonts w:ascii="宋体" w:hAnsi="宋体" w:cs="宋体" w:hint="eastAsia"/>
          <w:color w:val="FF0000"/>
        </w:rPr>
        <w:t>特殊行业的特定</w:t>
      </w:r>
      <w:r>
        <w:rPr>
          <w:rFonts w:ascii="宋体" w:hAnsi="宋体" w:cs="宋体" w:hint="eastAsia"/>
        </w:rPr>
        <w:t>固定资产（一般企业不属于），对其初始计量时，还应考虑弃置费用。</w:t>
      </w:r>
    </w:p>
    <w:p w:rsidR="00743680" w:rsidRPr="009C2A07" w:rsidRDefault="00000000" w:rsidP="009C2A07">
      <w:pPr>
        <w:jc w:val="left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</w:rPr>
        <w:t>对于石油天然气、核电站核设施等，弃置费用的金额较大，按照现值计算确定应计入固定资产原价的金额和相应的</w:t>
      </w:r>
      <w:r w:rsidRPr="009C2A07">
        <w:rPr>
          <w:rFonts w:ascii="宋体" w:hAnsi="宋体" w:cs="宋体" w:hint="eastAsia"/>
          <w:color w:val="FF0000"/>
        </w:rPr>
        <w:t>预计负债。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在取得固定资产时：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借：固定资产（现值）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贷：预计负债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在该固定资产的使用寿命内，确定各期利息费用：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借：财务费用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贷：预计负债</w:t>
      </w:r>
    </w:p>
    <w:p w:rsidR="00743680" w:rsidRDefault="00743680">
      <w:pPr>
        <w:jc w:val="left"/>
        <w:rPr>
          <w:rFonts w:ascii="宋体" w:hAnsi="宋体" w:cs="宋体"/>
        </w:rPr>
      </w:pP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【例-单选题】2024年12月31日，甲公司建造了一座核电站达到预定可使用状态并投入使用，累计发生的资本化支出为210000万元。当日，甲公司预计该核电站在使用寿命届满时为恢复环境发生弃置费用10000万元，其现值为8200万元。该核电站的入账价值为（  ）万元。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A.200000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B.210000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C.218200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D.220000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答案：C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解析：分录为：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借：固定资产       218200</w:t>
      </w:r>
    </w:p>
    <w:p w:rsidR="0074368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贷：在建工程            210000</w:t>
      </w:r>
    </w:p>
    <w:p w:rsidR="00743680" w:rsidRPr="009C2A07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    预计负债            8200</w:t>
      </w:r>
    </w:p>
    <w:sectPr w:rsidR="00743680" w:rsidRPr="009C2A07">
      <w:pgSz w:w="11906" w:h="16838"/>
      <w:pgMar w:top="850" w:right="850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TRhZWZiMTg1YWU3YjQ2ZjIxZWJlYjA3MDI5ZjAifQ=="/>
  </w:docVars>
  <w:rsids>
    <w:rsidRoot w:val="135D5531"/>
    <w:rsid w:val="ADBF441C"/>
    <w:rsid w:val="DDDF23BF"/>
    <w:rsid w:val="F7FFBA63"/>
    <w:rsid w:val="FF99AA03"/>
    <w:rsid w:val="00144E54"/>
    <w:rsid w:val="001F192C"/>
    <w:rsid w:val="0027282F"/>
    <w:rsid w:val="002A1721"/>
    <w:rsid w:val="003B71E3"/>
    <w:rsid w:val="00401D9A"/>
    <w:rsid w:val="00743680"/>
    <w:rsid w:val="009C2A07"/>
    <w:rsid w:val="009E1DA1"/>
    <w:rsid w:val="00AA0512"/>
    <w:rsid w:val="00AE0A92"/>
    <w:rsid w:val="00B867B9"/>
    <w:rsid w:val="00BC055A"/>
    <w:rsid w:val="00BE4B58"/>
    <w:rsid w:val="00CC6AFF"/>
    <w:rsid w:val="00D0691E"/>
    <w:rsid w:val="00E257B7"/>
    <w:rsid w:val="00F23AC5"/>
    <w:rsid w:val="04043713"/>
    <w:rsid w:val="06F537E7"/>
    <w:rsid w:val="078B5EF9"/>
    <w:rsid w:val="0C2030B4"/>
    <w:rsid w:val="0E99714E"/>
    <w:rsid w:val="135D5531"/>
    <w:rsid w:val="14E37374"/>
    <w:rsid w:val="17417CFA"/>
    <w:rsid w:val="182757CA"/>
    <w:rsid w:val="1AA11864"/>
    <w:rsid w:val="212B00D9"/>
    <w:rsid w:val="236C49D9"/>
    <w:rsid w:val="2A1A518F"/>
    <w:rsid w:val="2C0559CB"/>
    <w:rsid w:val="2F154177"/>
    <w:rsid w:val="2F283EAA"/>
    <w:rsid w:val="2FDE0A0C"/>
    <w:rsid w:val="34715F1D"/>
    <w:rsid w:val="387719FE"/>
    <w:rsid w:val="3E7AA229"/>
    <w:rsid w:val="4B550AA9"/>
    <w:rsid w:val="514836E7"/>
    <w:rsid w:val="537D11A8"/>
    <w:rsid w:val="5EFBB2E2"/>
    <w:rsid w:val="5FD6198B"/>
    <w:rsid w:val="5FEF7F48"/>
    <w:rsid w:val="67A535E2"/>
    <w:rsid w:val="68753EF9"/>
    <w:rsid w:val="68921DB9"/>
    <w:rsid w:val="6AC81AA4"/>
    <w:rsid w:val="6F315D76"/>
    <w:rsid w:val="7DA55C93"/>
    <w:rsid w:val="7EFDB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BF0B914"/>
  <w15:docId w15:val="{B649C23A-A2F1-9841-B11D-1E34A393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8</cp:revision>
  <dcterms:created xsi:type="dcterms:W3CDTF">2025-04-14T06:53:00Z</dcterms:created>
  <dcterms:modified xsi:type="dcterms:W3CDTF">2025-05-11T01:42:00Z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2D36A11BE6C0405FA43A6AA7D427FFFD</vt:lpwstr>
  </property>
  <property fmtid="{D5CDD505-2E9C-101B-9397-08002B2CF9AE}" pid="4" name="KSOTemplateDocerSaveRecord">
    <vt:lpwstr>eyJoZGlkIjoiYjM0YTRhZWZiMTg1YWU3YjQ2ZjIxZWJlYjA3MDI5ZjAiLCJ1c2VySWQiOiIxMTY3NzIzMDg0In0=</vt:lpwstr>
  </property>
</Properties>
</file>