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AFF" w:rsidRPr="00BC055A" w:rsidRDefault="00000000" w:rsidP="00BC055A">
      <w:pPr>
        <w:overflowPunct w:val="0"/>
        <w:jc w:val="center"/>
        <w:rPr>
          <w:rFonts w:ascii="宋体" w:hAnsi="宋体" w:cs="宋体"/>
          <w:b/>
          <w:bCs/>
        </w:rPr>
      </w:pPr>
      <w:r w:rsidRPr="00BC055A">
        <w:rPr>
          <w:rFonts w:ascii="宋体" w:hAnsi="宋体" w:cs="宋体" w:hint="eastAsia"/>
          <w:b/>
          <w:bCs/>
        </w:rPr>
        <w:t>第一节  存货的确认和初始计量</w:t>
      </w:r>
    </w:p>
    <w:p w:rsidR="00CC6AFF" w:rsidRPr="00BC055A" w:rsidRDefault="00000000">
      <w:pPr>
        <w:jc w:val="left"/>
        <w:rPr>
          <w:rFonts w:ascii="宋体" w:hAnsi="宋体" w:cs="宋体"/>
          <w:color w:val="FF0000"/>
        </w:rPr>
      </w:pPr>
      <w:r w:rsidRPr="00BC055A">
        <w:rPr>
          <w:rFonts w:ascii="宋体" w:hAnsi="宋体" w:cs="宋体" w:hint="eastAsia"/>
          <w:color w:val="FF0000"/>
        </w:rPr>
        <w:t>（二）进一步加工取得的存货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1、委托外单位加工的存货</w:t>
      </w:r>
    </w:p>
    <w:p w:rsidR="00CC6AFF" w:rsidRDefault="00BC055A">
      <w:pPr>
        <w:jc w:val="left"/>
        <w:rPr>
          <w:rFonts w:ascii="宋体" w:hAnsi="宋体" w:cs="宋体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3081866" cy="1475206"/>
            <wp:effectExtent l="0" t="0" r="4445" b="0"/>
            <wp:docPr id="15017280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28044" name="图片 1501728044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9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394" cy="149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AFF" w:rsidRDefault="00CC6AFF">
      <w:pPr>
        <w:jc w:val="left"/>
        <w:rPr>
          <w:rFonts w:ascii="宋体" w:hAnsi="宋体" w:cs="宋体"/>
        </w:rPr>
      </w:pP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2-1】甲企业委托乙企业加工材料一批（属于应税消费品的非黄金饰品）。原材料成本为20000元，支付的加工费为7000元（不含增值税），消费税税率为10%，材料加工完成并已验收入库，加工费用等已经支付。双方适用的增值税税率为13%。甲企业按实际成本核算原材料，有关账务处理如下：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（1）发出委托加工材料：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借：委托加工物资——乙企业          20000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贷：原材料                                            20000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（2）支付加工费用和税金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消费税组成计税价格=（20000+7000）/（1-10%）=30000（元）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组成计税价格=（材料成本+加工费）/（1-消费税税率）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受托方代收代缴的消费税税额=30000×10%=3000（元）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应交增值税税额=7000×13%=910（元）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①甲企业收回加工后的材料用于连续生产应税消费品的：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借：委托加工物资——乙企业 </w:t>
      </w:r>
      <w:r>
        <w:rPr>
          <w:rFonts w:ascii="宋体" w:hAnsi="宋体" w:cs="宋体" w:hint="eastAsia"/>
        </w:rPr>
        <w:tab/>
        <w:t xml:space="preserve">                7000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应交税费——应交增值税（进项税额）   910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</w:t>
      </w:r>
      <w:r w:rsidR="00BC055A"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——应交消费税                         3000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贷：银行存款                                   10910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②甲企业收回加工后的材料直接用于销售的：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借：委托加工物资——乙企业（7000+3000） 10000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应交税费——应交增值税（进项税额）           910</w:t>
      </w:r>
    </w:p>
    <w:p w:rsidR="00CC6AFF" w:rsidRDefault="00000000" w:rsidP="00BC055A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贷：银行存款                                  10910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（3）加工完成，收回委托加工材料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①甲企业收回加工后的材料用于连续生产应税消费品的：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借：原材料（20000+7000）            27000 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贷：委托加工物资——乙企业               27000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②甲企业收回加工后的材料直接用于销售的：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借：库存商品（20000+10000）      30000 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贷：委托加工物资——乙企业              30000</w:t>
      </w:r>
    </w:p>
    <w:p w:rsidR="00CC6AFF" w:rsidRDefault="00CC6AFF">
      <w:pPr>
        <w:jc w:val="left"/>
        <w:rPr>
          <w:rFonts w:ascii="宋体" w:hAnsi="宋体" w:cs="宋体"/>
        </w:rPr>
      </w:pP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甲公司向乙公司发出一批实际成本为30万元的原材料，另支付加工费6万元（不含增值税），委托乙公司加工成为一批适用消费税税率为10%的应税消费品，加工完成收回后，全部用于连续生产应税消费品，乙公司代扣代缴的消费税款准予后续抵扣。甲公司和乙公司均系增值税一般纳税人，适用的增值税税率均为13%。不考虑其他因素，甲公司收回的该批应税消费品的实际成本（  ）万元。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A.36</w:t>
      </w:r>
      <w:r>
        <w:rPr>
          <w:rFonts w:ascii="宋体" w:hAnsi="宋体" w:cs="宋体" w:hint="eastAsia"/>
        </w:rPr>
        <w:tab/>
        <w:t xml:space="preserve">             B.39.6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C.40</w:t>
      </w:r>
      <w:r>
        <w:rPr>
          <w:rFonts w:ascii="宋体" w:hAnsi="宋体" w:cs="宋体" w:hint="eastAsia"/>
        </w:rPr>
        <w:tab/>
        <w:t xml:space="preserve">             D.42.12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答案：A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解析：委托加工物资收回后用于继续加工应税消费品的，委托加工环节的消费税是计入“应交税费——应交消费税”的借方，不计入委托加工物资的成本，所以本题答案是36万元（＝30+6）。</w:t>
      </w:r>
    </w:p>
    <w:p w:rsidR="00CC6AFF" w:rsidRDefault="00CC6AFF">
      <w:pPr>
        <w:jc w:val="left"/>
        <w:rPr>
          <w:rFonts w:ascii="宋体" w:hAnsi="宋体" w:cs="宋体"/>
        </w:rPr>
      </w:pP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2、自行生产的存货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入账成本＝直接材料＋直接人工＋制造费用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非正常消耗的直接材料、直接人工和制造费用应计入当期损益（自然灾害类损失列支于“营业外支出”，管理不善所致的损失列支于“管理费用”），不得计入存货成本。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3、投资者投入方式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投资者投入存货的成本，应当按照投资合同或协议约定的价值确定，但合同或协议约定不公允的，以公允价值入账，差额计入资本公积——资本溢价。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借：原材料                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应交税费——应交增值税（进项税额） 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贷：实收资本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资本公积——资本溢价</w:t>
      </w:r>
    </w:p>
    <w:p w:rsidR="00CC6AFF" w:rsidRDefault="00CC6AFF">
      <w:pPr>
        <w:jc w:val="left"/>
        <w:rPr>
          <w:rFonts w:ascii="宋体" w:hAnsi="宋体" w:cs="宋体"/>
        </w:rPr>
      </w:pP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多选题】2024年5月1日，A、B、C三方共同投资设定了甲有限责任公司（以下简称“甲公司”），A以其生产的产品作为投资（甲公司作为原材料管理和核算），该批产品的公允价值是500万元，账面余额400万元，未计提存货跌价准备。甲公司取得增值税专用发票上注明的不含税价款为500万元，增值税为65万元，假定甲公司的实收资本总额为1000万元，A公司在甲公司享有的份额为35%，甲公司为一般纳税人，适用的增值税率为13%；甲公司采用实际成本法核算存货。基于上述资料，如下论断中正确的有（  ）。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A.甲公司认可A公司的实收资本为350万元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B.甲公司收到原材料的入账成本为500万元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C.甲公司接受A公司注资形成的资本溢价为215万元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D.A公司长期股权投资的入账成本为565万元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答案：ABCD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解析：①甲公司的账务处理如下：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借：原材料                                                       500 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应交税费——应交增值税（进项税额）    65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贷：实收资本——A                                         350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资本公积——资本溢价                            215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②A公司的账务处理如下：         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借：长期股权投资                                             565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贷：主营业务收入                                            500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应交税费——应交增值税（销项税额）   65</w:t>
      </w:r>
    </w:p>
    <w:p w:rsidR="00CC6AFF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借：主营业务成本      400</w:t>
      </w:r>
    </w:p>
    <w:p w:rsidR="00CC6AFF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贷：库存商品           400</w:t>
      </w:r>
    </w:p>
    <w:sectPr w:rsidR="00CC6AFF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ADBF441C"/>
    <w:rsid w:val="F7FFBA63"/>
    <w:rsid w:val="FF99AA03"/>
    <w:rsid w:val="001F192C"/>
    <w:rsid w:val="002A1721"/>
    <w:rsid w:val="003B71E3"/>
    <w:rsid w:val="00401D9A"/>
    <w:rsid w:val="00AA0512"/>
    <w:rsid w:val="00AE0A92"/>
    <w:rsid w:val="00B867B9"/>
    <w:rsid w:val="00BC055A"/>
    <w:rsid w:val="00BE4B58"/>
    <w:rsid w:val="00CC6AFF"/>
    <w:rsid w:val="00E257B7"/>
    <w:rsid w:val="00F23AC5"/>
    <w:rsid w:val="04043713"/>
    <w:rsid w:val="06F537E7"/>
    <w:rsid w:val="078B5EF9"/>
    <w:rsid w:val="0C2030B4"/>
    <w:rsid w:val="0E99714E"/>
    <w:rsid w:val="135D5531"/>
    <w:rsid w:val="14E37374"/>
    <w:rsid w:val="17417CFA"/>
    <w:rsid w:val="182757CA"/>
    <w:rsid w:val="1AA11864"/>
    <w:rsid w:val="212B00D9"/>
    <w:rsid w:val="236C49D9"/>
    <w:rsid w:val="2A1A518F"/>
    <w:rsid w:val="2C0559CB"/>
    <w:rsid w:val="2F154177"/>
    <w:rsid w:val="2F283EAA"/>
    <w:rsid w:val="2FDE0A0C"/>
    <w:rsid w:val="34715F1D"/>
    <w:rsid w:val="387719FE"/>
    <w:rsid w:val="4B550AA9"/>
    <w:rsid w:val="514836E7"/>
    <w:rsid w:val="537D11A8"/>
    <w:rsid w:val="5EFBB2E2"/>
    <w:rsid w:val="5FD6198B"/>
    <w:rsid w:val="5FEF7F48"/>
    <w:rsid w:val="67A535E2"/>
    <w:rsid w:val="68753EF9"/>
    <w:rsid w:val="68921DB9"/>
    <w:rsid w:val="6AC81AA4"/>
    <w:rsid w:val="6F315D76"/>
    <w:rsid w:val="7DA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DE8549C"/>
  <w15:docId w15:val="{B649C23A-A2F1-9841-B11D-1E34A393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5</cp:revision>
  <dcterms:created xsi:type="dcterms:W3CDTF">2025-04-13T06:53:00Z</dcterms:created>
  <dcterms:modified xsi:type="dcterms:W3CDTF">2025-05-11T01:21:00Z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