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ind w:firstLine="2240" w:firstLineChars="700"/>
        <w:jc w:val="both"/>
        <w:textAlignment w:val="auto"/>
        <w:rPr>
          <w:rFonts w:hint="eastAsia" w:ascii="宋体" w:hAnsi="宋体" w:eastAsia="宋体" w:cs="宋体"/>
          <w:sz w:val="21"/>
          <w:szCs w:val="21"/>
        </w:rPr>
      </w:pPr>
      <w:r>
        <w:rPr>
          <w:rFonts w:hint="eastAsia" w:ascii="宋体" w:hAnsi="宋体" w:eastAsia="宋体" w:cs="宋体"/>
          <w:b w:val="0"/>
          <w:i w:val="0"/>
          <w:shadow w:val="0"/>
          <w:emboss w:val="0"/>
          <w:sz w:val="32"/>
          <w:szCs w:val="32"/>
          <w:u w:val="none"/>
          <w:lang w:eastAsia="zh-CN"/>
        </w:rPr>
        <w:t>第六章　投资性房地产</w:t>
      </w:r>
    </w:p>
    <w:p>
      <w:pPr>
        <w:overflowPunct/>
        <w:ind w:firstLine="210" w:firstLineChars="10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3019425" cy="509905"/>
                <wp:effectExtent l="0" t="0" r="0" b="0"/>
                <wp:docPr id="39" name="组合 3"/>
                <wp:cNvGraphicFramePr/>
                <a:graphic xmlns:a="http://schemas.openxmlformats.org/drawingml/2006/main">
                  <a:graphicData uri="http://schemas.microsoft.com/office/word/2010/wordprocessingGroup">
                    <wpg:wgp>
                      <wpg:cNvGrpSpPr/>
                      <wpg:grpSpPr>
                        <a:xfrm>
                          <a:off x="0" y="0"/>
                          <a:ext cx="3019425" cy="510218"/>
                          <a:chOff x="2005655" y="3113395"/>
                          <a:chExt cx="3577529" cy="617013"/>
                        </a:xfrm>
                      </wpg:grpSpPr>
                      <wps:wsp>
                        <wps:cNvPr id="1" name="MH_Others_4"/>
                        <wps:cNvCnPr/>
                        <wps:spPr>
                          <a:xfrm rot="1020000">
                            <a:off x="2588743" y="3264284"/>
                            <a:ext cx="0" cy="316380"/>
                          </a:xfrm>
                          <a:prstGeom prst="line">
                            <a:avLst/>
                          </a:prstGeom>
                          <a:ln w="19050" cap="flat" cmpd="sng">
                            <a:solidFill>
                              <a:srgbClr val="000000"/>
                            </a:solidFill>
                            <a:prstDash val="solid"/>
                            <a:miter/>
                            <a:headEnd type="none" w="med" len="med"/>
                            <a:tailEnd type="none" w="med" len="med"/>
                          </a:ln>
                        </wps:spPr>
                        <wps:bodyPr upright="1"/>
                      </wps:wsp>
                      <wps:wsp>
                        <wps:cNvPr id="2" name="MH_Entry_2"/>
                        <wps:cNvSpPr/>
                        <wps:spPr>
                          <a:xfrm>
                            <a:off x="2721913" y="3232029"/>
                            <a:ext cx="2861271" cy="498379"/>
                          </a:xfrm>
                          <a:prstGeom prst="rect">
                            <a:avLst/>
                          </a:prstGeom>
                          <a:noFill/>
                          <a:ln>
                            <a:noFill/>
                          </a:ln>
                        </wps:spPr>
                        <wps:txbx>
                          <w:txbxContent>
                            <w:p>
                              <w:pPr>
                                <w:rPr>
                                  <w:rFonts w:hint="eastAsia" w:ascii="宋体" w:hAnsi="宋体" w:eastAsia="宋体" w:cs="宋体"/>
                                  <w:b/>
                                  <w:color w:val="000000"/>
                                  <w:kern w:val="24"/>
                                  <w:sz w:val="32"/>
                                  <w:szCs w:val="32"/>
                                </w:rPr>
                              </w:pPr>
                              <w:r>
                                <w:rPr>
                                  <w:rFonts w:hint="eastAsia" w:ascii="宋体" w:hAnsi="宋体" w:eastAsia="宋体" w:cs="宋体"/>
                                  <w:b/>
                                  <w:color w:val="000000"/>
                                  <w:kern w:val="24"/>
                                  <w:sz w:val="32"/>
                                  <w:szCs w:val="32"/>
                                </w:rPr>
                                <w:t>投资性房地产概述</w:t>
                              </w:r>
                            </w:p>
                          </w:txbxContent>
                        </wps:txbx>
                        <wps:bodyPr vert="horz" wrap="square" lIns="180000" tIns="0" rIns="0" bIns="0" anchor="ctr" upright="1"/>
                      </wps:wsp>
                      <wps:wsp>
                        <wps:cNvPr id="3" name="MH_Number_2"/>
                        <wps:cNvSpPr/>
                        <wps:spPr>
                          <a:xfrm>
                            <a:off x="2005655" y="3113395"/>
                            <a:ext cx="495061" cy="478704"/>
                          </a:xfrm>
                          <a:prstGeom prst="rect">
                            <a:avLst/>
                          </a:prstGeom>
                          <a:noFill/>
                          <a:ln w="12700">
                            <a:noFill/>
                          </a:ln>
                        </wps:spPr>
                        <wps:txbx>
                          <w:txbxContent>
                            <w:p>
                              <w:pPr>
                                <w:pStyle w:val="4"/>
                                <w:kinsoku/>
                                <w:ind w:left="0"/>
                                <w:jc w:val="center"/>
                                <w:rPr>
                                  <w:sz w:val="28"/>
                                  <w:szCs w:val="28"/>
                                </w:rPr>
                              </w:pPr>
                              <w:r>
                                <w:rPr>
                                  <w:rFonts w:hint="eastAsia" w:ascii="宋体" w:hAnsi="宋体" w:eastAsia="宋体" w:cs="宋体"/>
                                  <w:b/>
                                  <w:color w:val="000000"/>
                                  <w:kern w:val="24"/>
                                  <w:sz w:val="28"/>
                                  <w:szCs w:val="28"/>
                                </w:rPr>
                                <w:t>01</w:t>
                              </w:r>
                            </w:p>
                          </w:txbxContent>
                        </wps:txbx>
                        <wps:bodyPr vert="horz" wrap="square" lIns="0" tIns="0" rIns="0" bIns="0" anchor="ctr" upright="1"/>
                      </wps:wsp>
                    </wpg:wgp>
                  </a:graphicData>
                </a:graphic>
              </wp:inline>
            </w:drawing>
          </mc:Choice>
          <mc:Fallback>
            <w:pict>
              <v:group id="组合 3" o:spid="_x0000_s1026" o:spt="203" style="height:40.15pt;width:237.75pt;" coordorigin="2005655,3113395" coordsize="3577529,617013" o:gfxdata="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pFOHKtYAAAAEAQAADwAAAAAAAAABACAAAAAi&#10;AAAAZHJzL2Rvd25yZXYueG1sUEsBAhQAFAAAAAgAh07iQGbUhuApAwAAdwgAAA4AAAAAAAAAAQAg&#10;AAAAJQEAAGRycy9lMm9Eb2MueG1sUEsFBgAAAAAGAAYAWQEAAMAGAAAAAA==&#10;">
                <o:lock v:ext="edit" aspectratio="f"/>
                <v:line id="MH_Others_4" o:spid="_x0000_s1026" o:spt="20" style="position:absolute;left:2588743;top:3264284;height:316380;width:0;rotation:1114112f;" filled="f" stroked="t" coordsize="21600,21600" o:gfxdata="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H9LgugAAANoA&#10;AAAPAAAAAAAAAAEAIAAAACIAAABkcnMvZG93bnJldi54bWxQSwECFAAUAAAACACHTuJAMy8FnjsA&#10;AAA5AAAAEAAAAAAAAAABACAAAAAJAQAAZHJzL3NoYXBleG1sLnhtbFBLBQYAAAAABgAGAFsBAACz&#10;AwAAAAA=&#10;">
                  <v:fill on="f" focussize="0,0"/>
                  <v:stroke weight="1.5pt" color="#000000" joinstyle="miter"/>
                  <v:imagedata o:title=""/>
                  <o:lock v:ext="edit" aspectratio="f"/>
                </v:line>
                <v:rect id="MH_Entry_2" o:spid="_x0000_s1026" o:spt="1" style="position:absolute;left:2721913;top:3232029;height:498379;width:2861271;v-text-anchor:middle;" filled="f" stroked="f" coordsize="21600,21600" o:gfxdata="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I7x+8AAAA&#10;2gAAAA8AAAAAAAAAAQAgAAAAIgAAAGRycy9kb3ducmV2LnhtbFBLAQIUABQAAAAIAIdO4kAzLwWe&#10;OwAAADkAAAAQAAAAAAAAAAEAIAAAAAsBAABkcnMvc2hhcGV4bWwueG1sUEsFBgAAAAAGAAYAWwEA&#10;ALUDAAAAAA==&#10;">
                  <v:fill on="f" focussize="0,0"/>
                  <v:stroke on="f"/>
                  <v:imagedata o:title=""/>
                  <o:lock v:ext="edit" aspectratio="f"/>
                  <v:textbox inset="5mm,0mm,0mm,0mm">
                    <w:txbxContent>
                      <w:p>
                        <w:pPr>
                          <w:rPr>
                            <w:rFonts w:hint="eastAsia" w:ascii="宋体" w:hAnsi="宋体" w:eastAsia="宋体" w:cs="宋体"/>
                            <w:b/>
                            <w:color w:val="000000"/>
                            <w:kern w:val="24"/>
                            <w:sz w:val="32"/>
                            <w:szCs w:val="32"/>
                          </w:rPr>
                        </w:pPr>
                        <w:r>
                          <w:rPr>
                            <w:rFonts w:hint="eastAsia" w:ascii="宋体" w:hAnsi="宋体" w:eastAsia="宋体" w:cs="宋体"/>
                            <w:b/>
                            <w:color w:val="000000"/>
                            <w:kern w:val="24"/>
                            <w:sz w:val="32"/>
                            <w:szCs w:val="32"/>
                          </w:rPr>
                          <w:t>投资性房地产概述</w:t>
                        </w:r>
                      </w:p>
                    </w:txbxContent>
                  </v:textbox>
                </v:rect>
                <v:rect id="MH_Number_2" o:spid="_x0000_s1026" o:spt="1" style="position:absolute;left:2005655;top:3113395;height:478704;width:495061;v-text-anchor:middle;" filled="f" stroked="f" coordsize="21600,21600" o:gfxdata="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Q9ha8AAAA&#10;2gAAAA8AAAAAAAAAAQAgAAAAIgAAAGRycy9kb3ducmV2LnhtbFBLAQIUABQAAAAIAIdO4kAzLwWe&#10;OwAAADkAAAAQAAAAAAAAAAEAIAAAAAsBAABkcnMvc2hhcGV4bWwueG1sUEsFBgAAAAAGAAYAWwEA&#10;ALUDAAAAAA==&#10;">
                  <v:fill on="f" focussize="0,0"/>
                  <v:stroke on="f" weight="1pt"/>
                  <v:imagedata o:title=""/>
                  <o:lock v:ext="edit" aspectratio="f"/>
                  <v:textbox inset="0mm,0mm,0mm,0mm">
                    <w:txbxContent>
                      <w:p>
                        <w:pPr>
                          <w:pStyle w:val="4"/>
                          <w:kinsoku/>
                          <w:ind w:left="0"/>
                          <w:jc w:val="center"/>
                          <w:rPr>
                            <w:sz w:val="28"/>
                            <w:szCs w:val="28"/>
                          </w:rPr>
                        </w:pPr>
                        <w:r>
                          <w:rPr>
                            <w:rFonts w:hint="eastAsia" w:ascii="宋体" w:hAnsi="宋体" w:eastAsia="宋体" w:cs="宋体"/>
                            <w:b/>
                            <w:color w:val="000000"/>
                            <w:kern w:val="24"/>
                            <w:sz w:val="28"/>
                            <w:szCs w:val="28"/>
                          </w:rPr>
                          <w:t>01</w:t>
                        </w:r>
                      </w:p>
                    </w:txbxContent>
                  </v:textbox>
                </v:rect>
                <w10:wrap type="none"/>
                <w10:anchorlock/>
              </v:group>
            </w:pict>
          </mc:Fallback>
        </mc:AlternateContent>
      </w:r>
      <w:r>
        <w:rPr>
          <w:rFonts w:hint="eastAsia" w:ascii="宋体" w:hAnsi="宋体" w:cs="宋体"/>
          <w:sz w:val="21"/>
          <w:szCs w:val="21"/>
          <w:lang w:val="en-US" w:eastAsia="zh-CN"/>
        </w:rPr>
        <w:t xml:space="preserve">        </w:t>
      </w:r>
    </w:p>
    <w:p>
      <w:pPr>
        <w:overflowPunct/>
        <w:jc w:val="center"/>
        <w:textAlignment w:val="auto"/>
        <w:rPr>
          <w:rFonts w:hint="eastAsia" w:ascii="宋体" w:hAnsi="宋体" w:cs="宋体"/>
          <w:b/>
          <w:bCs/>
          <w:sz w:val="32"/>
          <w:szCs w:val="32"/>
          <w:lang w:val="en-US" w:eastAsia="zh-CN"/>
        </w:rPr>
      </w:pPr>
      <w:r>
        <w:rPr>
          <w:rFonts w:hint="eastAsia" w:ascii="宋体" w:hAnsi="宋体" w:eastAsia="宋体" w:cs="宋体"/>
          <w:sz w:val="21"/>
          <w:szCs w:val="21"/>
        </w:rPr>
        <mc:AlternateContent>
          <mc:Choice Requires="wpg">
            <w:drawing>
              <wp:inline distT="0" distB="0" distL="114300" distR="114300">
                <wp:extent cx="3314065" cy="475615"/>
                <wp:effectExtent l="0" t="0" r="0" b="0"/>
                <wp:docPr id="4" name="组合 11"/>
                <wp:cNvGraphicFramePr/>
                <a:graphic xmlns:a="http://schemas.openxmlformats.org/drawingml/2006/main">
                  <a:graphicData uri="http://schemas.microsoft.com/office/word/2010/wordprocessingGroup">
                    <wpg:wgp>
                      <wpg:cNvGrpSpPr/>
                      <wpg:grpSpPr>
                        <a:xfrm>
                          <a:off x="0" y="0"/>
                          <a:ext cx="3314065" cy="475610"/>
                          <a:chOff x="2040374" y="3738068"/>
                          <a:chExt cx="9879267" cy="475972"/>
                        </a:xfrm>
                      </wpg:grpSpPr>
                      <wps:wsp>
                        <wps:cNvPr id="9" name="MH_Others_4"/>
                        <wps:cNvCnPr/>
                        <wps:spPr>
                          <a:xfrm flipH="1">
                            <a:off x="3318110" y="3886134"/>
                            <a:ext cx="285834" cy="244023"/>
                          </a:xfrm>
                          <a:prstGeom prst="line">
                            <a:avLst/>
                          </a:prstGeom>
                          <a:ln w="19050" cap="flat" cmpd="sng">
                            <a:solidFill>
                              <a:srgbClr val="000000"/>
                            </a:solidFill>
                            <a:prstDash val="solid"/>
                            <a:miter/>
                            <a:headEnd type="none" w="med" len="med"/>
                            <a:tailEnd type="none" w="med" len="med"/>
                          </a:ln>
                        </wps:spPr>
                        <wps:bodyPr upright="1"/>
                      </wps:wsp>
                      <wps:wsp>
                        <wps:cNvPr id="10" name="MH_Entry_2"/>
                        <wps:cNvSpPr/>
                        <wps:spPr>
                          <a:xfrm>
                            <a:off x="3664519" y="3846099"/>
                            <a:ext cx="8255122" cy="288506"/>
                          </a:xfrm>
                          <a:prstGeom prst="rect">
                            <a:avLst/>
                          </a:prstGeom>
                          <a:noFill/>
                          <a:ln>
                            <a:noFill/>
                          </a:ln>
                        </wps:spPr>
                        <wps:txbx>
                          <w:txbxContent>
                            <w:p>
                              <w:pPr>
                                <w:rPr>
                                  <w:rFonts w:hint="eastAsia" w:ascii="宋体" w:hAnsi="宋体" w:eastAsia="宋体" w:cs="宋体"/>
                                  <w:b/>
                                  <w:color w:val="000000" w:themeColor="text1"/>
                                  <w:kern w:val="24"/>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投资性房地产的确认与计量</w:t>
                              </w:r>
                            </w:p>
                          </w:txbxContent>
                        </wps:txbx>
                        <wps:bodyPr vert="horz" lIns="180000" tIns="0" rIns="0" bIns="0" anchor="ctr" upright="1"/>
                      </wps:wsp>
                      <wps:wsp>
                        <wps:cNvPr id="11" name="MH_Number_2"/>
                        <wps:cNvSpPr/>
                        <wps:spPr>
                          <a:xfrm>
                            <a:off x="2040374" y="3738068"/>
                            <a:ext cx="1005152" cy="475972"/>
                          </a:xfrm>
                          <a:prstGeom prst="rect">
                            <a:avLst/>
                          </a:prstGeom>
                          <a:noFill/>
                          <a:ln w="12700">
                            <a:noFill/>
                          </a:ln>
                        </wps:spPr>
                        <wps:txbx>
                          <w:txbxContent>
                            <w:p>
                              <w:pPr>
                                <w:pStyle w:val="4"/>
                                <w:kinsoku/>
                                <w:ind w:lef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02</w:t>
                              </w:r>
                            </w:p>
                          </w:txbxContent>
                        </wps:txbx>
                        <wps:bodyPr vert="horz" wrap="square" lIns="0" tIns="0" rIns="0" bIns="0" anchor="ctr" upright="1"/>
                      </wps:wsp>
                    </wpg:wgp>
                  </a:graphicData>
                </a:graphic>
              </wp:inline>
            </w:drawing>
          </mc:Choice>
          <mc:Fallback>
            <w:pict>
              <v:group id="组合 11" o:spid="_x0000_s1026" o:spt="203" style="height:37.45pt;width:260.95pt;" coordorigin="2040374,3738068" coordsize="9879267,475972" o:gfxdata="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&#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DhPXf41gAAAAQBAAAPAAAAAAAAAAEAIAAAACIAAABk&#10;cnMvZG93bnJldi54bWxQSwECFAAUAAAACACHTuJA6eU71SUDAABtCAAADgAAAAAAAAABACAAAAAl&#10;AQAAZHJzL2Uyb0RvYy54bWxQSwUGAAAAAAYABgBZAQAAvAYAAAAA&#10;">
                <o:lock v:ext="edit" aspectratio="f"/>
                <v:line id="MH_Others_4" o:spid="_x0000_s1026" o:spt="20" style="position:absolute;left:3318110;top:3886134;flip:x;height:244023;width:285834;" filled="f" stroked="t" coordsize="21600,21600" o:gfxdata="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unt3vQAA&#10;ANo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line>
                <v:rect id="MH_Entry_2" o:spid="_x0000_s1026" o:spt="1" style="position:absolute;left:3664519;top:3846099;height:288506;width:8255122;v-text-anchor:middle;" filled="f" stroked="f" coordsize="21600,21600" o:gfxdata="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hVt28AAAA&#10;2wAAAA8AAAAAAAAAAQAgAAAAIgAAAGRycy9kb3ducmV2LnhtbFBLAQIUABQAAAAIAIdO4kAzLwWe&#10;OwAAADkAAAAQAAAAAAAAAAEAIAAAAAsBAABkcnMvc2hhcGV4bWwueG1sUEsFBgAAAAAGAAYAWwEA&#10;ALUDAAAAAA==&#10;">
                  <v:fill on="f" focussize="0,0"/>
                  <v:stroke on="f"/>
                  <v:imagedata o:title=""/>
                  <o:lock v:ext="edit" aspectratio="f"/>
                  <v:textbox inset="5mm,0mm,0mm,0mm">
                    <w:txbxContent>
                      <w:p>
                        <w:pPr>
                          <w:rPr>
                            <w:rFonts w:hint="eastAsia" w:ascii="宋体" w:hAnsi="宋体" w:eastAsia="宋体" w:cs="宋体"/>
                            <w:b/>
                            <w:color w:val="000000" w:themeColor="text1"/>
                            <w:kern w:val="24"/>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投资性房地产的确认与计量</w:t>
                        </w:r>
                      </w:p>
                    </w:txbxContent>
                  </v:textbox>
                </v:rect>
                <v:rect id="MH_Number_2" o:spid="_x0000_s1026" o:spt="1" style="position:absolute;left:2040374;top:3738068;height:475972;width:1005152;v-text-anchor:middle;" filled="f" stroked="f" coordsize="21600,21600" o:gfxdata="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bvCG8AAAA&#10;2wAAAA8AAAAAAAAAAQAgAAAAIgAAAGRycy9kb3ducmV2LnhtbFBLAQIUABQAAAAIAIdO4kAzLwWe&#10;OwAAADkAAAAQAAAAAAAAAAEAIAAAAAsBAABkcnMvc2hhcGV4bWwueG1sUEsFBgAAAAAGAAYAWwEA&#10;ALUDAAAAAA==&#10;">
                  <v:fill on="f" focussize="0,0"/>
                  <v:stroke on="f" weight="1pt"/>
                  <v:imagedata o:title=""/>
                  <o:lock v:ext="edit" aspectratio="f"/>
                  <v:textbox inset="0mm,0mm,0mm,0mm">
                    <w:txbxContent>
                      <w:p>
                        <w:pPr>
                          <w:pStyle w:val="4"/>
                          <w:kinsoku/>
                          <w:ind w:lef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02</w:t>
                        </w:r>
                      </w:p>
                    </w:txbxContent>
                  </v:textbox>
                </v:rect>
                <w10:wrap type="none"/>
                <w10:anchorlock/>
              </v:group>
            </w:pict>
          </mc:Fallback>
        </mc:AlternateContent>
      </w:r>
    </w:p>
    <w:p>
      <w:pPr>
        <w:overflowPunct/>
        <w:jc w:val="center"/>
        <w:textAlignment w:val="auto"/>
        <w:rPr>
          <w:rFonts w:hint="eastAsia" w:ascii="宋体" w:hAnsi="宋体" w:cs="宋体"/>
          <w:b/>
          <w:bCs/>
          <w:sz w:val="32"/>
          <w:szCs w:val="32"/>
          <w:lang w:val="en-US" w:eastAsia="zh-CN"/>
        </w:rPr>
      </w:pPr>
      <w:r>
        <w:rPr>
          <w:rFonts w:hint="eastAsia" w:ascii="宋体" w:hAnsi="宋体" w:eastAsia="宋体" w:cs="宋体"/>
          <w:sz w:val="21"/>
          <w:szCs w:val="21"/>
        </w:rPr>
        <mc:AlternateContent>
          <mc:Choice Requires="wpg">
            <w:drawing>
              <wp:inline distT="0" distB="0" distL="114300" distR="114300">
                <wp:extent cx="3248660" cy="473710"/>
                <wp:effectExtent l="0" t="0" r="0" b="0"/>
                <wp:docPr id="34" name="组合 15"/>
                <wp:cNvGraphicFramePr/>
                <a:graphic xmlns:a="http://schemas.openxmlformats.org/drawingml/2006/main">
                  <a:graphicData uri="http://schemas.microsoft.com/office/word/2010/wordprocessingGroup">
                    <wpg:wgp>
                      <wpg:cNvGrpSpPr/>
                      <wpg:grpSpPr>
                        <a:xfrm>
                          <a:off x="0" y="0"/>
                          <a:ext cx="3248660" cy="473695"/>
                          <a:chOff x="1471787" y="3113410"/>
                          <a:chExt cx="10925070" cy="474691"/>
                        </a:xfrm>
                      </wpg:grpSpPr>
                      <wps:wsp>
                        <wps:cNvPr id="5" name="MH_Others_4"/>
                        <wps:cNvCnPr/>
                        <wps:spPr>
                          <a:xfrm rot="1020000">
                            <a:off x="2874791" y="3204403"/>
                            <a:ext cx="0" cy="264071"/>
                          </a:xfrm>
                          <a:prstGeom prst="line">
                            <a:avLst/>
                          </a:prstGeom>
                          <a:ln w="19050" cap="flat" cmpd="sng">
                            <a:solidFill>
                              <a:srgbClr val="000000"/>
                            </a:solidFill>
                            <a:prstDash val="solid"/>
                            <a:miter/>
                            <a:headEnd type="none" w="med" len="med"/>
                            <a:tailEnd type="none" w="med" len="med"/>
                          </a:ln>
                        </wps:spPr>
                        <wps:bodyPr upright="1"/>
                      </wps:wsp>
                      <wps:wsp>
                        <wps:cNvPr id="6" name="MH_Entry_2"/>
                        <wps:cNvSpPr/>
                        <wps:spPr>
                          <a:xfrm>
                            <a:off x="3410795" y="3147135"/>
                            <a:ext cx="8986062" cy="398969"/>
                          </a:xfrm>
                          <a:prstGeom prst="rect">
                            <a:avLst/>
                          </a:prstGeom>
                          <a:noFill/>
                          <a:ln>
                            <a:noFill/>
                          </a:ln>
                        </wps:spPr>
                        <wps:txbx>
                          <w:txbxContent>
                            <w:p>
                              <w:pPr>
                                <w:rPr>
                                  <w:rFonts w:hint="eastAsia" w:ascii="宋体" w:hAnsi="宋体" w:eastAsia="宋体" w:cs="宋体"/>
                                  <w:b/>
                                  <w:color w:val="000000" w:themeColor="text1"/>
                                  <w:kern w:val="24"/>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投资性房地产的后续计量</w:t>
                              </w:r>
                            </w:p>
                          </w:txbxContent>
                        </wps:txbx>
                        <wps:bodyPr vert="horz" lIns="180000" tIns="0" rIns="0" bIns="0" anchor="ctr" upright="1"/>
                      </wps:wsp>
                      <wps:wsp>
                        <wps:cNvPr id="7" name="MH_Number_2"/>
                        <wps:cNvSpPr/>
                        <wps:spPr>
                          <a:xfrm>
                            <a:off x="1471787" y="3113410"/>
                            <a:ext cx="730331" cy="474691"/>
                          </a:xfrm>
                          <a:prstGeom prst="rect">
                            <a:avLst/>
                          </a:prstGeom>
                          <a:noFill/>
                          <a:ln w="12700">
                            <a:noFill/>
                          </a:ln>
                        </wps:spPr>
                        <wps:txbx>
                          <w:txbxContent>
                            <w:p>
                              <w:pPr>
                                <w:pStyle w:val="4"/>
                                <w:kinsoku/>
                                <w:ind w:lef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03</w:t>
                              </w:r>
                            </w:p>
                          </w:txbxContent>
                        </wps:txbx>
                        <wps:bodyPr vert="horz" wrap="none" lIns="0" tIns="0" rIns="0" bIns="0" anchor="ctr" upright="1"/>
                      </wps:wsp>
                    </wpg:wgp>
                  </a:graphicData>
                </a:graphic>
              </wp:inline>
            </w:drawing>
          </mc:Choice>
          <mc:Fallback>
            <w:pict>
              <v:group id="组合 15" o:spid="_x0000_s1026" o:spt="203" style="height:37.3pt;width:255.8pt;" coordorigin="1471787,3113410" coordsize="10925070,474691" o:gfxdata="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E9Qtw7WAAAABAEAAA8AAAAAAAAAAQAgAAAAIgAAAGRycy9k&#10;b3ducmV2LnhtbFBLAQIUABQAAAAIAIdO4kD5FSDjIQMAAGkIAAAOAAAAAAAAAAEAIAAAACUBAABk&#10;cnMvZTJvRG9jLnhtbFBLBQYAAAAABgAGAFkBAAC4BgAAAAA=&#10;">
                <o:lock v:ext="edit" aspectratio="f"/>
                <v:line id="MH_Others_4" o:spid="_x0000_s1026" o:spt="20" style="position:absolute;left:2874791;top:3204403;height:264071;width:0;rotation:1114112f;" filled="f" stroked="t" coordsize="21600,21600" o:gfxdata="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JNTjvQAA&#10;ANoAAAAPAAAAAAAAAAEAIAAAACIAAABkcnMvZG93bnJldi54bWxQSwECFAAUAAAACACHTuJAMy8F&#10;njsAAAA5AAAAEAAAAAAAAAABACAAAAAMAQAAZHJzL3NoYXBleG1sLnhtbFBLBQYAAAAABgAGAFsB&#10;AAC2AwAAAAA=&#10;">
                  <v:fill on="f" focussize="0,0"/>
                  <v:stroke weight="1.5pt" color="#000000" joinstyle="miter"/>
                  <v:imagedata o:title=""/>
                  <o:lock v:ext="edit" aspectratio="f"/>
                </v:line>
                <v:rect id="MH_Entry_2" o:spid="_x0000_s1026" o:spt="1" style="position:absolute;left:3410795;top:3147135;height:398969;width:8986062;v-text-anchor:middle;" filled="f" stroked="f" coordsize="21600,21600" o:gfxdata="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z6Ry8AAAA&#10;2gAAAA8AAAAAAAAAAQAgAAAAIgAAAGRycy9kb3ducmV2LnhtbFBLAQIUABQAAAAIAIdO4kAzLwWe&#10;OwAAADkAAAAQAAAAAAAAAAEAIAAAAAsBAABkcnMvc2hhcGV4bWwueG1sUEsFBgAAAAAGAAYAWwEA&#10;ALUDAAAAAA==&#10;">
                  <v:fill on="f" focussize="0,0"/>
                  <v:stroke on="f"/>
                  <v:imagedata o:title=""/>
                  <o:lock v:ext="edit" aspectratio="f"/>
                  <v:textbox inset="5mm,0mm,0mm,0mm">
                    <w:txbxContent>
                      <w:p>
                        <w:pPr>
                          <w:rPr>
                            <w:rFonts w:hint="eastAsia" w:ascii="宋体" w:hAnsi="宋体" w:eastAsia="宋体" w:cs="宋体"/>
                            <w:b/>
                            <w:color w:val="000000" w:themeColor="text1"/>
                            <w:kern w:val="24"/>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投资性房地产的后续计量</w:t>
                        </w:r>
                      </w:p>
                    </w:txbxContent>
                  </v:textbox>
                </v:rect>
                <v:rect id="MH_Number_2" o:spid="_x0000_s1026" o:spt="1" style="position:absolute;left:1471787;top:3113410;height:474691;width:730331;mso-wrap-style:none;v-text-anchor:middle;" filled="f" stroked="f" coordsize="21600,21600" o:gfxdata="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9AtG8AAAA&#10;2gAAAA8AAAAAAAAAAQAgAAAAIgAAAGRycy9kb3ducmV2LnhtbFBLAQIUABQAAAAIAIdO4kAzLwWe&#10;OwAAADkAAAAQAAAAAAAAAAEAIAAAAAsBAABkcnMvc2hhcGV4bWwueG1sUEsFBgAAAAAGAAYAWwEA&#10;ALUDAAAAAA==&#10;">
                  <v:fill on="f" focussize="0,0"/>
                  <v:stroke on="f" weight="1pt"/>
                  <v:imagedata o:title=""/>
                  <o:lock v:ext="edit" aspectratio="f"/>
                  <v:textbox inset="0mm,0mm,0mm,0mm">
                    <w:txbxContent>
                      <w:p>
                        <w:pPr>
                          <w:pStyle w:val="4"/>
                          <w:kinsoku/>
                          <w:ind w:left="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kern w:val="24"/>
                            <w:sz w:val="32"/>
                            <w:szCs w:val="32"/>
                            <w14:textFill>
                              <w14:solidFill>
                                <w14:schemeClr w14:val="tx1"/>
                              </w14:solidFill>
                            </w14:textFill>
                          </w:rPr>
                          <w:t>03</w:t>
                        </w:r>
                      </w:p>
                    </w:txbxContent>
                  </v:textbox>
                </v:rect>
                <w10:wrap type="none"/>
                <w10:anchorlock/>
              </v:group>
            </w:pict>
          </mc:Fallback>
        </mc:AlternateContent>
      </w:r>
    </w:p>
    <w:p>
      <w:pPr>
        <w:overflowPunct/>
        <w:ind w:firstLine="1606" w:firstLineChars="500"/>
        <w:jc w:val="both"/>
        <w:textAlignment w:val="auto"/>
        <w:rPr>
          <w:rFonts w:hint="eastAsia" w:ascii="宋体" w:hAnsi="宋体" w:eastAsia="宋体" w:cs="宋体"/>
          <w:b/>
          <w:bCs/>
          <w:sz w:val="32"/>
          <w:szCs w:val="32"/>
          <w:lang w:eastAsia="zh-CN"/>
        </w:rPr>
      </w:pPr>
      <w:r>
        <w:rPr>
          <w:rFonts w:hint="eastAsia" w:ascii="宋体" w:hAnsi="宋体" w:cs="宋体"/>
          <w:b/>
          <w:bCs/>
          <w:sz w:val="32"/>
          <w:szCs w:val="32"/>
          <w:lang w:val="en-US" w:eastAsia="zh-CN"/>
        </w:rPr>
        <w:t xml:space="preserve">04 /   </w:t>
      </w:r>
      <w:r>
        <w:rPr>
          <w:rFonts w:hint="eastAsia" w:ascii="宋体" w:hAnsi="宋体" w:eastAsia="宋体" w:cs="宋体"/>
          <w:b/>
          <w:bCs/>
          <w:sz w:val="32"/>
          <w:szCs w:val="32"/>
          <w:lang w:eastAsia="zh-CN"/>
        </w:rPr>
        <w:t>投资性房地产的转换与处置</w:t>
      </w:r>
    </w:p>
    <w:p>
      <w:pPr>
        <w:overflowPunct/>
        <w:ind w:firstLine="1606" w:firstLineChars="500"/>
        <w:jc w:val="both"/>
        <w:textAlignment w:val="auto"/>
        <w:rPr>
          <w:rFonts w:hint="eastAsia" w:ascii="宋体" w:hAnsi="宋体" w:eastAsia="宋体" w:cs="宋体"/>
          <w:b/>
          <w:bCs/>
          <w:sz w:val="32"/>
          <w:szCs w:val="32"/>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【本章考情分析】</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本章内容在考试中所占分值不多，一般以单选题、多选题、判断题等客观题进行考核。</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30"/>
          <w:szCs w:val="30"/>
          <w:u w:val="none"/>
          <w:lang w:eastAsia="zh-CN"/>
        </w:rPr>
        <w:t>第一节　投资性房地产概述</w:t>
      </w: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3932555" cy="575945"/>
                <wp:effectExtent l="4445" t="0" r="0" b="0"/>
                <wp:docPr id="24" name="组合 19"/>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22"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投资性房地产的特征</w:t>
                              </w:r>
                            </w:p>
                          </w:txbxContent>
                        </wps:txbx>
                        <wps:bodyPr vert="horz" wrap="square" anchor="ctr" upright="1"/>
                      </wps:wsp>
                      <wps:wsp>
                        <wps:cNvPr id="23"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19"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Coq0AtYAAAAEAQAADwAAAAAAAAABACAAAAAiAAAA&#10;ZHJzL2Rvd25yZXYueG1sUEsBAhQAFAAAAAgAh07iQDASET18BAAAjBAAAA4AAAAAAAAAAQAgAAAA&#10;JQEAAGRycy9lMm9Eb2MueG1sUEsFBgAAAAAGAAYAWQEAABMIA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5vUPeroAAADb&#10;AAAADwAAAGRycy9kb3ducmV2LnhtbEWPwarCMBRE94L/EK7gRjSxC31UowtBENGF+j7g2lybYnNT&#10;mlj1782DBy6HmTnDLNcvV4uO2lB51jCdKBDEhTcVlxp+L9vxD4gQkQ3WnknDmwKsV/3eEnPjn3yi&#10;7hxLkSAcctRgY2xyKUNhyWGY+IY4eTffOoxJtqU0LT4T3NUyU2omHVacFiw2tLFU3M8Pp2FkG3U8&#10;3HbXrZkV9r4POHfdXuvhYKoWICK94jf8394ZDVkGf1/SD5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9Q96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投资性房地产的特征</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3/Dmfr0AAADb&#10;AAAADwAAAGRycy9kb3ducmV2LnhtbEWPQWsCMRSE74X+h/AEbzWrgpStUdDSolAKu/XQ4+vmuRvc&#10;vIQkuvrvTaHQ4zAz3zDL9dX24kIhGscKppMCBHHjtOFWweHr7ekZREzIGnvHpOBGEdarx4clltoN&#10;XNGlTq3IEI4lKuhS8qWUsenIYpw4T5y9owsWU5ahlTrgkOG2l7OiWEiLhvNCh562HTWn+mwVvP6c&#10;P/fDsTbm/VBVYbHx7uPbKzUeTYsXEImu6T/8195pBbM5/H7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8OZ+vQAA&#10;ANsAAAAPAAAAAAAAAAEAIAAAACIAAABkcnMvZG93bnJldi54bWxQSwECFAAUAAAACACHTuJAMy8F&#10;njsAAAA5AAAAEAAAAAAAAAABACAAAAAMAQAAZHJzL3NoYXBleG1sLnhtbFBLBQYAAAAABgAGAFsB&#10;AAC2Aw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center"/>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g">
            <w:drawing>
              <wp:inline distT="0" distB="0" distL="114300" distR="114300">
                <wp:extent cx="3932555" cy="575945"/>
                <wp:effectExtent l="4445" t="0" r="0" b="0"/>
                <wp:docPr id="27" name="组合 8"/>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25"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投资性房地产的范围</w:t>
                              </w:r>
                            </w:p>
                          </w:txbxContent>
                        </wps:txbx>
                        <wps:bodyPr vert="horz" wrap="square" anchor="ctr" upright="1"/>
                      </wps:wsp>
                      <wps:wsp>
                        <wps:cNvPr id="26"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AKirQC1gAAAAQBAAAPAAAAAAAAAAEAIAAAACIAAABkcnMvZG93&#10;bnJldi54bWxQSwECFAAUAAAACACHTuJAbLVHgXUEAACLEAAADgAAAAAAAAABACAAAAAlAQAAZHJz&#10;L2Uyb0RvYy54bWxQSwUGAAAAAAYABgBZAQAADAg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aRyXDr0AAADb&#10;AAAADwAAAGRycy9kb3ducmV2LnhtbEWPQWvCQBSE7wX/w/IEL0V3FZpKdPUgCBLaQ7U/4Jl9ZoPZ&#10;tyG7JvHfdwuFHoeZ+YbZ7kfXiJ66UHvWsFwoEMSlNzVXGr4vx/kaRIjIBhvPpOFJAfa7ycsWc+MH&#10;/qL+HCuRIBxy1GBjbHMpQ2nJYVj4ljh5N985jEl2lTQdDgnuGrlSKpMOa04LFls6WCrv54fT8Gpb&#10;9flxO12PJivtvQj47vpC69l0qTYgIo3xP/zXPhkNqzf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HJc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投资性房地产的范围</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z4dF5r0AAADb&#10;AAAADwAAAGRycy9kb3ducmV2LnhtbEWPQWsCMRSE70L/Q3iF3jSrh6VsjUJbKhaKsKuHHl83z93Q&#10;zUtIomv/vSkIHoeZ+YZZri92EGcK0ThWMJ8VIIhbpw13Cg77j+kziJiQNQ6OScEfRVivHiZLrLQb&#10;uaZzkzqRIRwrVNCn5CspY9uTxThznjh7RxcspixDJ3XAMcPtIBdFUUqLhvNCj57eemp/m5NV8P5z&#10;2n2Ox8aYzaGuQ/nq3de3V+rpcV68gEh0Sffwrb3VChYl/H/JP0C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h0XmvQAA&#10;ANsAAAAPAAAAAAAAAAEAIAAAACIAAABkcnMvZG93bnJldi54bWxQSwECFAAUAAAACACHTuJAMy8F&#10;njsAAAA5AAAAEAAAAAAAAAABACAAAAAMAQAAZHJzL3NoYXBleG1sLnhtbFBLBQYAAAAABgAGAFsB&#10;AAC2Aw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both"/>
        <w:textAlignment w:val="auto"/>
        <w:rPr>
          <w:rFonts w:hint="eastAsia" w:ascii="宋体" w:hAnsi="宋体" w:eastAsia="宋体" w:cs="宋体"/>
          <w:sz w:val="21"/>
          <w:szCs w:val="21"/>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一、投资性房地产的定义与特征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1.定义</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投资性房地产是指为赚取租金或资本增值，或两者兼有而持有的房地产；投资性房地产应当能够单独计量和出售。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2.特征</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①投资性房地产是一种经营性活动；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②投资性房地产在用途、状态、目的等方面区别于作为生产经营场所的房地产和用于销售的房地产。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二、投资性房地产的范围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（一）属于投资性房地产的项目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1.已出租的土地使用权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企业通过出让或转让方式取得的、以租赁方式出租的土地使用权；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①计划用于出租但尚未出租的土地使用权，不属于投资性房地产；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②租入再转租给其他单位的土地使用权不属于投资性房地产。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2.持有并准备增值后转让的土地使用权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企业通过出让或转让方式取得并准备增值后转让的土地使用权。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按照国家有关规定认定的闲置土地，不属于投资性房地产。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3.已出租的建筑物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企业拥有产权并出租的建筑物。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①企业租入再转租给其他单位的建筑物不属于投资性房地产；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②已经出租的建筑物，是企业已经与其他方签订了租赁协议，约定出租的建筑物，一般应自租赁协议规定的租赁开始日起，租出的建筑物才作为已出租的建筑物；</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③企业将建筑物出租，按租赁协议向承租人提供的相关辅助服务在整个协议中不重大的，如企业将办公楼出租并向承租人提供保安、维修等辅助服务，应当将该建筑物确认为投资性房地产。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（二）不属于投资性房地产的项目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1.自用房地产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为生产商品、提供劳务或者经营管理而持有的房地产。（固定资产、无形资产）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2.作为存货的房地产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房地产开发企业在正常经营过程中销售的或为销售而正在开发的商品房和土地。</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①持有并准备增值后转让的房屋建筑物不属于投资性房地产。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②企业拥有并自行经营的旅馆，其持有目的主要是通过提供客房服务赚取服务收入，该旅馆不确认为投资性房地产。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③企业出租给本企业职工居住的宿舍，即使按照市场价格收取租金，这部分房产间接为企业自身的生产经营服务，不属于投资性房地产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④某项房地产，部分用于赚取租金或资本增值，部分自用，能够单独计量和出售的、用于赚取租金或资本增值的部分，应当确认为投资性房地产；不能够单独计量和出售的、用于赚取租金或资本增值的部分，不确认为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该项房地产自用的部分，以及不能单独计量和出售的、用于赚取租金或资本增值的部分，应当确认为固定资产或无形资产。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⑤通常情况下，对企业持有以备出租的空置建筑物或在建建筑物，如董事会或类似机构作出书面决议，明确表明将其用于出租且持有意图短期内不再发生变化的，即使尚未签订租赁协议，也应视为投资性房地产。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 2018年5月10日，甲公司与乙公司签订了一项租赁合同，约定自2018年6月1日起，甲公司以年租金8000000元租赁使用乙公司拥有的一块400000平方米的场地，租赁期为8年。</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2018年7月1日，甲公司又将这块场地转租给丙公司，以赚取租金差价，租赁期为5年。以上交易假设不违反国家有关规定。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【答案】对于甲公司而言，这项土地使用权不能予以确认，也不属于其投资性房地产。对于乙公司而言，自租赁期开始日（2018年6月1日）起，这项土地使用权属于投资性房地产。</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【例题￭多选题】下列各项中，属于投资性房地产的有（　）。</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A.企业拥有并自行经营的饭店</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B.企业以租赁方式租出的写字楼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C.房地产开发企业正在开发的商品房</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D.企业持有拟增值后转让的土地使用权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【答案】BD</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【解析】选项A属于企业的固定资产；选项C属于企业的存货。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43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内容</w:t>
            </w:r>
          </w:p>
        </w:tc>
        <w:tc>
          <w:tcPr>
            <w:tcW w:w="2841"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土地使用权</w:t>
            </w:r>
          </w:p>
        </w:tc>
        <w:tc>
          <w:tcPr>
            <w:tcW w:w="435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已出租的</w:t>
            </w:r>
          </w:p>
        </w:tc>
        <w:tc>
          <w:tcPr>
            <w:tcW w:w="2841" w:type="dxa"/>
            <w:vMerge w:val="restart"/>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35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准备增值后转让的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35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计划出租未出租的</w:t>
            </w:r>
          </w:p>
        </w:tc>
        <w:tc>
          <w:tcPr>
            <w:tcW w:w="2841" w:type="dxa"/>
            <w:vMerge w:val="restart"/>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不属于投资性房地产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35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转租的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35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自用的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35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闲置土地</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bl>
    <w:p>
      <w:pPr>
        <w:overflowPunct/>
        <w:jc w:val="left"/>
        <w:textAlignment w:val="auto"/>
        <w:rPr>
          <w:rFonts w:hint="eastAsia" w:ascii="宋体" w:hAnsi="宋体" w:eastAsia="宋体" w:cs="宋体"/>
          <w:b w:val="0"/>
          <w:i w:val="0"/>
          <w:shadow w:val="0"/>
          <w:emboss w:val="0"/>
          <w:sz w:val="21"/>
          <w:szCs w:val="21"/>
          <w:u w:val="none"/>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480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内容</w:t>
            </w:r>
          </w:p>
        </w:tc>
        <w:tc>
          <w:tcPr>
            <w:tcW w:w="2841"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rPr>
              <w:t>建筑物</w:t>
            </w: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已出租的</w:t>
            </w:r>
          </w:p>
        </w:tc>
        <w:tc>
          <w:tcPr>
            <w:tcW w:w="2841" w:type="dxa"/>
            <w:vMerge w:val="restart"/>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rPr>
              <w:t>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相关辅助服务不重大的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董事会明确表明将其用于出租且持有意图短期内不再发生变化的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自用的</w:t>
            </w:r>
          </w:p>
        </w:tc>
        <w:tc>
          <w:tcPr>
            <w:tcW w:w="2841" w:type="dxa"/>
            <w:vMerge w:val="restart"/>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rPr>
              <w:t>不属于投资性房地产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转租的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持有准备增值后转让的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自行经营的旅馆</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出租给本企业职工的宿舍</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c>
          <w:tcPr>
            <w:tcW w:w="4803" w:type="dxa"/>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不能单独计量的</w:t>
            </w:r>
          </w:p>
        </w:tc>
        <w:tc>
          <w:tcPr>
            <w:tcW w:w="2841" w:type="dxa"/>
            <w:vMerge w:val="continue"/>
            <w:vAlign w:val="center"/>
          </w:tcPr>
          <w:p>
            <w:pPr>
              <w:overflowPunct/>
              <w:jc w:val="center"/>
              <w:textAlignment w:val="auto"/>
              <w:rPr>
                <w:rFonts w:hint="eastAsia" w:ascii="宋体" w:hAnsi="宋体" w:eastAsia="宋体" w:cs="宋体"/>
                <w:b w:val="0"/>
                <w:i w:val="0"/>
                <w:shadow w:val="0"/>
                <w:emboss w:val="0"/>
                <w:sz w:val="21"/>
                <w:szCs w:val="21"/>
                <w:u w:val="none"/>
                <w:vertAlign w:val="baseline"/>
                <w:lang w:eastAsia="zh-CN"/>
              </w:rPr>
            </w:pP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ind w:left="2100" w:leftChars="1000" w:firstLine="0" w:firstLineChars="0"/>
        <w:jc w:val="center"/>
        <w:textAlignment w:val="auto"/>
        <w:rPr>
          <w:rFonts w:hint="eastAsia" w:ascii="宋体" w:hAnsi="宋体" w:eastAsia="宋体" w:cs="宋体"/>
          <w:sz w:val="32"/>
          <w:szCs w:val="32"/>
        </w:rPr>
      </w:pPr>
      <w:r>
        <w:rPr>
          <w:rFonts w:hint="eastAsia" w:ascii="宋体" w:hAnsi="宋体" w:eastAsia="宋体" w:cs="宋体"/>
          <w:b w:val="0"/>
          <w:i w:val="0"/>
          <w:shadow w:val="0"/>
          <w:emboss w:val="0"/>
          <w:sz w:val="32"/>
          <w:szCs w:val="32"/>
          <w:u w:val="none"/>
          <w:lang w:eastAsia="zh-CN"/>
        </w:rPr>
        <w:t>第二节　投资性房地产的确认与初始计量</w:t>
      </w:r>
    </w:p>
    <w:p>
      <w:pPr>
        <w:overflowPunct/>
        <w:jc w:val="both"/>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349625" cy="504190"/>
                <wp:effectExtent l="4445" t="0" r="0" b="12065"/>
                <wp:docPr id="49" name="组合 8"/>
                <wp:cNvGraphicFramePr/>
                <a:graphic xmlns:a="http://schemas.openxmlformats.org/drawingml/2006/main">
                  <a:graphicData uri="http://schemas.microsoft.com/office/word/2010/wordprocessingGroup">
                    <wpg:wgp>
                      <wpg:cNvGrpSpPr/>
                      <wpg:grpSpPr>
                        <a:xfrm>
                          <a:off x="0" y="0"/>
                          <a:ext cx="3349625" cy="504190"/>
                          <a:chOff x="2467950" y="3567113"/>
                          <a:chExt cx="2915708" cy="504511"/>
                        </a:xfrm>
                      </wpg:grpSpPr>
                      <wps:wsp>
                        <wps:cNvPr id="40" name="MH_SubTitle_2"/>
                        <wps:cNvSpPr txBox="1"/>
                        <wps:spPr>
                          <a:xfrm>
                            <a:off x="2971800" y="3567113"/>
                            <a:ext cx="2411858" cy="504511"/>
                          </a:xfrm>
                          <a:prstGeom prst="rect">
                            <a:avLst/>
                          </a:prstGeom>
                          <a:noFill/>
                          <a:ln>
                            <a:noFill/>
                          </a:ln>
                        </wps:spPr>
                        <wps:txb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投资性房地产的确认条件和初始计量</w:t>
                              </w:r>
                            </w:p>
                          </w:txbxContent>
                        </wps:txbx>
                        <wps:bodyPr vert="horz" wrap="square" anchor="ctr" upright="1"/>
                      </wps:wsp>
                      <wps:wsp>
                        <wps:cNvPr id="41"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39.7pt;width:263.75pt;" coordorigin="2467950,3567113" coordsize="2915708,504511" o:gfxdata="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PIYct/WAAAABAEAAA8AAAAAAAAAAQAgAAAA&#10;IgAAAGRycy9kb3ducmV2LnhtbFBLAQIUABQAAAAIAIdO4kCsYiKYgAQAAIsQAAAOAAAAAAAAAAEA&#10;IAAAACUBAABkcnMvZTJvRG9jLnhtbFBLBQYAAAAABgAGAFkBAAAXCAAAAAA=&#10;">
                <o:lock v:ext="edit" aspectratio="f"/>
                <v:shape id="MH_SubTitle_2" o:spid="_x0000_s1026" o:spt="202" type="#_x0000_t202" style="position:absolute;left:2971800;top:3567113;height:504511;width:2411858;v-text-anchor:middle;" filled="f" stroked="f" coordsize="21600,21600" o:gfxdata="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S00T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投资性房地产的确认条件和初始计量</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nbE4Mr4AAADb&#10;AAAADwAAAGRycy9kb3ducmV2LnhtbEWPUUvDMBSF3wf+h3AF37a0IkPq0oGKoiBCuz34eG1u22Bz&#10;E5Js3f79Igg+Hs453+Fstic7iSOFaBwrKFcFCOLOacODgv3uZXkPIiZkjZNjUnCmCNv6arHBSruZ&#10;Gzq2aRAZwrFCBWNKvpIydiNZjCvnibPXu2AxZRkGqQPOGW4neVsUa2nRcF4Y0dPTSN1Pe7AKnr8P&#10;n+9z3xrzum+asH707uPLK3VzXRYPIBKd0n/4r/2mFdyV8Psl/wBZX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4Mr4A&#10;AADbAAAADwAAAAAAAAABACAAAAAiAAAAZHJzL2Rvd25yZXYueG1sUEsBAhQAFAAAAAgAh07iQDMv&#10;BZ47AAAAOQAAABAAAAAAAAAAAQAgAAAADQEAAGRycy9zaGFwZXhtbC54bWxQSwUGAAAAAAYABgBb&#10;AQAAtw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350895" cy="479425"/>
                <wp:effectExtent l="4445" t="0" r="0" b="16510"/>
                <wp:docPr id="45" name="组合 11"/>
                <wp:cNvGraphicFramePr/>
                <a:graphic xmlns:a="http://schemas.openxmlformats.org/drawingml/2006/main">
                  <a:graphicData uri="http://schemas.microsoft.com/office/word/2010/wordprocessingGroup">
                    <wpg:wgp>
                      <wpg:cNvGrpSpPr/>
                      <wpg:grpSpPr>
                        <a:xfrm>
                          <a:off x="0" y="0"/>
                          <a:ext cx="3350895" cy="479425"/>
                          <a:chOff x="2412719" y="3567113"/>
                          <a:chExt cx="4026034" cy="576262"/>
                        </a:xfrm>
                      </wpg:grpSpPr>
                      <wps:wsp>
                        <wps:cNvPr id="43" name="MH_SubTitle_2"/>
                        <wps:cNvSpPr txBox="1"/>
                        <wps:spPr>
                          <a:xfrm>
                            <a:off x="2971954" y="3567113"/>
                            <a:ext cx="3466799" cy="576262"/>
                          </a:xfrm>
                          <a:prstGeom prst="rect">
                            <a:avLst/>
                          </a:prstGeom>
                          <a:noFill/>
                          <a:ln>
                            <a:noFill/>
                          </a:ln>
                        </wps:spPr>
                        <wps:txb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与投资性房地有关的后续支出</w:t>
                              </w:r>
                            </w:p>
                          </w:txbxContent>
                        </wps:txbx>
                        <wps:bodyPr vert="horz" wrap="square" anchor="ctr" upright="1"/>
                      </wps:wsp>
                      <wps:wsp>
                        <wps:cNvPr id="44" name="MH_Other_5"/>
                        <wps:cNvSpPr>
                          <a:spLocks noEditPoints="1"/>
                        </wps:cNvSpPr>
                        <wps:spPr>
                          <a:xfrm rot="5400000">
                            <a:off x="2412631" y="3675334"/>
                            <a:ext cx="415406" cy="41523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11" o:spid="_x0000_s1026" o:spt="203" style="height:37.75pt;width:263.85pt;" coordorigin="2412719,3567113" coordsize="4026034,576262" o:gfxdata="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">
                <o:lock v:ext="edit" aspectratio="f"/>
                <v:shape id="MH_SubTitle_2" o:spid="_x0000_s1026" o:spt="202" type="#_x0000_t202" style="position:absolute;left:2971954;top:3567113;height:576262;width:3466799;v-text-anchor:middle;" filled="f" stroked="f" coordsize="21600,21600" o:gfxdata="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k9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color w:val="000000" w:themeColor="text1"/>
                            <w:kern w:val="24"/>
                            <w:sz w:val="30"/>
                            <w:szCs w:val="30"/>
                            <w14:textFill>
                              <w14:solidFill>
                                <w14:schemeClr w14:val="tx1"/>
                              </w14:solidFill>
                            </w14:textFill>
                          </w:rPr>
                        </w:pPr>
                        <w:r>
                          <w:rPr>
                            <w:rFonts w:hint="eastAsia" w:ascii="宋体" w:hAnsi="宋体" w:eastAsia="宋体" w:cs="宋体"/>
                            <w:color w:val="000000" w:themeColor="text1"/>
                            <w:kern w:val="24"/>
                            <w:sz w:val="30"/>
                            <w:szCs w:val="30"/>
                            <w14:textFill>
                              <w14:solidFill>
                                <w14:schemeClr w14:val="tx1"/>
                              </w14:solidFill>
                            </w14:textFill>
                          </w:rPr>
                          <w:t>与投资性房地有关的后续支出</w:t>
                        </w:r>
                      </w:p>
                    </w:txbxContent>
                  </v:textbox>
                </v:shape>
                <v:shape id="MH_Other_5" o:spid="_x0000_s1026" o:spt="100" style="position:absolute;left:2412631;top:3675334;height:415230;width:415406;rotation:5898240f;" fillcolor="#000000" filled="t" stroked="t" coordsize="115,105" o:gfxdata="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puqvQAA&#10;ANsAAAAPAAAAAAAAAAEAIAAAACIAAABkcnMvZG93bnJldi54bWxQSwECFAAUAAAACACHTuJAMy8F&#10;njsAAAA5AAAAEAAAAAAAAAABACAAAAAMAQAAZHJzL3NoYXBleG1sLnhtbFBLBQYAAAAABgAGAFsB&#10;AAC2Aw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一、投资性房地产的确认条件与初始计量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投资性房地产只有在符合定义，并同时满足下列条件时，才能予以确认：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①与该投资性房地产相关的经济利益很可能流入企业；</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②该投资性房地产的成本能够可靠地计量。</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（一）外购投资性房地产的确认条件和初始计量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企业外购的房地产，只有在购入时同时开始对外出租或用于资本增值，才作为投资性房地产确认；</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企业购入房地产，自用一段时间之后再改为出租或用于资本增值的，应当先将外购的房地产确认为固定资产或无形资产，自租赁期开始日或用于资本增值之日起，再从固定资产或无形资产转换为投资性房地产。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2.初始计量（历史成本）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外购投资性房地产的成本包括购买价款、相关税费和可直接归属于该资产的其他支出。</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（二）自行建造的投资性房地产的确认条件和初始计量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1.确认条件</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只有在自行建造活动完成（达到预定可使用状态）的同时对外出租或用于资本增值，才确认为投资性房地产；</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2.初始计量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按建造该资产达到预定可使用状态前所发生的必要支出包括土地开发费、建筑成本、安装成本、应予资本化的借款费用、支付的其他费用和分摊的间接费用等作为入账价值。</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【提示】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①自行建造的投资性房地产，相关土地使用权在建造期间的摊销额应计入所建造的投资性房地产的成本；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②建造过程中发生的非正常损失，计入当期损益，不计入投资性房地产的成本。</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3816"/>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3816"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成本模式</w:t>
            </w:r>
          </w:p>
        </w:tc>
        <w:tc>
          <w:tcPr>
            <w:tcW w:w="357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公允价值模式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科目设置</w:t>
            </w:r>
          </w:p>
        </w:tc>
        <w:tc>
          <w:tcPr>
            <w:tcW w:w="3816"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①投资性房地产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②投资性房地产累计折旧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③投资性房地产累计摊销</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④投资性房地产减值准备</w:t>
            </w:r>
          </w:p>
        </w:tc>
        <w:tc>
          <w:tcPr>
            <w:tcW w:w="357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投资性房地产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—公允价值变动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外购</w:t>
            </w:r>
          </w:p>
        </w:tc>
        <w:tc>
          <w:tcPr>
            <w:tcW w:w="3816"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应交税费—增（进）</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贷：银行存款</w:t>
            </w:r>
          </w:p>
        </w:tc>
        <w:tc>
          <w:tcPr>
            <w:tcW w:w="357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应交税费—增（进）</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自建</w:t>
            </w:r>
          </w:p>
        </w:tc>
        <w:tc>
          <w:tcPr>
            <w:tcW w:w="3816"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贷：在建工程、开发成本</w:t>
            </w:r>
          </w:p>
        </w:tc>
        <w:tc>
          <w:tcPr>
            <w:tcW w:w="3578"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贷：在建工程、开发成本</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 2018年2月，甲公司从其他单位购入一块使用期限为50年的土地，并在这块土地上开始自行建造两栋厂房，2018年11月，甲公司预计厂房即将完工，与乙公司签订了租赁合同，将其中的一栋厂房租赁给乙公司使用。</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租赁合同约定，该厂房于完工时开始起租，2018年12月5日，两栋厂房同时完工。该块土地使用权的成本为900万元，至2018年12月5日，土地使用权已经摊销16.5万元。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两栋厂房的实际造价均为1200万元，能够单独出售，假定两栋厂房分别占用这块土地的一半面积，并且以占用的土地面积作为土地使用权的划分依据。</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假设甲公司采用成本模式进行后续计量。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由于甲公司在购入的土地上建造的两栋厂房中，其中的一栋用于出租，因此应当将土地使用权中的对应部分同时转换为投资性房地产，900×1/2=450万元。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【答案】</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甲公司的账务处理如下：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借：固定资产—厂房　1200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投资性房地产—厂房　1200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贷：在建工程—厂房　2400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借：投资性房地产—已出租土地使用权　450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累计摊销　8.25（16.5÷2）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贷：无形资产—土地使用权　450（900÷2）</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投资性房地产累计摊销　8.25（16.5÷2）</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二、与投资性房地产有关的后续支出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1.满足投资性房地产确认条件的，应当计入投资性房地产成本</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2.不满足投资性房地产确认条件的，应当在发生时计入当期损益。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3417"/>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p>
        </w:tc>
        <w:tc>
          <w:tcPr>
            <w:tcW w:w="3417"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成本模式</w:t>
            </w:r>
          </w:p>
        </w:tc>
        <w:tc>
          <w:tcPr>
            <w:tcW w:w="3144"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公允价值模式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账面价值转入在建</w:t>
            </w:r>
          </w:p>
        </w:tc>
        <w:tc>
          <w:tcPr>
            <w:tcW w:w="3417"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借：投资性房地产—在建</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投资性房地产折旧/摊销/减值</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贷：投资性房地产</w:t>
            </w:r>
          </w:p>
        </w:tc>
        <w:tc>
          <w:tcPr>
            <w:tcW w:w="3144"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借：投资性房地产—在建</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贷：投资性房地产—成本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w:t>
            </w:r>
            <w:r>
              <w:rPr>
                <w:rFonts w:hint="eastAsia" w:ascii="宋体" w:hAnsi="宋体" w:cs="宋体"/>
                <w:b w:val="0"/>
                <w:i w:val="0"/>
                <w:shadow w:val="0"/>
                <w:emboss w:val="0"/>
                <w:sz w:val="21"/>
                <w:szCs w:val="21"/>
                <w:u w:val="none"/>
                <w:vertAlign w:val="baseline"/>
                <w:lang w:val="en-US" w:eastAsia="zh-CN"/>
              </w:rPr>
              <w:t xml:space="preserve">  </w:t>
            </w:r>
            <w:r>
              <w:rPr>
                <w:rFonts w:hint="eastAsia" w:ascii="宋体" w:hAnsi="宋体" w:eastAsia="宋体" w:cs="宋体"/>
                <w:b w:val="0"/>
                <w:i w:val="0"/>
                <w:shadow w:val="0"/>
                <w:emboss w:val="0"/>
                <w:sz w:val="21"/>
                <w:szCs w:val="21"/>
                <w:u w:val="none"/>
                <w:vertAlign w:val="baseline"/>
                <w:lang w:eastAsia="zh-CN"/>
              </w:rPr>
              <w:t>—公变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发生后续支出</w:t>
            </w:r>
          </w:p>
        </w:tc>
        <w:tc>
          <w:tcPr>
            <w:tcW w:w="3417"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借：投资性房地产—在建</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贷：银行存款等</w:t>
            </w:r>
          </w:p>
        </w:tc>
        <w:tc>
          <w:tcPr>
            <w:tcW w:w="3144"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借：投资性房地产—在建</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贷：银行存款等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完工</w:t>
            </w:r>
          </w:p>
        </w:tc>
        <w:tc>
          <w:tcPr>
            <w:tcW w:w="3417"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贷：投资性房地产—在建</w:t>
            </w:r>
          </w:p>
        </w:tc>
        <w:tc>
          <w:tcPr>
            <w:tcW w:w="3144"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借：投资性房地产—成本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　　贷：投资性房地产—在建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ascii="宋体" w:hAnsi="宋体" w:eastAsia="宋体" w:cs="宋体"/>
                <w:b w:val="0"/>
                <w:i w:val="0"/>
                <w:shadow w:val="0"/>
                <w:emboss w:val="0"/>
                <w:sz w:val="21"/>
                <w:szCs w:val="21"/>
                <w:u w:val="none"/>
                <w:vertAlign w:val="baseline"/>
                <w:lang w:eastAsia="zh-CN"/>
              </w:rPr>
              <w:t>费用化后续支出</w:t>
            </w:r>
          </w:p>
        </w:tc>
        <w:tc>
          <w:tcPr>
            <w:tcW w:w="6561" w:type="dxa"/>
            <w:gridSpan w:val="2"/>
          </w:tcPr>
          <w:p>
            <w:pPr>
              <w:overflowPunct/>
              <w:jc w:val="left"/>
              <w:textAlignment w:val="auto"/>
              <w:rPr>
                <w:rFonts w:hint="eastAsia"/>
              </w:rPr>
            </w:pPr>
            <w:r>
              <w:rPr>
                <w:rFonts w:hint="eastAsia"/>
              </w:rPr>
              <w:t>借：其他业务成本</w:t>
            </w:r>
          </w:p>
          <w:p>
            <w:pPr>
              <w:overflowPunct/>
              <w:jc w:val="left"/>
              <w:textAlignment w:val="auto"/>
              <w:rPr>
                <w:rFonts w:hint="eastAsia" w:ascii="宋体" w:hAnsi="宋体" w:eastAsia="宋体" w:cs="宋体"/>
                <w:b w:val="0"/>
                <w:i w:val="0"/>
                <w:shadow w:val="0"/>
                <w:emboss w:val="0"/>
                <w:sz w:val="21"/>
                <w:szCs w:val="21"/>
                <w:u w:val="none"/>
                <w:vertAlign w:val="baseline"/>
                <w:lang w:eastAsia="zh-CN"/>
              </w:rPr>
            </w:pPr>
            <w:r>
              <w:rPr>
                <w:rFonts w:hint="eastAsia"/>
              </w:rPr>
              <w:t>　　贷：银行存款等</w:t>
            </w:r>
          </w:p>
        </w:tc>
      </w:tr>
    </w:tbl>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 2018年5月，甲公司与乙公司的一项厂房租赁合同即将到期。该厂房原价为5000万元，已计提折旧1000万元。</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为了提高厂房的租金收入，甲公司决定在租赁期满后对该厂房进行改扩建，并与丙公司签订了租赁合同，约定自改扩建完工时将该厂房出租给丙公司。</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2018年5月31日，与乙公司的租赁合同到期，该厂房随即进入改扩建工程，2018年12月31日，该厂房改扩建工程完工，共发生支出500万元，均已支付，即日按照租赁合同出租给丙公司。假定甲公司采用成本计量模式。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（1）2018年5月31日，投资性房地产转入改扩建工程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借：投资性房地产—厂房—在建　4000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投资性房地产累计折旧　1000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贷：投资性房地产—厂房　5000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（2）2018年5月31日至2018年12月31日，发生改扩建支出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借：投资性房地产—厂房—在建　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500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（3）2018年12月31日，改扩建工程完工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借：投资性房地产—厂房　4500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贷：投资性房地产—厂房—在建　4500</w:t>
      </w:r>
    </w:p>
    <w:p>
      <w:pPr>
        <w:overflowPunct/>
        <w:ind w:firstLine="420"/>
        <w:jc w:val="left"/>
        <w:textAlignment w:val="auto"/>
        <w:rPr>
          <w:rFonts w:hint="eastAsia" w:ascii="宋体" w:hAnsi="宋体" w:eastAsia="宋体" w:cs="宋体"/>
          <w:b w:val="0"/>
          <w:i w:val="0"/>
          <w:shadow w:val="0"/>
          <w:emboss w:val="0"/>
          <w:sz w:val="21"/>
          <w:szCs w:val="21"/>
          <w:u w:val="none"/>
          <w:lang w:eastAsia="zh-CN"/>
        </w:rPr>
      </w:pP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【例题￭计算题】 2018年5月，甲公司与乙公司一项厂房租赁合同即将到期，为了提高厂房的租金收入，甲公司决定在租赁期满后对该厂房进行改扩建，并与丙公司签订了租赁合同，约定自改扩建完工时将该厂房出租给丙公司。2018年5月31日，与乙公司的租赁合同到期，该厂房随即进入改扩建工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2018年5月31日，该厂房账面余额为2000万元，其中成本1600万元，累计公允价值变动400万元，2018年11月30日该厂房改扩建工程完工，共发生支出300万元，均已支付，即日按照租赁合同出租给丙公司。假定甲公司采用公允价值计量模式。</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（1）2018年5月31日，投资性房地产转入改扩建工程</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借：投资性房地产—厂房—在建　2000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贷：投资性房地产—厂房—成本　1600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—公允价值变动　400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（2）2018年5月31日至2018年11月30日，发生改扩建支出</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借：投资性房地产—厂房—在建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贷：银行存款　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（3）2018年11月30日，改扩建工程完工</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借：投资性房地产—厂房—成本　2300</w:t>
      </w:r>
    </w:p>
    <w:p>
      <w:pPr>
        <w:overflowPunct/>
        <w:jc w:val="left"/>
        <w:textAlignment w:val="auto"/>
        <w:rPr>
          <w:rFonts w:hint="eastAsia" w:ascii="宋体" w:hAnsi="宋体" w:eastAsia="宋体" w:cs="宋体"/>
          <w:b w:val="0"/>
          <w:i w:val="0"/>
          <w:shadow w:val="0"/>
          <w:emboss w:val="0"/>
          <w:sz w:val="21"/>
          <w:szCs w:val="21"/>
          <w:u w:val="none"/>
          <w:lang w:eastAsia="zh-CN"/>
        </w:rPr>
      </w:pPr>
      <w:r>
        <w:rPr>
          <w:rFonts w:hint="eastAsia" w:ascii="宋体" w:hAnsi="宋体" w:eastAsia="宋体" w:cs="宋体"/>
          <w:b w:val="0"/>
          <w:i w:val="0"/>
          <w:shadow w:val="0"/>
          <w:emboss w:val="0"/>
          <w:sz w:val="21"/>
          <w:szCs w:val="21"/>
          <w:u w:val="none"/>
          <w:lang w:eastAsia="zh-CN"/>
        </w:rPr>
        <w:t>　　贷：投资性房地产—厂房—在建　2300</w:t>
      </w:r>
    </w:p>
    <w:p>
      <w:pPr>
        <w:overflowPunct/>
        <w:jc w:val="left"/>
        <w:textAlignment w:val="auto"/>
        <w:rPr>
          <w:rFonts w:hint="eastAsia" w:ascii="宋体" w:hAnsi="宋体" w:eastAsia="宋体" w:cs="宋体"/>
          <w:b w:val="0"/>
          <w:i w:val="0"/>
          <w:shadow w:val="0"/>
          <w:emboss w:val="0"/>
          <w:sz w:val="21"/>
          <w:szCs w:val="21"/>
          <w:u w:val="none"/>
          <w:lang w:eastAsia="zh-CN"/>
        </w:rPr>
      </w:pPr>
    </w:p>
    <w:p>
      <w:pPr>
        <w:overflowPunct/>
        <w:jc w:val="center"/>
        <w:textAlignment w:val="auto"/>
        <w:rPr>
          <w:rFonts w:hint="eastAsia" w:ascii="宋体" w:hAnsi="宋体" w:eastAsia="宋体" w:cs="宋体"/>
          <w:b w:val="0"/>
          <w:i w:val="0"/>
          <w:sz w:val="32"/>
          <w:szCs w:val="32"/>
          <w:u w:val="none"/>
          <w:lang w:eastAsia="zh-CN"/>
        </w:rPr>
      </w:pPr>
      <w:r>
        <w:rPr>
          <w:rFonts w:hint="eastAsia" w:ascii="宋体" w:hAnsi="宋体" w:eastAsia="宋体" w:cs="宋体"/>
          <w:b w:val="0"/>
          <w:i w:val="0"/>
          <w:sz w:val="32"/>
          <w:szCs w:val="32"/>
          <w:u w:val="none"/>
          <w:lang w:eastAsia="zh-CN"/>
        </w:rPr>
        <w:t>第三节　投资性房地产的后续计量</w:t>
      </w:r>
    </w:p>
    <w:p>
      <w:pPr>
        <w:overflowPun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932555" cy="575945"/>
                <wp:effectExtent l="4445" t="0" r="0" b="0"/>
                <wp:docPr id="51" name="组合 19"/>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52"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成本模式计量</w:t>
                              </w:r>
                            </w:p>
                          </w:txbxContent>
                        </wps:txbx>
                        <wps:bodyPr vert="horz" wrap="square" anchor="ctr" upright="1"/>
                      </wps:wsp>
                      <wps:wsp>
                        <wps:cNvPr id="53"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19"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vvN8B70AAADb&#10;AAAADwAAAGRycy9kb3ducmV2LnhtbEWPQWvCQBSE7wX/w/IEL0V3FZpKdPUgCBLaQ7U/4Jl9ZoPZ&#10;tyG7JvHfdwuFHoeZ+YbZ7kfXiJ66UHvWsFwoEMSlNzVXGr4vx/kaRIjIBhvPpOFJAfa7ycsWc+MH&#10;/qL+HCuRIBxy1GBjbHMpQ2nJYVj4ljh5N985jEl2lTQdDgnuGrlSKpMOa04LFls6WCrv54fT8Gpb&#10;9flxO12PJivtvQj47vpC69l0qTYgIo3xP/zXPhkNbyv4/Z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3w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成本模式计量</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h/aVA74AAADb&#10;AAAADwAAAGRycy9kb3ducmV2LnhtbEWPQWsCMRSE74X+h/AKvdWsilJWo9AWpUIp7NZDj8/Nczd0&#10;8xKS6Oq/N4VCj8PMfMMs1xfbizOFaBwrGI8KEMSN04ZbBfuvzdMziJiQNfaOScGVIqxX93dLLLUb&#10;uKJznVqRIRxLVNCl5EspY9ORxThynjh7RxcspixDK3XAIcNtLydFMZcWDeeFDj29dtT81Cer4O1w&#10;+twNx9qY7b6qwvzFu49vr9Tjw7hYgEh0Sf/hv/a7VjCbwu+X/A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VA74A&#10;AADbAAAADwAAAAAAAAABACAAAAAiAAAAZHJzL2Rvd25yZXYueG1sUEsBAhQAFAAAAAgAh07iQDMv&#10;BZ47AAAAOQAAABAAAAAAAAAAAQAgAAAADQEAAGRycy9zaGFwZXhtbC54bWxQSwUGAAAAAAYABgBb&#10;AQAAtw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left"/>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932555" cy="575945"/>
                <wp:effectExtent l="4445" t="0" r="0" b="0"/>
                <wp:docPr id="54" name="组合 8"/>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55"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公允价值模式计量</w:t>
                              </w:r>
                            </w:p>
                          </w:txbxContent>
                        </wps:txbx>
                        <wps:bodyPr vert="horz" wrap="square" anchor="ctr" upright="1"/>
                      </wps:wsp>
                      <wps:wsp>
                        <wps:cNvPr id="56"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MRrkc70AAADb&#10;AAAADwAAAGRycy9kb3ducmV2LnhtbEWPQWvCQBSE7wX/w/IEL0V3FZJKdPVQECS0B7U/4Jl9ZoPZ&#10;tyG7jem/7xYKHoeZ+YbZ7kfXioH60HjWsFwoEMSVNw3XGr4uh/kaRIjIBlvPpOGHAux3k5ctFsY/&#10;+ETDOdYiQTgUqMHG2BVShsqSw7DwHXHybr53GJPsa2l6fCS4a+VKqVw6bDgtWOzo3VJ1P387Da+2&#10;U58ft+P1YPLK3suAb24otZ5Nl2oDItIYn+H/9tFoyDL4+5J+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GuR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公允价值模式计量</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l4E2m74AAADb&#10;AAAADwAAAGRycy9kb3ducmV2LnhtbEWPQWsCMRSE74X+h/AKvdWsgkvZGoW2VCyIsKuHHl83z93Q&#10;zUtIomv/fSMIPQ4z8w2zWF3sIM4UonGsYDopQBC3ThvuFBz2H0/PIGJC1jg4JgW/FGG1vL9bYKXd&#10;yDWdm9SJDOFYoYI+JV9JGdueLMaJ88TZO7pgMWUZOqkDjhluBzkrilJaNJwXevT01lP705ysgvfv&#10;0+5zPDbGrA91HcpX77ZfXqnHh2nxAiLRJf2Hb+2NVjAv4fol/w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E2m74A&#10;AADbAAAADwAAAAAAAAABACAAAAAiAAAAZHJzL2Rvd25yZXYueG1sUEsBAhQAFAAAAAgAh07iQDMv&#10;BZ47AAAAOQAAABAAAAAAAAAAAQAgAAAADQEAAGRycy9zaGFwZXhtbC54bWxQSwUGAAAAAAYABgBb&#10;AQAAtw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left"/>
        <w:textAlignment w:val="auto"/>
        <w:rPr>
          <w:rFonts w:hint="eastAsia" w:ascii="宋体" w:hAnsi="宋体" w:eastAsia="宋体" w:cs="宋体"/>
          <w:b w:val="0"/>
          <w:i w:val="0"/>
          <w:sz w:val="21"/>
          <w:szCs w:val="21"/>
          <w:u w:val="none"/>
          <w:lang w:eastAsia="zh-CN"/>
        </w:rPr>
      </w:pPr>
      <w:r>
        <w:rPr>
          <w:rFonts w:hint="eastAsia" w:ascii="宋体" w:hAnsi="宋体" w:cs="宋体"/>
          <w:b w:val="0"/>
          <w:i w:val="0"/>
          <w:sz w:val="21"/>
          <w:szCs w:val="21"/>
          <w:u w:val="none"/>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932555" cy="575945"/>
                <wp:effectExtent l="4445" t="0" r="0" b="0"/>
                <wp:docPr id="57" name="组合 8"/>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58"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后续计量模式的变更</w:t>
                              </w:r>
                            </w:p>
                          </w:txbxContent>
                        </wps:txbx>
                        <wps:bodyPr vert="horz" wrap="square" anchor="ctr" upright="1"/>
                      </wps:wsp>
                      <wps:wsp>
                        <wps:cNvPr id="59"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3xtL7bkAAADb&#10;AAAADwAAAGRycy9kb3ducmV2LnhtbEVPzWoCMRC+F3yHMEIvRRMLVVmNHoSFRdpD1QcYk3GzuJks&#10;m7jq25tDoceP73+9ffhWDNTHJrCG2VSBIDbBNlxrOB3LyRJETMgW28Ck4UkRtpvR2xoLG+78S8Mh&#10;1SKHcCxQg0upK6SMxpHHOA0dceYuofeYMuxraXu853Dfyk+l5tJjw7nBYUc7R+Z6uHkNH65TP9+X&#10;6lzauXHXfcSFH/Zav49nagUi0SP9i//cldXwlcfmL/kHy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8bS+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后续计量模式的变更</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5h6i6b4AAADb&#10;AAAADwAAAGRycy9kb3ducmV2LnhtbEWPQWsCMRSE74X+h/AKvdWsgtKuRqEtSoVS2K2HHp+b527o&#10;5iUk0dV/3whCj8PMfMMsVmfbixOFaBwrGI8KEMSN04ZbBbvv9dMziJiQNfaOScGFIqyW93cLLLUb&#10;uKJTnVqRIRxLVNCl5EspY9ORxThynjh7BxcspixDK3XAIcNtLydFMZMWDeeFDj29ddT81ker4H1/&#10;/NoOh9qYza6qwuzVu88fr9Tjw7iYg0h0Tv/hW/tDK5i+wPVL/g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h6i6b4A&#10;AADbAAAADwAAAAAAAAABACAAAAAiAAAAZHJzL2Rvd25yZXYueG1sUEsBAhQAFAAAAAgAh07iQDMv&#10;BZ47AAAAOQAAABAAAAAAAAAAAQAgAAAADQEAAGRycy9zaGFwZXhtbC54bWxQSwUGAAAAAAYABgBb&#10;AQAAtw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一、采用成本模式计量的投资性房地产</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资性房地产的后续计量有成本和公允价值两种模式，通常应当采用成本模式计量，满足特定条件时可以采用公允价值模式计量。但是，同一企业只能采用一种模式对所有投资性房地产进行后续计量，不得同时采用两种计量模式。</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在成本模式下，应当按照固定资产或无形资产的有关规定，对投资性房地产进行后续计量，计提折旧或摊销；存在减值迹象的，还应当按照资产减值的有关规定进行处理。已经计提减值准备的投资性房地产，其减值准备在以后的会计期间不得转回。</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计提折旧或摊销</w:t>
            </w:r>
          </w:p>
        </w:tc>
        <w:tc>
          <w:tcPr>
            <w:tcW w:w="6161"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借：其他业务成本</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贷：投资性房地产累计折旧</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取得的租金收入</w:t>
            </w:r>
          </w:p>
        </w:tc>
        <w:tc>
          <w:tcPr>
            <w:tcW w:w="6161"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借：银行存款</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贷：其他业务收入</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应交税费—应交增值税（销项税额）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计提减值准备</w:t>
            </w:r>
          </w:p>
        </w:tc>
        <w:tc>
          <w:tcPr>
            <w:tcW w:w="6161"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借：资产减值损失</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贷：投资性房地产减值准备</w:t>
            </w:r>
          </w:p>
        </w:tc>
      </w:tr>
    </w:tbl>
    <w:p>
      <w:pPr>
        <w:overflowPunct/>
        <w:jc w:val="left"/>
        <w:textAlignment w:val="auto"/>
        <w:rPr>
          <w:rFonts w:hint="eastAsia" w:ascii="宋体" w:hAnsi="宋体" w:eastAsia="宋体" w:cs="宋体"/>
          <w:sz w:val="21"/>
          <w:szCs w:val="21"/>
          <w:lang w:eastAsia="zh-CN"/>
        </w:rPr>
      </w:pP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甲公司将一栋写字楼出租给乙公司使用，确认为投资性房地产，采用成本模式进行后续计量，假设这栋办公楼的成本为7200万元，按照年限平均法计提折旧，使用寿命为20年，预计净残值为零。租赁合同约定，乙公司每月等额支付甲公司租金40万元。编制甲公司计提折旧和确认租金收入的会计分录（假定不考虑增值税等相关税费）</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（1）每月计提折旧</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每月计提的折旧=（7200÷20）÷12=30。</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借：其他业务成本—出租写字楼折旧　30</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贷：投资性房地产累计折旧　30</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（2）每月确认租金收入</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借：银行存款（或其他应收款）　40</w:t>
      </w:r>
    </w:p>
    <w:p>
      <w:pPr>
        <w:overflowPunct/>
        <w:ind w:firstLine="4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贷：其他业务收入—出租写字楼租金收入　40</w:t>
      </w:r>
    </w:p>
    <w:p>
      <w:pPr>
        <w:overflowPunct/>
        <w:jc w:val="left"/>
        <w:textAlignment w:val="auto"/>
        <w:rPr>
          <w:rFonts w:hint="eastAsia" w:ascii="宋体" w:hAnsi="宋体" w:eastAsia="宋体" w:cs="宋体"/>
          <w:sz w:val="21"/>
          <w:szCs w:val="21"/>
          <w:lang w:eastAsia="zh-CN"/>
        </w:rPr>
      </w:pP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二、采用公允价值模式进行后续计量的投资性房地产</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1.采用公允价值模式的前提条件</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企业只有存在确凿证据表明投资性房地产的公允价值能够持续可靠取得，才可以采用公允价值模式对投资性房地产进行后续计量。企业一旦选择采用公允价值计量模式，就应当对其所有的投资性房地产均采用公允价值模式进行后续计量。</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2.采用公允价值模式进行后续计量的投资性房地产，应当同时满足下列条件：</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①投资性房地产所在地有活跃的房地产交易市场。</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②企业能够从活跃的房地产交易市场上取得同类或类似房地产的市场价格及其他相关信息，从而对投资性房地产的公允价值作出合理的估计。</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3.采用公允价值模式进行后续计量的会计处理</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①会计处理原则</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企业采用公允价值模式进行后续计量的，不对投资性房地产计提折旧或进行摊销，不提减值，应当以资产负债表日投资性房地产的公允价值为基础调整其账面价值，公允价值与原账面价值之间的差额计入当期损益（公允价值变动损益）。</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b.投资性房地产取得的租金收入，确认为其他业务收入。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公允价值变动</w:t>
            </w:r>
          </w:p>
        </w:tc>
        <w:tc>
          <w:tcPr>
            <w:tcW w:w="6444"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①公允价值高于其账面余额的差额：</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借：投资性房地产—公允价值变动</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贷：公允价值变动损益</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②公允价值低于其账面余额的差额，做相反的会计分录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8"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取得的租金收入</w:t>
            </w:r>
          </w:p>
        </w:tc>
        <w:tc>
          <w:tcPr>
            <w:tcW w:w="6444" w:type="dxa"/>
          </w:tcPr>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借：银行存款</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贷：其他业务收入</w:t>
            </w:r>
          </w:p>
          <w:p>
            <w:p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应交税费—应交增值税（销项税额）</w:t>
            </w:r>
          </w:p>
        </w:tc>
      </w:tr>
    </w:tbl>
    <w:p>
      <w:pPr>
        <w:overflowPunct/>
        <w:jc w:val="left"/>
        <w:textAlignment w:val="auto"/>
        <w:rPr>
          <w:rFonts w:hint="eastAsia" w:ascii="宋体" w:hAnsi="宋体" w:eastAsia="宋体" w:cs="宋体"/>
          <w:sz w:val="21"/>
          <w:szCs w:val="21"/>
          <w:lang w:eastAsia="zh-CN"/>
        </w:rPr>
      </w:pP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 2018年9月，甲公司与乙公司签订租赁协议，约定将甲公司新建造的一栋写字楼租赁给乙公司使用，租赁期为10年。</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2018年12月1日，该写字楼开始起租，写字楼的工程造价为8000万元，公允价值也为相同金额，该写字楼所在区域有活跃的房地产交易市场，而且能够从房地产交易市场上取得同类房地产的市场报价，甲公司决定采用公允价值模式对该项出租的房地产进行后续计量。</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2018年12月31日，该写字楼的公允价值为8400万元。</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编制甲公司的会计分录。</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（1）2018年12月1日，甲公司出租写字楼</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借：投资性房地产—写字楼—成本　8000</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贷：固定资产—写字楼　8000</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（2）2018年12月31日，按照公允价值调整其账面价值，公允价值与原账面价值之间的差额计入当期损益。</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借：投资性房地产—写字楼—公允价值变动　400</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贷：公允价值变动损益—投资性房地产　400</w:t>
      </w:r>
    </w:p>
    <w:p>
      <w:pPr>
        <w:overflowPunct/>
        <w:jc w:val="left"/>
        <w:textAlignment w:val="auto"/>
        <w:rPr>
          <w:rFonts w:hint="eastAsia" w:ascii="宋体" w:hAnsi="宋体" w:eastAsia="宋体" w:cs="宋体"/>
          <w:sz w:val="21"/>
          <w:szCs w:val="21"/>
          <w:lang w:eastAsia="zh-CN"/>
        </w:rPr>
      </w:pP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三、投资性房地产后续计量模式的变更</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企业对投资性房地产的计量模式一经确定，不得随意变更。成本模式转为公允价值模式的，应当作为会计政策变更处理，将计量模式变更时公允价值与账面价值的差额，调整期初留存收益。</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已采用公允价值模式计量的投资性房地产，不得从公允价值模式转为成本模式。</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借：投资性房地产—成本（转换日公允价值）</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投资性房地产累计折旧/摊销/减值</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贷：投资性房地产</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利润分配—未分配利润（或借方）</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盈余公积（或借方）</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【提示】上述账务处理不考虑所得税的影响。</w:t>
      </w:r>
    </w:p>
    <w:p>
      <w:pPr>
        <w:overflowPunct/>
        <w:jc w:val="left"/>
        <w:textAlignment w:val="auto"/>
        <w:rPr>
          <w:rFonts w:hint="eastAsia" w:ascii="宋体" w:hAnsi="宋体" w:eastAsia="宋体" w:cs="宋体"/>
          <w:sz w:val="21"/>
          <w:szCs w:val="21"/>
          <w:lang w:eastAsia="zh-CN"/>
        </w:rPr>
      </w:pP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【例题￭单选题】投资性房地产的后续计量从成本模式转为公允价值模式的，转换日投资性房地产的公允价值高于其账面价值的差额会对下列财务报表项目产生影响的是（　）。</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A.资本公积</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B.营业外收入</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C.未分配利润</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D.投资收益</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【答案】C</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【解析】投资性房地产由成本模式转为公允价值模式，应该作为会计政策变更处理，公允价值与账面价值的差额应计入留存收益。</w:t>
      </w:r>
    </w:p>
    <w:p>
      <w:pPr>
        <w:overflowPunct/>
        <w:jc w:val="left"/>
        <w:textAlignment w:val="auto"/>
        <w:rPr>
          <w:rFonts w:hint="eastAsia" w:ascii="宋体" w:hAnsi="宋体" w:eastAsia="宋体" w:cs="宋体"/>
          <w:sz w:val="21"/>
          <w:szCs w:val="21"/>
          <w:lang w:eastAsia="zh-CN"/>
        </w:rPr>
      </w:pP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【例题￭多选题】下列关于企业投资性房地产会计处理的表述中，正确的有（　）。</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A.自行建造的投资性房地产，按达到预定可使用状态前所发生的必要支出进行初始计量</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B.以成本模式进行后续计量的投资性房地产，计提的减值准备以后会计期间可以转回</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C.投资性房地产后续计量由成本模式转为公允价值模式时，其公允价值与账面价值的差额应计入当期损益</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D.满足投资性房地产确认条件的后续支出，应予以资本化</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【答案】AD</w:t>
      </w:r>
    </w:p>
    <w:p>
      <w:p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【解析】选项B，投资性房地产计提的减值准备以后期间不得转回；选项C，投资性房地产成本模式转为公允价值模式应作为会计政策变更处理，公允价值与账面价值的差额，调整留存收益。</w:t>
      </w:r>
    </w:p>
    <w:p>
      <w:pPr>
        <w:overflowPunct/>
        <w:jc w:val="left"/>
        <w:textAlignment w:val="auto"/>
        <w:rPr>
          <w:rFonts w:hint="eastAsia" w:ascii="宋体" w:hAnsi="宋体" w:eastAsia="宋体" w:cs="宋体"/>
          <w:sz w:val="21"/>
          <w:szCs w:val="21"/>
          <w:lang w:eastAsia="zh-CN"/>
        </w:rPr>
      </w:pPr>
    </w:p>
    <w:p>
      <w:pPr>
        <w:numPr>
          <w:ilvl w:val="0"/>
          <w:numId w:val="1"/>
        </w:numPr>
        <w:overflowPunct/>
        <w:jc w:val="center"/>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投资性房地产的转换与处置</w:t>
      </w:r>
    </w:p>
    <w:p>
      <w:pPr>
        <w:overflowPun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932555" cy="575945"/>
                <wp:effectExtent l="4445" t="0" r="0" b="0"/>
                <wp:docPr id="62" name="组合 19"/>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63"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成本模式计量</w:t>
                              </w:r>
                            </w:p>
                          </w:txbxContent>
                        </wps:txbx>
                        <wps:bodyPr vert="horz" wrap="square" anchor="ctr" upright="1"/>
                      </wps:wsp>
                      <wps:wsp>
                        <wps:cNvPr id="64"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19"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qKtALWAAAABAEAAA8AAAAAAAAAAQAgAAAAIgAA&#10;AGRycy9kb3ducmV2LnhtbFBLAQIUABQAAAAIAIdO4kDDw/LafQQAAIwQAAAOAAAAAAAAAAEAIAAA&#10;ACUBAABkcnMvZTJvRG9jLnhtbFBLBQYAAAAABgAGAFkBAAAUCA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H9MTIb0AAADb&#10;AAAADwAAAGRycy9kb3ducmV2LnhtbEWPwWrDMBBE74X8g9hCLqWR3IJT3Cg+BAIhpIcm+YCNtbFM&#10;rJWxVNv5+6hQ6HGYmTfMqpxcKwbqQ+NZQ7ZQIIgrbxquNZxP29cPECEiG2w9k4Y7BSjXs6cVFsaP&#10;/E3DMdYiQTgUqMHG2BVShsqSw7DwHXHyrr53GJPsa2l6HBPctfJNqVw6bDgtWOxoY6m6HX+chhfb&#10;qa/DdXfZmryyt33ApRv2Ws+fM/UJItIU/8N/7Z3RkL/D7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0xM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成本模式计量</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xnPHyr4AAADb&#10;AAAADwAAAGRycy9kb3ducmV2LnhtbEWPQWsCMRSE74X+h/AKvdWsIkvZGoW2VCyIsKuHHl83z93Q&#10;zUtIomv/fSMIPQ4z8w2zWF3sIM4UonGsYDopQBC3ThvuFBz2H0/PIGJC1jg4JgW/FGG1vL9bYKXd&#10;yDWdm9SJDOFYoYI+JV9JGdueLMaJ88TZO7pgMWUZOqkDjhluBzkrilJaNJwXevT01lP705ysgvfv&#10;0+5zPDbGrA91HcpX77ZfXqnHh2nxAiLRJf2Hb+2NVlDO4fol/w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PHyr4A&#10;AADbAAAADwAAAAAAAAABACAAAAAiAAAAZHJzL2Rvd25yZXYueG1sUEsBAhQAFAAAAAgAh07iQDMv&#10;BZ47AAAAOQAAABAAAAAAAAAAAQAgAAAADQEAAGRycy9zaGFwZXhtbC54bWxQSwUGAAAAAAYABgBb&#10;AQAAtw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overflowPunct/>
        <w:jc w:val="left"/>
        <w:textAlignment w:val="auto"/>
        <w:rPr>
          <w:rFonts w:hint="eastAsia" w:ascii="宋体" w:hAnsi="宋体" w:eastAsia="宋体" w:cs="宋体"/>
          <w:sz w:val="21"/>
          <w:szCs w:val="21"/>
        </w:rPr>
      </w:pPr>
      <w:r>
        <w:rPr>
          <w:rFonts w:hint="eastAsia" w:ascii="宋体" w:hAnsi="宋体" w:cs="宋体"/>
          <w:sz w:val="21"/>
          <w:szCs w:val="21"/>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932555" cy="575945"/>
                <wp:effectExtent l="4445" t="0" r="0" b="0"/>
                <wp:docPr id="65" name="组合 8"/>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66"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公允价值模式计量</w:t>
                              </w:r>
                            </w:p>
                          </w:txbxContent>
                        </wps:txbx>
                        <wps:bodyPr vert="horz" wrap="square" anchor="ctr" upright="1"/>
                      </wps:wsp>
                      <wps:wsp>
                        <wps:cNvPr id="67"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Coq0AtYAAAAEAQAADwAAAAAAAAABACAAAAAiAAAAZHJzL2Rvd25y&#10;ZXYueG1sUEsBAhQAFAAAAAgAh07iQPZr2rFzBAAAixAAAA4AAAAAAAAAAQAgAAAAJQEAAGRycy9l&#10;Mm9Eb2MueG1sUEsFBgAAAAAGAAYAWQEAAAoIA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D6SwuboAAADb&#10;AAAADwAAAGRycy9kb3ducmV2LnhtbEWPzarCMBSE94LvEI7gRjTRRZVqdCEIIteFPw9wbI5NsTkp&#10;TazetzcXLrgcZuYbZrV5u1p01IbKs4bpRIEgLrypuNRwvezGCxAhIhusPZOGXwqwWfd7K8yNf/GJ&#10;unMsRYJwyFGDjbHJpQyFJYdh4hvi5N196zAm2ZbStPhKcFfLmVKZdFhxWrDY0NZS8Tg/nYaRbdTx&#10;576/7UxW2Mch4Nx1B62Hg6lagoj0jt/wf3tvNGQZ/H1JP0C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pLC5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公允价值模式计量</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NqFZvb4AAADb&#10;AAAADwAAAGRycy9kb3ducmV2LnhtbEWPQWsCMRSE7wX/Q3hCbzVrD9uyGoVWLBVKYVcPHl83z93Q&#10;zUtIoqv/vikUehxm5htmub7aQVwoRONYwXxWgCBunTbcKTjstw/PIGJC1jg4JgU3irBeTe6WWGk3&#10;ck2XJnUiQzhWqKBPyVdSxrYni3HmPHH2Ti5YTFmGTuqAY4bbQT4WRSktGs4LPXp67an9bs5Wwebr&#10;/LkbT40xb4e6DuWLdx9Hr9T9dF4sQCS6pv/wX/tdKyif4PdL/gF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FZvb4A&#10;AADbAAAADwAAAAAAAAABACAAAAAiAAAAZHJzL2Rvd25yZXYueG1sUEsBAhQAFAAAAAgAh07iQDMv&#10;BZ47AAAAOQAAABAAAAAAAAAAAQAgAAAADQEAAGRycy9zaGFwZXhtbC54bWxQSwUGAAAAAAYABgBb&#10;AQAAtw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numPr>
          <w:ilvl w:val="0"/>
          <w:numId w:val="0"/>
        </w:numPr>
        <w:overflowPunct/>
        <w:jc w:val="left"/>
        <w:textAlignment w:val="auto"/>
        <w:rPr>
          <w:rFonts w:hint="eastAsia" w:ascii="宋体" w:hAnsi="宋体" w:eastAsia="宋体" w:cs="宋体"/>
          <w:sz w:val="21"/>
          <w:szCs w:val="21"/>
        </w:rPr>
      </w:pPr>
      <w:r>
        <w:rPr>
          <w:rFonts w:hint="eastAsia" w:ascii="宋体" w:hAnsi="宋体" w:cs="宋体"/>
          <w:b w:val="0"/>
          <w:i w:val="0"/>
          <w:sz w:val="21"/>
          <w:szCs w:val="21"/>
          <w:u w:val="none"/>
          <w:lang w:val="en-US" w:eastAsia="zh-CN"/>
        </w:rPr>
        <w:t xml:space="preserve">            </w:t>
      </w:r>
      <w:r>
        <w:rPr>
          <w:rFonts w:hint="eastAsia" w:ascii="宋体" w:hAnsi="宋体" w:eastAsia="宋体" w:cs="宋体"/>
          <w:sz w:val="21"/>
          <w:szCs w:val="21"/>
        </w:rPr>
        <mc:AlternateContent>
          <mc:Choice Requires="wpg">
            <w:drawing>
              <wp:inline distT="0" distB="0" distL="114300" distR="114300">
                <wp:extent cx="3932555" cy="575945"/>
                <wp:effectExtent l="4445" t="0" r="0" b="0"/>
                <wp:docPr id="68" name="组合 8"/>
                <wp:cNvGraphicFramePr/>
                <a:graphic xmlns:a="http://schemas.openxmlformats.org/drawingml/2006/main">
                  <a:graphicData uri="http://schemas.microsoft.com/office/word/2010/wordprocessingGroup">
                    <wpg:wgp>
                      <wpg:cNvGrpSpPr/>
                      <wpg:grpSpPr>
                        <a:xfrm>
                          <a:off x="0" y="0"/>
                          <a:ext cx="3932555" cy="575945"/>
                          <a:chOff x="2467950" y="3567113"/>
                          <a:chExt cx="3932849" cy="576262"/>
                        </a:xfrm>
                      </wpg:grpSpPr>
                      <wps:wsp>
                        <wps:cNvPr id="69" name="MH_SubTitle_2"/>
                        <wps:cNvSpPr txBox="1"/>
                        <wps:spPr>
                          <a:xfrm>
                            <a:off x="2971800" y="3567113"/>
                            <a:ext cx="3428999" cy="576262"/>
                          </a:xfrm>
                          <a:prstGeom prst="rect">
                            <a:avLst/>
                          </a:prstGeom>
                          <a:noFill/>
                          <a:ln>
                            <a:noFill/>
                          </a:ln>
                        </wps:spPr>
                        <wps:txb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后续计量模式的变更</w:t>
                              </w:r>
                            </w:p>
                          </w:txbxContent>
                        </wps:txbx>
                        <wps:bodyPr vert="horz" wrap="square" anchor="ctr" upright="1"/>
                      </wps:wsp>
                      <wps:wsp>
                        <wps:cNvPr id="70" name="MH_Other_5"/>
                        <wps:cNvSpPr>
                          <a:spLocks noEditPoints="1"/>
                        </wps:cNvSpPr>
                        <wps:spPr>
                          <a:xfrm rot="5400000">
                            <a:off x="2467950" y="3675245"/>
                            <a:ext cx="360000" cy="360000"/>
                          </a:xfrm>
                          <a:custGeom>
                            <a:avLst/>
                            <a:gdLst>
                              <a:gd name="G0" fmla="val 0"/>
                            </a:gdLst>
                            <a:ahLst/>
                            <a:cxnLst>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 ang="0">
                                <a:pos x="G0" y="G0"/>
                              </a:cxn>
                            </a:cxnLst>
                            <a:pathLst>
                              <a:path w="115" h="105">
                                <a:moveTo>
                                  <a:pt x="9" y="89"/>
                                </a:moveTo>
                                <a:cubicBezTo>
                                  <a:pt x="105" y="89"/>
                                  <a:pt x="105" y="89"/>
                                  <a:pt x="105" y="89"/>
                                </a:cubicBezTo>
                                <a:cubicBezTo>
                                  <a:pt x="115" y="89"/>
                                  <a:pt x="114" y="83"/>
                                  <a:pt x="112" y="79"/>
                                </a:cubicBezTo>
                                <a:cubicBezTo>
                                  <a:pt x="63" y="3"/>
                                  <a:pt x="63" y="3"/>
                                  <a:pt x="63" y="3"/>
                                </a:cubicBezTo>
                                <a:cubicBezTo>
                                  <a:pt x="61" y="0"/>
                                  <a:pt x="54" y="0"/>
                                  <a:pt x="51" y="3"/>
                                </a:cubicBezTo>
                                <a:cubicBezTo>
                                  <a:pt x="2" y="79"/>
                                  <a:pt x="2" y="79"/>
                                  <a:pt x="2" y="79"/>
                                </a:cubicBezTo>
                                <a:cubicBezTo>
                                  <a:pt x="0" y="84"/>
                                  <a:pt x="0" y="89"/>
                                  <a:pt x="9" y="89"/>
                                </a:cubicBezTo>
                                <a:close/>
                                <a:moveTo>
                                  <a:pt x="57" y="12"/>
                                </a:moveTo>
                                <a:cubicBezTo>
                                  <a:pt x="102" y="81"/>
                                  <a:pt x="102" y="81"/>
                                  <a:pt x="102" y="81"/>
                                </a:cubicBezTo>
                                <a:cubicBezTo>
                                  <a:pt x="100" y="81"/>
                                  <a:pt x="19" y="81"/>
                                  <a:pt x="12" y="81"/>
                                </a:cubicBezTo>
                                <a:lnTo>
                                  <a:pt x="57" y="12"/>
                                </a:lnTo>
                                <a:close/>
                                <a:moveTo>
                                  <a:pt x="109" y="97"/>
                                </a:moveTo>
                                <a:cubicBezTo>
                                  <a:pt x="5" y="97"/>
                                  <a:pt x="5" y="97"/>
                                  <a:pt x="5" y="97"/>
                                </a:cubicBezTo>
                                <a:cubicBezTo>
                                  <a:pt x="3" y="97"/>
                                  <a:pt x="1" y="99"/>
                                  <a:pt x="1" y="101"/>
                                </a:cubicBezTo>
                                <a:cubicBezTo>
                                  <a:pt x="1" y="103"/>
                                  <a:pt x="3" y="105"/>
                                  <a:pt x="5" y="105"/>
                                </a:cubicBezTo>
                                <a:cubicBezTo>
                                  <a:pt x="109" y="105"/>
                                  <a:pt x="109" y="105"/>
                                  <a:pt x="109" y="105"/>
                                </a:cubicBezTo>
                                <a:cubicBezTo>
                                  <a:pt x="111" y="105"/>
                                  <a:pt x="113" y="103"/>
                                  <a:pt x="113" y="101"/>
                                </a:cubicBezTo>
                                <a:cubicBezTo>
                                  <a:pt x="113" y="99"/>
                                  <a:pt x="111" y="97"/>
                                  <a:pt x="109" y="97"/>
                                </a:cubicBezTo>
                                <a:close/>
                              </a:path>
                            </a:pathLst>
                          </a:custGeom>
                          <a:solidFill>
                            <a:srgbClr val="000000"/>
                          </a:solidFill>
                          <a:ln w="9525" cap="flat" cmpd="sng">
                            <a:solidFill>
                              <a:srgbClr val="000000"/>
                            </a:solidFill>
                            <a:prstDash val="solid"/>
                            <a:headEnd type="none" w="med" len="med"/>
                            <a:tailEnd type="none" w="med" len="med"/>
                          </a:ln>
                        </wps:spPr>
                        <wps:bodyPr vert="horz" wrap="square" anchor="t" upright="1"/>
                      </wps:wsp>
                    </wpg:wgp>
                  </a:graphicData>
                </a:graphic>
              </wp:inline>
            </w:drawing>
          </mc:Choice>
          <mc:Fallback>
            <w:pict>
              <v:group id="组合 8" o:spid="_x0000_s1026" o:spt="203" style="height:45.35pt;width:309.65pt;" coordorigin="2467950,3567113" coordsize="3932849,576262" o:gfxdata="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AKirQC1gAAAAQBAAAPAAAAAAAAAAEAIAAAACIAAABkcnMvZG93&#10;bnJldi54bWxQSwECFAAUAAAACACHTuJAoV1d+3UEAACLEAAADgAAAAAAAAABACAAAAAlAQAAZHJz&#10;L2Uyb0RvYy54bWxQSwUGAAAAAAYABgBZAQAADAgAAAAA&#10;">
                <o:lock v:ext="edit" aspectratio="f"/>
                <v:shape id="MH_SubTitle_2" o:spid="_x0000_s1026" o:spt="202" type="#_x0000_t202" style="position:absolute;left:2971800;top:3567113;height:576262;width:3428999;v-text-anchor:middle;" filled="f" stroked="f" coordsize="21600,21600" o:gfxdata="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yT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eastAsia="宋体" w:cs="宋体"/>
                            <w:color w:val="000000" w:themeColor="text1"/>
                            <w:kern w:val="24"/>
                            <w:sz w:val="32"/>
                            <w:szCs w:val="32"/>
                            <w14:textFill>
                              <w14:solidFill>
                                <w14:schemeClr w14:val="tx1"/>
                              </w14:solidFill>
                            </w14:textFill>
                          </w:rPr>
                        </w:pPr>
                        <w:r>
                          <w:rPr>
                            <w:rFonts w:hint="eastAsia" w:ascii="宋体" w:hAnsi="宋体" w:eastAsia="宋体" w:cs="宋体"/>
                            <w:color w:val="000000" w:themeColor="text1"/>
                            <w:kern w:val="24"/>
                            <w:sz w:val="32"/>
                            <w:szCs w:val="32"/>
                            <w14:textFill>
                              <w14:solidFill>
                                <w14:schemeClr w14:val="tx1"/>
                              </w14:solidFill>
                            </w14:textFill>
                          </w:rPr>
                          <w:t>后续计量模式的变更</w:t>
                        </w:r>
                      </w:p>
                    </w:txbxContent>
                  </v:textbox>
                </v:shape>
                <v:shape id="MH_Other_5" o:spid="_x0000_s1026" o:spt="100" style="position:absolute;left:2467950;top:3675245;height:360000;width:360000;rotation:5898240f;" fillcolor="#000000" filled="t" stroked="t" coordsize="115,105" o:gfxdata="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FXFLsAAADb&#10;AAAADwAAAAAAAAABACAAAAAiAAAAZHJzL2Rvd25yZXYueG1sUEsBAhQAFAAAAAgAh07iQDMvBZ47&#10;AAAAOQAAABAAAAAAAAAAAQAgAAAACgEAAGRycy9zaGFwZXhtbC54bWxQSwUGAAAAAAYABgBbAQAA&#10;tAMAAAAA&#10;" path="m9,89c105,89,105,89,105,89c115,89,114,83,112,79c63,3,63,3,63,3c61,0,54,0,51,3c2,79,2,79,2,79c0,84,0,89,9,89xm57,12c102,81,102,81,102,81c100,81,19,81,12,81l57,12xm109,97c5,97,5,97,5,97c3,97,1,99,1,101c1,103,3,105,5,105c109,105,109,105,109,105c111,105,113,103,113,101c113,99,111,97,109,97xe">
                  <v:path o:connectlocs="0,0;0,0;0,0;0,0;0,0;0,0;0,0;0,0;0,0;0,0;0,0;0,0;0,0;0,0;0,0;0,0;0,0;0,0" o:connectangles="0,0,0,0,0,0,0,0,0,0,0,0,0,0,0,0,0,0"/>
                  <v:fill on="t" focussize="0,0"/>
                  <v:stroke color="#000000" joinstyle="round"/>
                  <v:imagedata o:title=""/>
                  <o:lock v:ext="edit" aspectratio="f"/>
                </v:shape>
                <w10:wrap type="none"/>
                <w10:anchorlock/>
              </v:group>
            </w:pict>
          </mc:Fallback>
        </mc:AlternateContent>
      </w:r>
    </w:p>
    <w:p>
      <w:pPr>
        <w:numPr>
          <w:ilvl w:val="0"/>
          <w:numId w:val="2"/>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投资性房地产的转换</w:t>
      </w:r>
    </w:p>
    <w:p>
      <w:pPr>
        <w:numPr>
          <w:ilvl w:val="0"/>
          <w:numId w:val="3"/>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房地产的转换形式及转换日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78"/>
        <w:gridCol w:w="3283"/>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61" w:type="dxa"/>
            <w:gridSpan w:val="2"/>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形式</w:t>
            </w:r>
          </w:p>
        </w:tc>
        <w:tc>
          <w:tcPr>
            <w:tcW w:w="4861" w:type="dxa"/>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转换日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8" w:type="dxa"/>
            <w:vMerge w:val="restart"/>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投转非</w:t>
            </w:r>
          </w:p>
        </w:tc>
        <w:tc>
          <w:tcPr>
            <w:tcW w:w="3283" w:type="dxa"/>
            <w:vAlign w:val="top"/>
          </w:tcPr>
          <w:p>
            <w:pPr>
              <w:numPr>
                <w:numId w:val="0"/>
              </w:numPr>
              <w:overflowPun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①投资性房地产→固定资产/无形资产</w:t>
            </w:r>
          </w:p>
        </w:tc>
        <w:tc>
          <w:tcPr>
            <w:tcW w:w="48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房地产达到自用状态，企业开始将其用于生产商品、提供劳务或者经营管理的日期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8" w:type="dxa"/>
            <w:vMerge w:val="continue"/>
            <w:tcBorders/>
            <w:vAlign w:val="center"/>
          </w:tcPr>
          <w:p>
            <w:pPr>
              <w:numPr>
                <w:numId w:val="0"/>
              </w:numPr>
              <w:overflowPunct/>
              <w:jc w:val="center"/>
              <w:textAlignment w:val="auto"/>
              <w:rPr>
                <w:rFonts w:hint="eastAsia" w:ascii="宋体" w:hAnsi="宋体" w:eastAsia="宋体" w:cs="宋体"/>
                <w:sz w:val="21"/>
                <w:szCs w:val="21"/>
                <w:vertAlign w:val="baseline"/>
                <w:lang w:eastAsia="zh-CN"/>
              </w:rPr>
            </w:pPr>
          </w:p>
        </w:tc>
        <w:tc>
          <w:tcPr>
            <w:tcW w:w="3283" w:type="dxa"/>
            <w:vAlign w:val="top"/>
          </w:tcPr>
          <w:p>
            <w:pPr>
              <w:numPr>
                <w:numId w:val="0"/>
              </w:numPr>
              <w:overflowPun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②投资性房地产→存货（房企）</w:t>
            </w:r>
          </w:p>
        </w:tc>
        <w:tc>
          <w:tcPr>
            <w:tcW w:w="48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租赁期满，企业董事会或类似机构作出书面决议明确表明将其重新开发用于对外销售的日期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8" w:type="dxa"/>
            <w:vMerge w:val="restart"/>
            <w:tcBorders/>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rPr>
              <w:t>非转投</w:t>
            </w:r>
          </w:p>
        </w:tc>
        <w:tc>
          <w:tcPr>
            <w:tcW w:w="3283" w:type="dxa"/>
            <w:vAlign w:val="top"/>
          </w:tcPr>
          <w:p>
            <w:pPr>
              <w:numPr>
                <w:numId w:val="0"/>
              </w:numPr>
              <w:overflowPun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①存货→投资性房地产（房企）</w:t>
            </w:r>
          </w:p>
        </w:tc>
        <w:tc>
          <w:tcPr>
            <w:tcW w:w="4861" w:type="dxa"/>
            <w:vMerge w:val="restart"/>
            <w:vAlign w:val="center"/>
          </w:tcPr>
          <w:p>
            <w:pPr>
              <w:numPr>
                <w:numId w:val="0"/>
              </w:numPr>
              <w:overflowPunct/>
              <w:jc w:val="both"/>
              <w:textAlignment w:val="auto"/>
              <w:rPr>
                <w:rFonts w:hint="eastAsia" w:ascii="宋体" w:hAnsi="宋体" w:eastAsia="宋体" w:cs="宋体"/>
                <w:sz w:val="21"/>
                <w:szCs w:val="21"/>
                <w:vertAlign w:val="baseline"/>
                <w:lang w:eastAsia="zh-CN"/>
              </w:rPr>
            </w:pPr>
            <w:r>
              <w:rPr>
                <w:rFonts w:hint="eastAsia"/>
              </w:rPr>
              <w:t>租赁开始日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8" w:type="dxa"/>
            <w:vMerge w:val="continue"/>
            <w:tcBorders/>
            <w:vAlign w:val="center"/>
          </w:tcPr>
          <w:p>
            <w:pPr>
              <w:numPr>
                <w:numId w:val="0"/>
              </w:numPr>
              <w:overflowPunct/>
              <w:jc w:val="center"/>
              <w:textAlignment w:val="auto"/>
              <w:rPr>
                <w:rFonts w:hint="eastAsia" w:ascii="宋体" w:hAnsi="宋体" w:eastAsia="宋体" w:cs="宋体"/>
                <w:sz w:val="21"/>
                <w:szCs w:val="21"/>
                <w:vertAlign w:val="baseline"/>
                <w:lang w:eastAsia="zh-CN"/>
              </w:rPr>
            </w:pPr>
          </w:p>
        </w:tc>
        <w:tc>
          <w:tcPr>
            <w:tcW w:w="3283" w:type="dxa"/>
            <w:vAlign w:val="top"/>
          </w:tcPr>
          <w:p>
            <w:pPr>
              <w:numPr>
                <w:numId w:val="0"/>
              </w:numPr>
              <w:overflowPun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②固定资产→投资性房地产</w:t>
            </w:r>
          </w:p>
        </w:tc>
        <w:tc>
          <w:tcPr>
            <w:tcW w:w="4861" w:type="dxa"/>
            <w:vMerge w:val="continue"/>
            <w:tcBorders/>
          </w:tcPr>
          <w:p>
            <w:pPr>
              <w:numPr>
                <w:numId w:val="0"/>
              </w:numPr>
              <w:overflowPunct/>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78" w:type="dxa"/>
            <w:vMerge w:val="continue"/>
            <w:tcBorders/>
            <w:vAlign w:val="center"/>
          </w:tcPr>
          <w:p>
            <w:pPr>
              <w:numPr>
                <w:numId w:val="0"/>
              </w:numPr>
              <w:overflowPunct/>
              <w:jc w:val="center"/>
              <w:textAlignment w:val="auto"/>
              <w:rPr>
                <w:rFonts w:hint="eastAsia" w:ascii="宋体" w:hAnsi="宋体" w:eastAsia="宋体" w:cs="宋体"/>
                <w:sz w:val="21"/>
                <w:szCs w:val="21"/>
                <w:vertAlign w:val="baseline"/>
                <w:lang w:eastAsia="zh-CN"/>
              </w:rPr>
            </w:pPr>
          </w:p>
        </w:tc>
        <w:tc>
          <w:tcPr>
            <w:tcW w:w="3283" w:type="dxa"/>
            <w:vAlign w:val="top"/>
          </w:tcPr>
          <w:p>
            <w:pPr>
              <w:numPr>
                <w:numId w:val="0"/>
              </w:numPr>
              <w:overflowPunct/>
              <w:jc w:val="both"/>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③无形资产→投资性房地产</w:t>
            </w:r>
          </w:p>
        </w:tc>
        <w:tc>
          <w:tcPr>
            <w:tcW w:w="48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自用土地使用权停止自用后，确定用于赚取租金或资本增值的日期</w:t>
            </w:r>
          </w:p>
        </w:tc>
      </w:tr>
    </w:tbl>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（二）投资性房地产转换的会计处理</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1.成本模式</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房地产转换后的入账价值，以其转换前的账面价值确定。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固定资产/无形资产</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②固定资产/无形资产→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借：固定资产/无形资产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投资性房地产累计折旧/摊销/减值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累计折旧/累计摊销/减值</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累计折旧/累计摊销/减值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贷：固定资产/无形资产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投资性房地产累计折旧/摊销/减值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③投资性房地产→存货</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④存货→投资性房地产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借：开发产品</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投资性房地产累计折旧/摊销/减值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存货跌价准备</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贷：开发产品</w:t>
            </w:r>
          </w:p>
        </w:tc>
      </w:tr>
    </w:tbl>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 2018年8月10日，为扩大生产经营，甲公司董事会作出决议，计划于2018年8月31日将某出租在外的厂房在租赁期满时将其收回，用于本公司产品的生产，随后，甲公司做好了用于产品生产的各项准备工作。2018年8月31日，甲公司将出租的厂房收回，2018年9月1日，开始用于本企业产品的生产。该项房地产在转换前采用成本模式计量。</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截止2018年8月31日，账面价值为6000万元，其中原价8000万元，累计已提折旧2000万元，假设不考虑其他因素。</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 转换日是2018年9月1日，甲公司的账务处理如下：</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借：固定资产—厂房　8000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投资性房地产累计折旧　2000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贷：投资性房地产—厂房　8000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累计折旧—厂房　2000</w:t>
      </w:r>
    </w:p>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【例题￭计算题】甲公司拥有一栋本公司总部办公使用的办公楼，公司董事会就将该栋办公楼用于出租形成了书面决议。</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2018年4月10日，甲公司与乙公司签订了租赁协议，将这栋办公楼整体出租给乙公司使用，租赁期开始日为2018年5月1日，租期为5年。</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2018年5月1日，这栋办公楼的账面余额50000万元，已计提折旧500万元。假设甲公司所在城市不存在活跃的房地产交易市场。</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转换日是2018年5月1日，甲公司的账务处理如下：</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借：投资性房地产—办公楼　50000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累计折旧　500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贷：固定资产—办公楼　50000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投资性房地产累计折旧　500</w:t>
      </w:r>
    </w:p>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【例题￭计算题】甲公司是从事房地产开发的企业，2018年4月10日，甲公司董事会就将其开发的一栋写字楼不再出售改用作出租形成了书面决议。</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甲公司遂与乙公司签订了租赁协议，将此写字楼整体出租给乙公司使用，租赁期开始日为2018年5月1日，租赁期为5年，2018年5月1日，该写字楼的账面余额50000万元，未计提存货跌价准备，转换后采用成本模式进行后续计量。</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转换日是2018年5月1日，甲公司的账务处理如下：</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借：投资性房地产—写字楼　50000</w:t>
      </w:r>
    </w:p>
    <w:p>
      <w:pPr>
        <w:numPr>
          <w:numId w:val="0"/>
        </w:numPr>
        <w:overflowPunct/>
        <w:ind w:firstLine="4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贷：开发产品　50000</w:t>
      </w:r>
    </w:p>
    <w:p>
      <w:pPr>
        <w:numPr>
          <w:numId w:val="0"/>
        </w:numPr>
        <w:overflowPunct/>
        <w:ind w:firstLine="420"/>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【例题￭单选题】 2019年7月1日，甲公司将一项按照成本模式进行后续计量的投资性房地产转换为固定资产。该资产在转换前的账面原价为4000万元，已计提折旧200万元，已计提减值准备100万元，转换日的公允价值为3850万元，假定不考虑其他因素，转换日甲公司应借记“固定资产”科目的金额为（）万元。</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A.3700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B.3800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C.3850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D.4000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【答案】D</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【解析】</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借：固定资产　4000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投资性房地产累计折旧　200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投资性房地产减值准备　100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贷：投资性房地产　4000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累计折旧　200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固定资产减值准备　100</w:t>
      </w:r>
    </w:p>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2.公允价值模式</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以公允价值计价的投资性房地产转换为自用房地产或存货时，应当以其转换当日的公允价值作为自用房地产或存货的入账价值，转换当日的公允价值与投资性房地产原账面价值之间的差额计入当期损益（公允价值变动损益）。</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自用房地产或存货转换为以公允价值计量的投资性房地产时，如果转换当日的公允价值小于原账面价值，应当将差额计入当期损益；如果转换当日的公允价值大于原账面价值，应当将其差额计入其他综合收益。待该项投资性房地产处置时，因转换计入其他综合收益的部分应转入当期损益。</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266055" cy="3589020"/>
            <wp:effectExtent l="0" t="0" r="10795" b="11430"/>
            <wp:docPr id="8" name="图片 8" descr="1586841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86841819(1)"/>
                    <pic:cNvPicPr>
                      <a:picLocks noChangeAspect="1"/>
                    </pic:cNvPicPr>
                  </pic:nvPicPr>
                  <pic:blipFill>
                    <a:blip r:embed="rId6"/>
                    <a:stretch>
                      <a:fillRect/>
                    </a:stretch>
                  </pic:blipFill>
                  <pic:spPr>
                    <a:xfrm>
                      <a:off x="0" y="0"/>
                      <a:ext cx="5266055" cy="3589020"/>
                    </a:xfrm>
                    <a:prstGeom prst="rect">
                      <a:avLst/>
                    </a:prstGeom>
                  </pic:spPr>
                </pic:pic>
              </a:graphicData>
            </a:graphic>
          </wp:inline>
        </w:drawing>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①投资性房地产→固定/无形</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②固定/无形→投资性房地产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借：固定资产/无形资产（公允价值）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—公允价值变动（或借方）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公允价值变动损益（或借方）</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a.转换日公允价值＜账面价值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借：投资性房地产—成本（公允价值）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累计折旧/摊销/减值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公允价值变动损益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贷：固定资产/无形资产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b.转换日公允价值＞账面价值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借：投资性房地产—成本（公允价值）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累计折旧/摊销/减值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贷：固定资产/无形资产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其他综合收益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③投资性房地产→存货</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④存货→投资性房地产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借：开发产品（公允价值）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—公允价值变动（或借方）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公允价值变动损益（或借方）</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a.转换日公允价值＜账面价值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借：投资性房地产—成本（公允价值）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存货跌价准备</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公允价值变动损益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贷：开发产品</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b.转换日公允价值＞账面价值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借：投资性房地产—成本（公允价值）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存货跌价准备</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贷：开发产品</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其他综合收益</w:t>
            </w:r>
          </w:p>
        </w:tc>
      </w:tr>
    </w:tbl>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 2018年11月1日，租赁期满，甲公司将出租的写字楼收回，公司董事会就将该写字楼作为办公楼用于本公司的行政管理形成了书面决议。</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2018年11月1日，该写字楼正式开始自用，相应由投资性房地产转换为自用房地产，当日的公允价值为7200万元。</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该项房地产在转换前采用公允价值模式计量，原账面价值为7000万元，其中，成本为6700万元，公允价值变动为增值300万元。</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【答案】转换日是2018年11月1日，甲公司的账务处理如下：</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借：固定资产—写字楼　7200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贷：投资性房地产—写字楼—成本　6700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—公允价值变动　300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公允价值变动损益—投资性房地产　200</w:t>
      </w:r>
    </w:p>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 2018年8月，甲公司打算搬迁至新建办公楼，由于原办公楼处于商业繁华地段，甲公司准备将其出租，以赚取租金收入，已经公司董事会批准形成书面决议。</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2018年12月底，甲公司完成了搬迁工作，原办公楼停止自用。2019年1月1日，甲公司与乙公司签订了租赁协议，将其原办公楼租赁给乙公司使用，约定租赁期开始日即使为2019年1月1日，租赁期为3年。</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假设2019年1月1日，该办公楼的公允价值为38000万元，其原价为55000万元，已提折旧15000万元。甲公司对出租的该办公楼采用公允价值模式计量。</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【答案】转换日是2019年1月1日，甲公司的账务处理如下：</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借：投资性房地产—办公楼—成本　38000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公允价值变动损益—投资性房地产　2000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累计折旧　15000</w:t>
      </w:r>
    </w:p>
    <w:p>
      <w:pPr>
        <w:numPr>
          <w:numId w:val="0"/>
        </w:numPr>
        <w:overflowPunct/>
        <w:ind w:firstLine="4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贷：固定资产—办公楼　55000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 2018年4月15日，甲房地产开发公司（甲公司）董事会形成书面决议，将其开发的一栋写字楼用于出租。甲公司遂与乙公司签订了租赁协议，租赁期开始日为2018年5月1日，租赁期为5年。</w:t>
      </w:r>
    </w:p>
    <w:p>
      <w:pPr>
        <w:numPr>
          <w:numId w:val="0"/>
        </w:numPr>
        <w:overflowPunct/>
        <w:ind w:firstLine="4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2018年5月1日，该写字楼的账面余额为40000万元，公允价值为43000万元。</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【答案】转换日是2018年5月1日，甲公司的账务处理如下：</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借：投资性房地产—写字楼—成本　43000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贷：开发产品　40000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其他综合收益—公允价值变动—投资性房地产　3000</w:t>
      </w:r>
    </w:p>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【例题￭单选题】自用房地产转换为采用公允价值模式计量的投资性房地产，转换日该房地产公允价值大于账面价值的差额，正确的会计处理是（）。</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A.计入其他综合收益</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B.计入期初留存收益</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C.计入营业外收入</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D.计入公允价值变动损益</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【答案】A</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【解析】自用房地产转换为公允价值模式计量的投资性房地产时，转换日公允价值大于账面价值的差额记入“其他综合收益”科目。</w:t>
      </w:r>
    </w:p>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二、投资性房地产的处置</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企业出售、转让、报废投资性房地产或者发生投资性房地产毁损时，应当将处置收入扣除其账面价值和相关税费后的金额计入当期损益（将实际收到的处置收入计入其他业务收入，所处置投资性房地产的账面价值计入其他业务成本）。</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成本模式</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公允价值模式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①实际收到款项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借：银行存款</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贷：其他业务收入</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应交税费—增（销）</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②结转账面价值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投资性房地产累计折旧/摊销/减值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w:t>
            </w:r>
          </w:p>
        </w:tc>
        <w:tc>
          <w:tcPr>
            <w:tcW w:w="42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①实际收到的款项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借：银行存款</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贷：其他业务收入</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应交税费—增（销）</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②结转账面价值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—公变（或借方）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③结转公允价值变动损益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借：公允价值变动损益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或相反分录</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④结转其他综合收益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借：其他综合收益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贷：其他业务成本</w:t>
            </w:r>
          </w:p>
        </w:tc>
      </w:tr>
    </w:tbl>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计算题】甲公司将其出租的一栋写字楼确认为投资性房地产。租赁期届满后，甲公司将该栋写字楼出售给乙公司，合同价款为20000万元，乙公司已用银行存款付清。假设这栋写字楼原采用成本模式计量。出售时，该栋写字楼的成本为18000万元，已计提折旧2000万元，不考虑相关税费，编制甲公司相关会计分录。</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借：银行存款　20000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贷：其他业务收入　20000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借：其他业务成本　16000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投资性房地产累计折旧　2000</w:t>
      </w:r>
    </w:p>
    <w:p>
      <w:pPr>
        <w:numPr>
          <w:numId w:val="0"/>
        </w:numPr>
        <w:overflowPunct/>
        <w:ind w:firstLine="42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贷：投资性房地产—写字楼　18000</w:t>
      </w:r>
    </w:p>
    <w:p>
      <w:pPr>
        <w:numPr>
          <w:numId w:val="0"/>
        </w:numPr>
        <w:overflowPunct/>
        <w:ind w:firstLine="420"/>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【例题￭单选题】 2016年12月20日甲公司与乙公司签订协议，将自用的办公楼出租给乙公司，租期为3年，每年租金为500万元，于年初收取，2017年1月1日为租赁期开始日，2019年12月31日到期。甲公司采用公允价值模式计量投资性房地产。2017年1月1日此办公楼的公允价值为900万元，账面原价为2000万元，已提折旧为1200万元，未计提减值准备。2017年12月31日该办公楼的公允价值为1200万元，2018年12月31日办公楼的公允价值为1800万元，2019年12月31日办公楼的公允价值为1700万元。2019年12月31日租赁协议到期，甲公司与乙公司达成协议，将该办公楼出售给乙公司，价款为3000万元，增值税税率为9%。2020年初完成交易。则甲公司出售办公楼时影响营业利润的金额为（）万元。</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A.1300　B.1400　C.1050　D.1200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266690" cy="2973705"/>
            <wp:effectExtent l="0" t="0" r="10160" b="17145"/>
            <wp:docPr id="12" name="图片 12" descr="1586842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586842221(1)"/>
                    <pic:cNvPicPr>
                      <a:picLocks noChangeAspect="1"/>
                    </pic:cNvPicPr>
                  </pic:nvPicPr>
                  <pic:blipFill>
                    <a:blip r:embed="rId7"/>
                    <a:stretch>
                      <a:fillRect/>
                    </a:stretch>
                  </pic:blipFill>
                  <pic:spPr>
                    <a:xfrm>
                      <a:off x="0" y="0"/>
                      <a:ext cx="5266690" cy="2973705"/>
                    </a:xfrm>
                    <a:prstGeom prst="rect">
                      <a:avLst/>
                    </a:prstGeom>
                  </pic:spPr>
                </pic:pic>
              </a:graphicData>
            </a:graphic>
          </wp:inline>
        </w:drawing>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①17.1.1 固定资产转换投资性房地产</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借：投资性房地产—成本　900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累计折旧　1200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贷：固定资产　2000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其他综合收益　100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②17.12.31公允价值变动</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借：投资性房地产—公允价值变动 　300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贷：公允价值变动损益　300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③18.12.31公允价值变动</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借：投资性房地产—公允价值变动　600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贷：公允价值变动损益　600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④19.12.31公允价值变动</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借：公允价值变动损益　100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贷：投资性房地产—公允价值变动　100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⑤20年初出售</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借：银行存款　3270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贷：其他业务收入　3000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应交税费—应交增值税（销项税额）　270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借：其他业务成本　1700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贷：投资性房地产—成本　900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—公允价值变动　800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借：公允价值变动损益　800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贷：其他业务成本　800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借：其他综合收益　100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贷：其他业务成本　100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出售时影响利润金额=3000-1700+100=1400</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【答案】B</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61"/>
        <w:gridCol w:w="3850"/>
        <w:gridCol w:w="3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业务类型</w:t>
            </w:r>
          </w:p>
        </w:tc>
        <w:tc>
          <w:tcPr>
            <w:tcW w:w="3850"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成本模式</w:t>
            </w:r>
          </w:p>
        </w:tc>
        <w:tc>
          <w:tcPr>
            <w:tcW w:w="351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公允价值模式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外购</w:t>
            </w:r>
          </w:p>
        </w:tc>
        <w:tc>
          <w:tcPr>
            <w:tcW w:w="3850"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应交税费—增（进）</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贷：银行存款</w:t>
            </w:r>
          </w:p>
        </w:tc>
        <w:tc>
          <w:tcPr>
            <w:tcW w:w="351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应交税费—增（进）</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自建</w:t>
            </w:r>
          </w:p>
        </w:tc>
        <w:tc>
          <w:tcPr>
            <w:tcW w:w="3850"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贷：在建工程/开发成本</w:t>
            </w:r>
          </w:p>
        </w:tc>
        <w:tc>
          <w:tcPr>
            <w:tcW w:w="351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贷：在建工程/开发成本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收租</w:t>
            </w:r>
          </w:p>
        </w:tc>
        <w:tc>
          <w:tcPr>
            <w:tcW w:w="7361" w:type="dxa"/>
            <w:gridSpan w:val="2"/>
          </w:tcPr>
          <w:p>
            <w:pPr>
              <w:numPr>
                <w:numId w:val="0"/>
              </w:numPr>
              <w:overflowPunct/>
              <w:jc w:val="left"/>
              <w:textAlignment w:val="auto"/>
              <w:rPr>
                <w:rFonts w:hint="eastAsia"/>
              </w:rPr>
            </w:pPr>
            <w:r>
              <w:rPr>
                <w:rFonts w:hint="eastAsia"/>
              </w:rPr>
              <w:t>借：银行存款</w:t>
            </w:r>
          </w:p>
          <w:p>
            <w:pPr>
              <w:numPr>
                <w:numId w:val="0"/>
              </w:numPr>
              <w:overflowPunct/>
              <w:jc w:val="left"/>
              <w:textAlignment w:val="auto"/>
              <w:rPr>
                <w:rFonts w:hint="eastAsia"/>
              </w:rPr>
            </w:pPr>
            <w:r>
              <w:rPr>
                <w:rFonts w:hint="eastAsia"/>
              </w:rPr>
              <w:t>　　贷：其他业务收入</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rPr>
              <w:t>　　　　应交税费—应交增值税（销项税额）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折旧/摊销</w:t>
            </w:r>
          </w:p>
          <w:p>
            <w:pPr>
              <w:numPr>
                <w:numId w:val="0"/>
              </w:numPr>
              <w:overflowPunct/>
              <w:jc w:val="left"/>
              <w:textAlignment w:val="auto"/>
              <w:rPr>
                <w:rFonts w:hint="eastAsia" w:ascii="宋体" w:hAnsi="宋体" w:eastAsia="宋体" w:cs="宋体"/>
                <w:sz w:val="21"/>
                <w:szCs w:val="21"/>
                <w:vertAlign w:val="baseline"/>
                <w:lang w:eastAsia="zh-CN"/>
              </w:rPr>
            </w:pPr>
          </w:p>
        </w:tc>
        <w:tc>
          <w:tcPr>
            <w:tcW w:w="3850"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贷：投资性房地产累计折旧/摊销</w:t>
            </w:r>
          </w:p>
        </w:tc>
        <w:tc>
          <w:tcPr>
            <w:tcW w:w="351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减值</w:t>
            </w:r>
          </w:p>
        </w:tc>
        <w:tc>
          <w:tcPr>
            <w:tcW w:w="3850"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借：资产减值损失</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贷：投资性房地产减值准备</w:t>
            </w:r>
          </w:p>
        </w:tc>
        <w:tc>
          <w:tcPr>
            <w:tcW w:w="351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公允价值变动</w:t>
            </w:r>
          </w:p>
        </w:tc>
        <w:tc>
          <w:tcPr>
            <w:tcW w:w="3850"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无</w:t>
            </w:r>
          </w:p>
        </w:tc>
        <w:tc>
          <w:tcPr>
            <w:tcW w:w="351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借：投资性房地产—公允价值变动</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贷：公允价值变动损益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或相反分录</w:t>
            </w:r>
          </w:p>
          <w:p>
            <w:pPr>
              <w:numPr>
                <w:numId w:val="0"/>
              </w:numPr>
              <w:overflowPunct/>
              <w:jc w:val="left"/>
              <w:textAlignment w:val="auto"/>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资本化</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支出</w:t>
            </w:r>
          </w:p>
        </w:tc>
        <w:tc>
          <w:tcPr>
            <w:tcW w:w="3850"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a.转入在建</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借：投资性房地产—在建</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投资性房地产折旧/摊销/减值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b.发生后续支出时</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借：投资性房地产—在建</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贷：银行存款/应付账款等</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c.完工时</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贷：投资性房地产—在建</w:t>
            </w:r>
          </w:p>
        </w:tc>
        <w:tc>
          <w:tcPr>
            <w:tcW w:w="351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a.转入在建</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借：投资性房地产—在建</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—公变</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b.发生后续支出时</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借：投资性房地产—在建</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贷：银行存款/应付账款等</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c.完工时</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费用化支出</w:t>
            </w:r>
          </w:p>
        </w:tc>
        <w:tc>
          <w:tcPr>
            <w:tcW w:w="7361" w:type="dxa"/>
            <w:gridSpan w:val="2"/>
          </w:tcPr>
          <w:p>
            <w:pPr>
              <w:numPr>
                <w:numId w:val="0"/>
              </w:numPr>
              <w:overflowPunct/>
              <w:jc w:val="left"/>
              <w:textAlignment w:val="auto"/>
              <w:rPr>
                <w:rFonts w:hint="eastAsia"/>
              </w:rPr>
            </w:pPr>
            <w:r>
              <w:rPr>
                <w:rFonts w:hint="eastAsia"/>
              </w:rPr>
              <w:t>借：其他业务成本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rPr>
              <w:t>　　贷：银行存款等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18" w:hRule="atLeast"/>
        </w:trPr>
        <w:tc>
          <w:tcPr>
            <w:tcW w:w="1161"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模式变更</w:t>
            </w:r>
          </w:p>
        </w:tc>
        <w:tc>
          <w:tcPr>
            <w:tcW w:w="7361" w:type="dxa"/>
            <w:gridSpan w:val="2"/>
          </w:tcPr>
          <w:p>
            <w:pPr>
              <w:numPr>
                <w:numId w:val="0"/>
              </w:numPr>
              <w:overflowPunct/>
              <w:jc w:val="left"/>
              <w:textAlignment w:val="auto"/>
              <w:rPr>
                <w:rFonts w:hint="eastAsia"/>
              </w:rPr>
            </w:pPr>
            <w:r>
              <w:rPr>
                <w:rFonts w:hint="eastAsia"/>
              </w:rPr>
              <w:t>借：投资性房地产—成本（转换日公允价值）</w:t>
            </w:r>
          </w:p>
          <w:p>
            <w:pPr>
              <w:numPr>
                <w:numId w:val="0"/>
              </w:numPr>
              <w:overflowPunct/>
              <w:jc w:val="left"/>
              <w:textAlignment w:val="auto"/>
              <w:rPr>
                <w:rFonts w:hint="eastAsia"/>
              </w:rPr>
            </w:pPr>
            <w:r>
              <w:rPr>
                <w:rFonts w:hint="eastAsia"/>
              </w:rPr>
              <w:t>　　投资性房地产累计折旧/摊销/减值</w:t>
            </w:r>
          </w:p>
          <w:p>
            <w:pPr>
              <w:numPr>
                <w:numId w:val="0"/>
              </w:numPr>
              <w:overflowPunct/>
              <w:jc w:val="left"/>
              <w:textAlignment w:val="auto"/>
              <w:rPr>
                <w:rFonts w:hint="eastAsia"/>
              </w:rPr>
            </w:pPr>
            <w:r>
              <w:rPr>
                <w:rFonts w:hint="eastAsia"/>
              </w:rPr>
              <w:t>　　贷：投资性房地产</w:t>
            </w:r>
          </w:p>
          <w:p>
            <w:pPr>
              <w:numPr>
                <w:numId w:val="0"/>
              </w:numPr>
              <w:overflowPunct/>
              <w:jc w:val="left"/>
              <w:textAlignment w:val="auto"/>
              <w:rPr>
                <w:rFonts w:hint="eastAsia"/>
              </w:rPr>
            </w:pPr>
            <w:r>
              <w:rPr>
                <w:rFonts w:hint="eastAsia"/>
              </w:rPr>
              <w:t>　　　　利润分配—未分配利润（或借方）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rPr>
              <w:t>　　　　盈余公积（或借方）</w:t>
            </w:r>
          </w:p>
        </w:tc>
      </w:tr>
    </w:tbl>
    <w:p>
      <w:pPr>
        <w:numPr>
          <w:numId w:val="0"/>
        </w:numPr>
        <w:overflowPunct/>
        <w:jc w:val="left"/>
        <w:textAlignment w:val="auto"/>
        <w:rPr>
          <w:rFonts w:hint="eastAsia" w:ascii="宋体" w:hAnsi="宋体" w:eastAsia="宋体" w:cs="宋体"/>
          <w:sz w:val="21"/>
          <w:szCs w:val="21"/>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78"/>
        <w:gridCol w:w="2650"/>
        <w:gridCol w:w="4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8" w:type="dxa"/>
            <w:vMerge w:val="restart"/>
            <w:vAlign w:val="center"/>
          </w:tcPr>
          <w:p>
            <w:pPr>
              <w:numPr>
                <w:ilvl w:val="0"/>
                <w:numId w:val="0"/>
              </w:numPr>
              <w:overflowPun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投→固/无/存</w:t>
            </w:r>
          </w:p>
        </w:tc>
        <w:tc>
          <w:tcPr>
            <w:tcW w:w="2650" w:type="dxa"/>
            <w:vAlign w:val="center"/>
          </w:tcPr>
          <w:p>
            <w:pPr>
              <w:numPr>
                <w:ilvl w:val="0"/>
                <w:numId w:val="0"/>
              </w:numPr>
              <w:overflowPun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成本模式</w:t>
            </w:r>
          </w:p>
        </w:tc>
        <w:tc>
          <w:tcPr>
            <w:tcW w:w="4894" w:type="dxa"/>
            <w:vAlign w:val="top"/>
          </w:tcPr>
          <w:p>
            <w:pPr>
              <w:numPr>
                <w:ilvl w:val="0"/>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借：固定资产/无形资产/开发产品</w:t>
            </w:r>
          </w:p>
          <w:p>
            <w:pPr>
              <w:numPr>
                <w:ilvl w:val="0"/>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投资性房地产累计折旧/摊销/减值</w:t>
            </w:r>
          </w:p>
          <w:p>
            <w:pPr>
              <w:numPr>
                <w:ilvl w:val="0"/>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w:t>
            </w:r>
          </w:p>
          <w:p>
            <w:pPr>
              <w:numPr>
                <w:ilvl w:val="0"/>
                <w:numId w:val="0"/>
              </w:numPr>
              <w:overflowPunct/>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　　　　累计折旧/摊销/减值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8" w:type="dxa"/>
            <w:vMerge w:val="continue"/>
            <w:tcBorders/>
            <w:vAlign w:val="center"/>
          </w:tcPr>
          <w:p>
            <w:pPr>
              <w:numPr>
                <w:numId w:val="0"/>
              </w:numPr>
              <w:overflowPunct/>
              <w:jc w:val="center"/>
              <w:textAlignment w:val="auto"/>
              <w:rPr>
                <w:rFonts w:hint="eastAsia" w:ascii="宋体" w:hAnsi="宋体" w:eastAsia="宋体" w:cs="宋体"/>
                <w:sz w:val="21"/>
                <w:szCs w:val="21"/>
                <w:vertAlign w:val="baseline"/>
                <w:lang w:eastAsia="zh-CN"/>
              </w:rPr>
            </w:pPr>
          </w:p>
        </w:tc>
        <w:tc>
          <w:tcPr>
            <w:tcW w:w="2650" w:type="dxa"/>
            <w:vAlign w:val="center"/>
          </w:tcPr>
          <w:p>
            <w:pPr>
              <w:numPr>
                <w:ilvl w:val="0"/>
                <w:numId w:val="0"/>
              </w:numPr>
              <w:overflowPun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公允价值模式</w:t>
            </w:r>
          </w:p>
        </w:tc>
        <w:tc>
          <w:tcPr>
            <w:tcW w:w="4894" w:type="dxa"/>
            <w:vAlign w:val="top"/>
          </w:tcPr>
          <w:p>
            <w:pPr>
              <w:numPr>
                <w:ilvl w:val="0"/>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借：固定资产/无形资产/存货</w:t>
            </w:r>
          </w:p>
          <w:p>
            <w:pPr>
              <w:numPr>
                <w:ilvl w:val="0"/>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贷：投—成本</w:t>
            </w:r>
          </w:p>
          <w:p>
            <w:pPr>
              <w:numPr>
                <w:ilvl w:val="0"/>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—公变（或借方）</w:t>
            </w:r>
          </w:p>
          <w:p>
            <w:pPr>
              <w:numPr>
                <w:ilvl w:val="0"/>
                <w:numId w:val="0"/>
              </w:numPr>
              <w:overflowPunct/>
              <w:ind w:left="0" w:leftChars="0" w:firstLine="0" w:firstLineChars="0"/>
              <w:jc w:val="left"/>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　　　　公允价值变动损益（或借方）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8" w:type="dxa"/>
            <w:vMerge w:val="restart"/>
            <w:tcBorders/>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固/无/存→投</w:t>
            </w:r>
          </w:p>
        </w:tc>
        <w:tc>
          <w:tcPr>
            <w:tcW w:w="2650" w:type="dxa"/>
            <w:vAlign w:val="center"/>
          </w:tcPr>
          <w:p>
            <w:pPr>
              <w:numPr>
                <w:ilvl w:val="0"/>
                <w:numId w:val="0"/>
              </w:numPr>
              <w:overflowPun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成本模式</w:t>
            </w:r>
          </w:p>
        </w:tc>
        <w:tc>
          <w:tcPr>
            <w:tcW w:w="4894" w:type="dxa"/>
            <w:vAlign w:val="top"/>
          </w:tcPr>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w:t>
            </w:r>
          </w:p>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累计折旧/累计摊销/减值</w:t>
            </w:r>
          </w:p>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贷：固定资产/无形资产/开发产品</w:t>
            </w:r>
          </w:p>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投资性房地产累计折旧/摊销/减值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78" w:type="dxa"/>
            <w:vMerge w:val="continue"/>
            <w:tcBorders/>
            <w:vAlign w:val="center"/>
          </w:tcPr>
          <w:p>
            <w:pPr>
              <w:numPr>
                <w:numId w:val="0"/>
              </w:numPr>
              <w:overflowPunct/>
              <w:jc w:val="center"/>
              <w:textAlignment w:val="auto"/>
              <w:rPr>
                <w:rFonts w:hint="eastAsia" w:ascii="宋体" w:hAnsi="宋体" w:eastAsia="宋体" w:cs="宋体"/>
                <w:sz w:val="21"/>
                <w:szCs w:val="21"/>
                <w:vertAlign w:val="baseline"/>
                <w:lang w:eastAsia="zh-CN"/>
              </w:rPr>
            </w:pPr>
          </w:p>
        </w:tc>
        <w:tc>
          <w:tcPr>
            <w:tcW w:w="2650" w:type="dxa"/>
            <w:vAlign w:val="center"/>
          </w:tcPr>
          <w:p>
            <w:pPr>
              <w:numPr>
                <w:ilvl w:val="0"/>
                <w:numId w:val="0"/>
              </w:numPr>
              <w:overflowPunct/>
              <w:ind w:left="0" w:leftChars="0" w:firstLine="0" w:firstLineChars="0"/>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公允价值模式</w:t>
            </w:r>
          </w:p>
        </w:tc>
        <w:tc>
          <w:tcPr>
            <w:tcW w:w="4894" w:type="dxa"/>
            <w:vAlign w:val="top"/>
          </w:tcPr>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借：投资性房地产—成本</w:t>
            </w:r>
          </w:p>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累计折旧/摊销/减值</w:t>
            </w:r>
          </w:p>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公允价值变动损益（借差）</w:t>
            </w:r>
          </w:p>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贷：固定资产/无形资产/开发产品</w:t>
            </w:r>
          </w:p>
          <w:p>
            <w:pPr>
              <w:numPr>
                <w:ilvl w:val="0"/>
                <w:numId w:val="0"/>
              </w:numPr>
              <w:overflowPunct/>
              <w:ind w:left="0" w:leftChars="0" w:firstLine="0" w:firstLineChars="0"/>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其他综合收益（贷差）</w:t>
            </w:r>
          </w:p>
        </w:tc>
      </w:tr>
    </w:tbl>
    <w:p>
      <w:pPr>
        <w:numPr>
          <w:numId w:val="0"/>
        </w:numPr>
        <w:overflowPunct/>
        <w:jc w:val="left"/>
        <w:textAlignment w:val="auto"/>
        <w:rPr>
          <w:rFonts w:hint="eastAsia" w:ascii="宋体" w:hAnsi="宋体" w:eastAsia="宋体" w:cs="宋体"/>
          <w:sz w:val="21"/>
          <w:szCs w:val="21"/>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78"/>
        <w:gridCol w:w="3916"/>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8" w:type="dxa"/>
          </w:tcPr>
          <w:p>
            <w:pPr>
              <w:numPr>
                <w:numId w:val="0"/>
              </w:numPr>
              <w:overflowPunct/>
              <w:jc w:val="left"/>
              <w:textAlignment w:val="auto"/>
              <w:rPr>
                <w:rFonts w:hint="eastAsia" w:ascii="宋体" w:hAnsi="宋体" w:eastAsia="宋体" w:cs="宋体"/>
                <w:sz w:val="21"/>
                <w:szCs w:val="21"/>
                <w:vertAlign w:val="baseline"/>
                <w:lang w:eastAsia="zh-CN"/>
              </w:rPr>
            </w:pPr>
          </w:p>
        </w:tc>
        <w:tc>
          <w:tcPr>
            <w:tcW w:w="3916" w:type="dxa"/>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成本模式</w:t>
            </w:r>
          </w:p>
        </w:tc>
        <w:tc>
          <w:tcPr>
            <w:tcW w:w="3928" w:type="dxa"/>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公允价值模式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8" w:type="dxa"/>
            <w:vAlign w:val="center"/>
          </w:tcPr>
          <w:p>
            <w:pPr>
              <w:numPr>
                <w:numId w:val="0"/>
              </w:numPr>
              <w:overflowPun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处置</w:t>
            </w:r>
          </w:p>
        </w:tc>
        <w:tc>
          <w:tcPr>
            <w:tcW w:w="3916"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①实际收到款项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借：银行存款</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贷：其他业务收入</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应交税费—增（销）</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②结转账面价值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投资性房地产累计折旧/摊销/减值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w:t>
            </w:r>
          </w:p>
        </w:tc>
        <w:tc>
          <w:tcPr>
            <w:tcW w:w="3928" w:type="dxa"/>
          </w:tcPr>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①实际收到的款项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借：银行存款</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贷：其他业务收入</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应交税费—增（销）</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②结转账面价值</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贷：投资性房地产—成本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—公变（或借方）</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③结转公允价值变动损益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借：公允价值变动损益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贷：其他业务成本</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或相反分录</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④结转其他综合收益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借：其他综合收益</w:t>
            </w:r>
          </w:p>
          <w:p>
            <w:pPr>
              <w:numPr>
                <w:numId w:val="0"/>
              </w:numPr>
              <w:overflowPunct/>
              <w:jc w:val="left"/>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　　贷：其他业务成本</w:t>
            </w:r>
          </w:p>
        </w:tc>
      </w:tr>
    </w:tbl>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p>
    <w:p>
      <w:pPr>
        <w:numPr>
          <w:numId w:val="0"/>
        </w:numPr>
        <w:overflowPunct/>
        <w:jc w:val="left"/>
        <w:textAlignment w:val="auto"/>
        <w:rPr>
          <w:rFonts w:hint="eastAsia" w:ascii="宋体" w:hAnsi="宋体" w:eastAsia="宋体" w:cs="宋体"/>
          <w:sz w:val="21"/>
          <w:szCs w:val="21"/>
          <w:lang w:eastAsia="zh-CN"/>
        </w:rPr>
      </w:pPr>
      <w:bookmarkStart w:id="0" w:name="_GoBack"/>
      <w:bookmarkEnd w:id="0"/>
    </w:p>
    <w:p>
      <w:pPr>
        <w:numPr>
          <w:numId w:val="0"/>
        </w:numPr>
        <w:overflowPun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本章小结</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1.掌握投资性房地产的特征和范围</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2.掌握投资性房地产的确认条件</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3.掌握投资性房地产初始计量的核算</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4.掌握与投资性房地产有关的后续支出的核算</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5.掌握投资性房地产后续计量的核算</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6.掌握投资性房地产转换的核算</w:t>
      </w:r>
    </w:p>
    <w:p>
      <w:pPr>
        <w:numPr>
          <w:numId w:val="0"/>
        </w:numPr>
        <w:overflowPun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7.熟悉投资性房地产处置的核算</w:t>
      </w:r>
    </w:p>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p>
    <w:pPr>
      <w:pStyle w:val="3"/>
      <w:pBdr>
        <w:bottom w:val="none" w:color="auto" w:sz="0" w:space="1"/>
      </w:pBdr>
    </w:pPr>
  </w:p>
  <w:p>
    <w:pPr>
      <w:pStyle w:val="3"/>
      <w:pBdr>
        <w:bottom w:val="double" w:color="auto" w:sz="8" w:space="1"/>
      </w:pBdr>
      <w:rPr>
        <w:rFonts w:hint="eastAsia" w:ascii="宋体" w:hAnsi="宋体" w:eastAsia="宋体" w:cs="宋体"/>
        <w:sz w:val="30"/>
        <w:szCs w:val="30"/>
        <w:lang w:val="en-US" w:eastAsia="zh-CN"/>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3480435"/>
          <wp:effectExtent l="0" t="0" r="2540" b="0"/>
          <wp:wrapNone/>
          <wp:docPr id="80" name="WordPictureWatermark34146"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PictureWatermark34146" descr="水印logo"/>
                  <pic:cNvPicPr>
                    <a:picLocks noChangeAspect="1"/>
                  </pic:cNvPicPr>
                </pic:nvPicPr>
                <pic:blipFill>
                  <a:blip r:embed="rId1"/>
                  <a:stretch>
                    <a:fillRect/>
                  </a:stretch>
                </pic:blipFill>
                <pic:spPr>
                  <a:xfrm>
                    <a:off x="0" y="0"/>
                    <a:ext cx="5274310" cy="3480435"/>
                  </a:xfrm>
                  <a:prstGeom prst="rect">
                    <a:avLst/>
                  </a:prstGeom>
                  <a:noFill/>
                  <a:ln>
                    <a:noFill/>
                  </a:ln>
                </pic:spPr>
              </pic:pic>
            </a:graphicData>
          </a:graphic>
        </wp:anchor>
      </w:drawing>
    </w:r>
    <w:r>
      <w:rPr>
        <w:rFonts w:hint="eastAsia"/>
        <w:sz w:val="24"/>
        <w:szCs w:val="24"/>
        <w:lang w:val="en-US" w:eastAsia="zh-CN"/>
      </w:rPr>
      <w:t xml:space="preserve">老会计，用心传递温度                       </w:t>
    </w:r>
    <w:r>
      <w:rPr>
        <w:rFonts w:hint="eastAsia" w:ascii="宋体" w:hAnsi="宋体" w:eastAsia="宋体" w:cs="宋体"/>
        <w:sz w:val="30"/>
        <w:szCs w:val="30"/>
        <w:lang w:val="en-US" w:eastAsia="zh-CN"/>
      </w:rPr>
      <w:t xml:space="preserve"> 中级经济法+精讲讲义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5205"/>
    <w:multiLevelType w:val="singleLevel"/>
    <w:tmpl w:val="1AB65205"/>
    <w:lvl w:ilvl="0" w:tentative="0">
      <w:start w:val="1"/>
      <w:numFmt w:val="chineseCounting"/>
      <w:suff w:val="nothing"/>
      <w:lvlText w:val="（%1）"/>
      <w:lvlJc w:val="left"/>
      <w:rPr>
        <w:rFonts w:hint="eastAsia"/>
      </w:rPr>
    </w:lvl>
  </w:abstractNum>
  <w:abstractNum w:abstractNumId="1">
    <w:nsid w:val="53C8D657"/>
    <w:multiLevelType w:val="singleLevel"/>
    <w:tmpl w:val="53C8D657"/>
    <w:lvl w:ilvl="0" w:tentative="0">
      <w:start w:val="1"/>
      <w:numFmt w:val="chineseCounting"/>
      <w:suff w:val="nothing"/>
      <w:lvlText w:val="%1、"/>
      <w:lvlJc w:val="left"/>
      <w:rPr>
        <w:rFonts w:hint="eastAsia"/>
      </w:rPr>
    </w:lvl>
  </w:abstractNum>
  <w:abstractNum w:abstractNumId="2">
    <w:nsid w:val="7F968764"/>
    <w:multiLevelType w:val="singleLevel"/>
    <w:tmpl w:val="7F968764"/>
    <w:lvl w:ilvl="0" w:tentative="0">
      <w:start w:val="4"/>
      <w:numFmt w:val="chineseCounting"/>
      <w:suff w:val="nothing"/>
      <w:lvlText w:val="第%1节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A78D1"/>
    <w:rsid w:val="098A2CDB"/>
    <w:rsid w:val="0C9E3FEA"/>
    <w:rsid w:val="129A511D"/>
    <w:rsid w:val="227B3164"/>
    <w:rsid w:val="28062F80"/>
    <w:rsid w:val="29AE4F25"/>
    <w:rsid w:val="2AD52B6A"/>
    <w:rsid w:val="2F7C19AB"/>
    <w:rsid w:val="53580626"/>
    <w:rsid w:val="5FAB2249"/>
    <w:rsid w:val="657A78D1"/>
    <w:rsid w:val="67304985"/>
    <w:rsid w:val="6EA50440"/>
    <w:rsid w:val="71FF3106"/>
    <w:rsid w:val="73252EF6"/>
    <w:rsid w:val="74F627D3"/>
    <w:rsid w:val="76A77201"/>
    <w:rsid w:val="7DC80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2020-04-01T13:51:00Z</dcterms:created>
  <dc:creator>幸福久久</dc:creator>
  <cp:lastModifiedBy>李红琴</cp:lastModifiedBy>
  <dcterms:modified xsi:type="dcterms:W3CDTF">2020-04-14T05:41:00Z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